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A751D" w14:textId="0B3DC2D6" w:rsidR="008A1967" w:rsidRPr="008D2129" w:rsidRDefault="000D319D" w:rsidP="00015C23">
      <w:pPr>
        <w:rPr>
          <w:b/>
          <w:bCs/>
        </w:rPr>
      </w:pPr>
      <w:r w:rsidRPr="008D2129">
        <w:rPr>
          <w:noProof/>
          <w:lang w:eastAsia="fr-FR"/>
        </w:rPr>
        <mc:AlternateContent>
          <mc:Choice Requires="wps">
            <w:drawing>
              <wp:anchor distT="45720" distB="45720" distL="114300" distR="114300" simplePos="0" relativeHeight="251657728" behindDoc="0" locked="0" layoutInCell="1" allowOverlap="1" wp14:anchorId="69DC4D6D" wp14:editId="24AAA681">
                <wp:simplePos x="0" y="0"/>
                <wp:positionH relativeFrom="margin">
                  <wp:posOffset>1497330</wp:posOffset>
                </wp:positionH>
                <wp:positionV relativeFrom="paragraph">
                  <wp:posOffset>82550</wp:posOffset>
                </wp:positionV>
                <wp:extent cx="1932305" cy="739140"/>
                <wp:effectExtent l="0" t="0" r="0" b="0"/>
                <wp:wrapSquare wrapText="bothSides"/>
                <wp:docPr id="1356" name="Zone de texte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739140"/>
                        </a:xfrm>
                        <a:prstGeom prst="rect">
                          <a:avLst/>
                        </a:prstGeom>
                        <a:solidFill>
                          <a:srgbClr val="FFFFFF"/>
                        </a:solidFill>
                        <a:ln w="9525">
                          <a:noFill/>
                          <a:miter lim="800000"/>
                          <a:headEnd/>
                          <a:tailEnd/>
                        </a:ln>
                      </wps:spPr>
                      <wps:txbx>
                        <w:txbxContent>
                          <w:p w14:paraId="48393F24" w14:textId="77777777" w:rsidR="00F346FB" w:rsidRPr="000D319D" w:rsidRDefault="00F346FB" w:rsidP="000D319D">
                            <w:pPr>
                              <w:spacing w:after="120" w:line="240" w:lineRule="auto"/>
                              <w:jc w:val="center"/>
                              <w:rPr>
                                <w:b/>
                              </w:rPr>
                            </w:pPr>
                            <w:r w:rsidRPr="000D319D">
                              <w:rPr>
                                <w:b/>
                              </w:rPr>
                              <w:t>BURKINA FASO</w:t>
                            </w:r>
                          </w:p>
                          <w:p w14:paraId="57382DD4" w14:textId="77777777" w:rsidR="00F346FB" w:rsidRPr="00A872CA" w:rsidRDefault="00F346FB" w:rsidP="000D319D">
                            <w:pPr>
                              <w:spacing w:after="120" w:line="240" w:lineRule="auto"/>
                              <w:jc w:val="center"/>
                              <w:rPr>
                                <w:rFonts w:ascii="Century Gothic" w:hAnsi="Century Gothic"/>
                                <w:b/>
                                <w:i/>
                              </w:rPr>
                            </w:pPr>
                            <w:r w:rsidRPr="000D319D">
                              <w:rPr>
                                <w:b/>
                                <w:i/>
                              </w:rPr>
                              <w:t>Unité – Progrès - Justice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C4D6D" id="_x0000_t202" coordsize="21600,21600" o:spt="202" path="m,l,21600r21600,l21600,xe">
                <v:stroke joinstyle="miter"/>
                <v:path gradientshapeok="t" o:connecttype="rect"/>
              </v:shapetype>
              <v:shape id="Zone de texte 1356" o:spid="_x0000_s1026" type="#_x0000_t202" style="position:absolute;left:0;text-align:left;margin-left:117.9pt;margin-top:6.5pt;width:152.15pt;height:58.2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" stroked="f">
                <v:textbox style="mso-fit-shape-to-text:t">
                  <w:txbxContent>
                    <w:p w14:paraId="48393F24" w14:textId="77777777" w:rsidR="00F346FB" w:rsidRPr="000D319D" w:rsidRDefault="00F346FB" w:rsidP="000D319D">
                      <w:pPr>
                        <w:spacing w:after="120" w:line="240" w:lineRule="auto"/>
                        <w:jc w:val="center"/>
                        <w:rPr>
                          <w:b/>
                        </w:rPr>
                      </w:pPr>
                      <w:r w:rsidRPr="000D319D">
                        <w:rPr>
                          <w:b/>
                        </w:rPr>
                        <w:t>BURKINA FASO</w:t>
                      </w:r>
                    </w:p>
                    <w:p w14:paraId="57382DD4" w14:textId="77777777" w:rsidR="00F346FB" w:rsidRPr="00A872CA" w:rsidRDefault="00F346FB" w:rsidP="000D319D">
                      <w:pPr>
                        <w:spacing w:after="120" w:line="240" w:lineRule="auto"/>
                        <w:jc w:val="center"/>
                        <w:rPr>
                          <w:rFonts w:ascii="Century Gothic" w:hAnsi="Century Gothic"/>
                          <w:b/>
                          <w:i/>
                        </w:rPr>
                      </w:pPr>
                      <w:r w:rsidRPr="000D319D">
                        <w:rPr>
                          <w:b/>
                          <w:i/>
                        </w:rPr>
                        <w:t>Unité – Progrès - Justice</w:t>
                      </w:r>
                    </w:p>
                  </w:txbxContent>
                </v:textbox>
                <w10:wrap type="square" anchorx="margin"/>
              </v:shape>
            </w:pict>
          </mc:Fallback>
        </mc:AlternateContent>
      </w:r>
    </w:p>
    <w:p w14:paraId="33625DCE" w14:textId="0EB32FCF" w:rsidR="008A1967" w:rsidRPr="008D2129" w:rsidRDefault="008A1967" w:rsidP="004C765B">
      <w:pPr>
        <w:tabs>
          <w:tab w:val="left" w:pos="4536"/>
        </w:tabs>
        <w:spacing w:after="0" w:line="276" w:lineRule="auto"/>
        <w:jc w:val="center"/>
        <w:rPr>
          <w:rFonts w:ascii="Rockwell" w:eastAsia="Times New Roman" w:hAnsi="Rockwell" w:cs="Times New Roman"/>
          <w:b/>
          <w:bCs/>
          <w:szCs w:val="24"/>
          <w:lang w:eastAsia="fr-FR"/>
        </w:rPr>
      </w:pPr>
    </w:p>
    <w:p w14:paraId="4D1ACB1C" w14:textId="20B3D847"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41EBA15C" w14:textId="4C0D79DA"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4135E098" w14:textId="7864C0DF"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5BCF9FE5" w14:textId="37839C91" w:rsidR="008A1967" w:rsidRPr="008D2129" w:rsidRDefault="000D319D" w:rsidP="000D319D">
      <w:pPr>
        <w:spacing w:after="0" w:line="276" w:lineRule="auto"/>
        <w:rPr>
          <w:rFonts w:ascii="Rockwell" w:eastAsia="Times New Roman" w:hAnsi="Rockwell" w:cs="Times New Roman"/>
          <w:b/>
          <w:bCs/>
          <w:szCs w:val="24"/>
          <w:lang w:eastAsia="fr-FR"/>
        </w:rPr>
      </w:pPr>
      <w:r w:rsidRPr="008D2129">
        <w:rPr>
          <w:noProof/>
          <w:lang w:eastAsia="fr-FR"/>
        </w:rPr>
        <w:drawing>
          <wp:anchor distT="0" distB="0" distL="114300" distR="114300" simplePos="0" relativeHeight="251658752" behindDoc="0" locked="0" layoutInCell="1" allowOverlap="1" wp14:anchorId="3FD33CE7" wp14:editId="691EB9F0">
            <wp:simplePos x="0" y="0"/>
            <wp:positionH relativeFrom="column">
              <wp:posOffset>1868757</wp:posOffset>
            </wp:positionH>
            <wp:positionV relativeFrom="paragraph">
              <wp:posOffset>209550</wp:posOffset>
            </wp:positionV>
            <wp:extent cx="1485942" cy="1782165"/>
            <wp:effectExtent l="0" t="0" r="0" b="8890"/>
            <wp:wrapSquare wrapText="bothSides"/>
            <wp:docPr id="19" name="Image 19" descr="C:\Users\sidibe pm\Pictures\armoiries-B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dibe pm\Pictures\armoiries-BF-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42" cy="178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7582C" w14:textId="646FFE82" w:rsidR="000D319D" w:rsidRPr="008D2129" w:rsidRDefault="000D319D" w:rsidP="000D319D">
      <w:pPr>
        <w:spacing w:after="0" w:line="276" w:lineRule="auto"/>
        <w:rPr>
          <w:rFonts w:ascii="Rockwell" w:eastAsia="Times New Roman" w:hAnsi="Rockwell" w:cs="Times New Roman"/>
          <w:b/>
          <w:bCs/>
          <w:szCs w:val="24"/>
          <w:lang w:eastAsia="fr-FR"/>
        </w:rPr>
      </w:pPr>
    </w:p>
    <w:p w14:paraId="7BF66F32" w14:textId="0CC81155"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0F04B3AE" w14:textId="790D83E9"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168A78C9" w14:textId="5948634D" w:rsidR="004C765B" w:rsidRPr="008D2129" w:rsidRDefault="004C765B" w:rsidP="008A1967">
      <w:pPr>
        <w:spacing w:after="0" w:line="276" w:lineRule="auto"/>
        <w:jc w:val="center"/>
        <w:rPr>
          <w:rFonts w:ascii="Rockwell" w:eastAsia="Times New Roman" w:hAnsi="Rockwell" w:cs="Times New Roman"/>
          <w:b/>
          <w:bCs/>
          <w:szCs w:val="24"/>
          <w:lang w:eastAsia="fr-FR"/>
        </w:rPr>
      </w:pPr>
    </w:p>
    <w:p w14:paraId="49166839" w14:textId="7BA93815" w:rsidR="004C765B" w:rsidRPr="008D2129" w:rsidRDefault="004C765B" w:rsidP="008A1967">
      <w:pPr>
        <w:spacing w:after="0" w:line="276" w:lineRule="auto"/>
        <w:jc w:val="center"/>
        <w:rPr>
          <w:rFonts w:ascii="Rockwell" w:eastAsia="Times New Roman" w:hAnsi="Rockwell" w:cs="Times New Roman"/>
          <w:b/>
          <w:bCs/>
          <w:szCs w:val="24"/>
          <w:lang w:eastAsia="fr-FR"/>
        </w:rPr>
      </w:pPr>
    </w:p>
    <w:p w14:paraId="25D9749E" w14:textId="225B95F6" w:rsidR="004C765B" w:rsidRPr="008D2129" w:rsidRDefault="004C765B" w:rsidP="008A1967">
      <w:pPr>
        <w:spacing w:after="0" w:line="276" w:lineRule="auto"/>
        <w:jc w:val="center"/>
        <w:rPr>
          <w:rFonts w:ascii="Rockwell" w:eastAsia="Times New Roman" w:hAnsi="Rockwell" w:cs="Times New Roman"/>
          <w:b/>
          <w:bCs/>
          <w:szCs w:val="24"/>
          <w:lang w:eastAsia="fr-FR"/>
        </w:rPr>
      </w:pPr>
    </w:p>
    <w:p w14:paraId="2E94B990" w14:textId="1A9F8FD3" w:rsidR="004C765B" w:rsidRPr="008D2129" w:rsidRDefault="004C765B" w:rsidP="008A1967">
      <w:pPr>
        <w:spacing w:after="0" w:line="276" w:lineRule="auto"/>
        <w:jc w:val="center"/>
        <w:rPr>
          <w:rFonts w:ascii="Rockwell" w:eastAsia="Times New Roman" w:hAnsi="Rockwell" w:cs="Times New Roman"/>
          <w:b/>
          <w:bCs/>
          <w:szCs w:val="24"/>
          <w:lang w:eastAsia="fr-FR"/>
        </w:rPr>
      </w:pPr>
    </w:p>
    <w:p w14:paraId="765D4234" w14:textId="77777777" w:rsidR="004C765B" w:rsidRPr="008D2129" w:rsidRDefault="004C765B" w:rsidP="008A1967">
      <w:pPr>
        <w:spacing w:after="0" w:line="276" w:lineRule="auto"/>
        <w:jc w:val="center"/>
        <w:rPr>
          <w:rFonts w:ascii="Rockwell" w:eastAsia="Times New Roman" w:hAnsi="Rockwell" w:cs="Times New Roman"/>
          <w:b/>
          <w:bCs/>
          <w:szCs w:val="24"/>
          <w:lang w:eastAsia="fr-FR"/>
        </w:rPr>
      </w:pPr>
    </w:p>
    <w:p w14:paraId="07F49C12" w14:textId="77777777"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75D574A9" w14:textId="77777777"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4FC35892" w14:textId="77777777"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22272C3A" w14:textId="77777777"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31836F6F" w14:textId="77777777" w:rsidR="008A1967" w:rsidRPr="008D2129" w:rsidRDefault="008A1967" w:rsidP="008A1967">
      <w:pPr>
        <w:spacing w:after="0" w:line="276" w:lineRule="auto"/>
        <w:jc w:val="center"/>
        <w:rPr>
          <w:rFonts w:ascii="Rockwell" w:eastAsia="Times New Roman" w:hAnsi="Rockwell" w:cs="Times New Roman"/>
          <w:b/>
          <w:bCs/>
          <w:szCs w:val="24"/>
          <w:lang w:eastAsia="fr-FR"/>
        </w:rPr>
      </w:pPr>
    </w:p>
    <w:p w14:paraId="405ECA2D" w14:textId="18BFBC47" w:rsidR="00EB703A" w:rsidRPr="00E31E23" w:rsidRDefault="0044798E" w:rsidP="00EB703A">
      <w:pPr>
        <w:spacing w:after="0" w:line="276" w:lineRule="auto"/>
        <w:jc w:val="center"/>
        <w:rPr>
          <w:b/>
          <w:sz w:val="44"/>
          <w:szCs w:val="44"/>
        </w:rPr>
      </w:pPr>
      <w:r>
        <w:rPr>
          <w:b/>
          <w:sz w:val="44"/>
          <w:szCs w:val="44"/>
        </w:rPr>
        <w:t>RAPPORT ANNUEL DE PERFORMANCE</w:t>
      </w:r>
      <w:r w:rsidR="00EB703A" w:rsidRPr="00E31E23">
        <w:rPr>
          <w:b/>
          <w:sz w:val="44"/>
          <w:szCs w:val="44"/>
        </w:rPr>
        <w:t xml:space="preserve"> 2023 DE LA POLITIQUE NATIONALE DE DÉVELOPPEMENT</w:t>
      </w:r>
    </w:p>
    <w:p w14:paraId="7EFFECB6" w14:textId="77777777" w:rsidR="008A1967" w:rsidRPr="008D2129" w:rsidRDefault="008A1967" w:rsidP="008A1967">
      <w:pPr>
        <w:spacing w:after="0" w:line="276" w:lineRule="auto"/>
        <w:rPr>
          <w:rFonts w:ascii="Rockwell" w:eastAsia="Times New Roman" w:hAnsi="Rockwell" w:cs="Times New Roman"/>
          <w:b/>
          <w:bCs/>
          <w:szCs w:val="24"/>
          <w:lang w:eastAsia="fr-FR"/>
        </w:rPr>
      </w:pPr>
    </w:p>
    <w:p w14:paraId="3B290DB6" w14:textId="734D68E0" w:rsidR="008A1967" w:rsidRDefault="008A1967" w:rsidP="008A1967">
      <w:pPr>
        <w:spacing w:after="0" w:line="276" w:lineRule="auto"/>
        <w:rPr>
          <w:rFonts w:ascii="Rockwell" w:eastAsia="Times New Roman" w:hAnsi="Rockwell" w:cs="Times New Roman"/>
          <w:b/>
          <w:bCs/>
          <w:szCs w:val="24"/>
          <w:lang w:eastAsia="fr-FR"/>
        </w:rPr>
      </w:pPr>
    </w:p>
    <w:p w14:paraId="7BBD4305" w14:textId="7FBED8AB" w:rsidR="002609E8" w:rsidRDefault="002609E8" w:rsidP="008A1967">
      <w:pPr>
        <w:spacing w:after="0" w:line="276" w:lineRule="auto"/>
        <w:rPr>
          <w:rFonts w:ascii="Rockwell" w:eastAsia="Times New Roman" w:hAnsi="Rockwell" w:cs="Times New Roman"/>
          <w:b/>
          <w:bCs/>
          <w:szCs w:val="24"/>
          <w:lang w:eastAsia="fr-FR"/>
        </w:rPr>
      </w:pPr>
    </w:p>
    <w:p w14:paraId="578B0344" w14:textId="77777777" w:rsidR="002609E8" w:rsidRPr="008D2129" w:rsidRDefault="002609E8" w:rsidP="008A1967">
      <w:pPr>
        <w:spacing w:after="0" w:line="276" w:lineRule="auto"/>
        <w:rPr>
          <w:rFonts w:ascii="Rockwell" w:eastAsia="Times New Roman" w:hAnsi="Rockwell" w:cs="Times New Roman"/>
          <w:b/>
          <w:bCs/>
          <w:szCs w:val="24"/>
          <w:lang w:eastAsia="fr-FR"/>
        </w:rPr>
      </w:pPr>
    </w:p>
    <w:p w14:paraId="30FFC1E1" w14:textId="1FA7AA11" w:rsidR="008A1967" w:rsidRPr="008D2129" w:rsidRDefault="00061F93" w:rsidP="006269B2">
      <w:pPr>
        <w:tabs>
          <w:tab w:val="left" w:pos="4536"/>
        </w:tabs>
        <w:spacing w:after="0" w:line="276" w:lineRule="auto"/>
        <w:jc w:val="center"/>
        <w:rPr>
          <w:rFonts w:ascii="Garamond" w:eastAsia="Times New Roman" w:hAnsi="Garamond" w:cs="Times New Roman"/>
          <w:bCs/>
          <w:szCs w:val="24"/>
          <w:lang w:eastAsia="fr-FR"/>
        </w:rPr>
        <w:sectPr w:rsidR="008A1967" w:rsidRPr="008D2129" w:rsidSect="007E167D">
          <w:footerReference w:type="default" r:id="rId9"/>
          <w:pgSz w:w="11906" w:h="16838"/>
          <w:pgMar w:top="1418" w:right="1418" w:bottom="1418" w:left="1418" w:header="709" w:footer="709" w:gutter="0"/>
          <w:pgBorders w:display="firstPage" w:offsetFrom="page">
            <w:top w:val="thinThickThinMediumGap" w:sz="36" w:space="24" w:color="4472C4" w:themeColor="accent1"/>
            <w:left w:val="thinThickThinMediumGap" w:sz="36" w:space="24" w:color="4472C4" w:themeColor="accent1"/>
            <w:bottom w:val="thinThickThinMediumGap" w:sz="36" w:space="24" w:color="4472C4" w:themeColor="accent1"/>
            <w:right w:val="thinThickThinMediumGap" w:sz="36" w:space="24" w:color="4472C4" w:themeColor="accent1"/>
          </w:pgBorders>
          <w:cols w:space="708"/>
          <w:titlePg/>
          <w:docGrid w:linePitch="360"/>
        </w:sectPr>
      </w:pPr>
      <w:r>
        <w:rPr>
          <w:rFonts w:ascii="Garamond" w:eastAsia="Times New Roman" w:hAnsi="Garamond" w:cs="Times New Roman"/>
          <w:bCs/>
          <w:szCs w:val="24"/>
          <w:lang w:eastAsia="fr-FR"/>
        </w:rPr>
        <w:t>Avril</w:t>
      </w:r>
      <w:r w:rsidR="00AA00FF" w:rsidRPr="008D2129">
        <w:rPr>
          <w:rFonts w:ascii="Garamond" w:eastAsia="Times New Roman" w:hAnsi="Garamond" w:cs="Times New Roman"/>
          <w:bCs/>
          <w:szCs w:val="24"/>
          <w:lang w:eastAsia="fr-FR"/>
        </w:rPr>
        <w:t xml:space="preserve"> 202</w:t>
      </w:r>
      <w:r w:rsidR="00E00DC0" w:rsidRPr="008D2129">
        <w:rPr>
          <w:rFonts w:ascii="Garamond" w:eastAsia="Times New Roman" w:hAnsi="Garamond" w:cs="Times New Roman"/>
          <w:bCs/>
          <w:szCs w:val="24"/>
          <w:lang w:eastAsia="fr-FR"/>
        </w:rPr>
        <w:t>4</w:t>
      </w:r>
    </w:p>
    <w:p w14:paraId="19CCE0BD" w14:textId="18CDBE4D" w:rsidR="00132F53" w:rsidRPr="008D2129" w:rsidRDefault="00132F53" w:rsidP="00FA60DA">
      <w:pPr>
        <w:pStyle w:val="Titre1"/>
        <w:rPr>
          <w:szCs w:val="28"/>
        </w:rPr>
      </w:pPr>
      <w:bookmarkStart w:id="0" w:name="_Toc163141198"/>
      <w:bookmarkStart w:id="1" w:name="_Toc164692879"/>
      <w:bookmarkStart w:id="2" w:name="_Toc126048919"/>
      <w:bookmarkStart w:id="3" w:name="_Toc126049031"/>
      <w:r w:rsidRPr="008D2129">
        <w:rPr>
          <w:szCs w:val="28"/>
        </w:rPr>
        <w:lastRenderedPageBreak/>
        <w:t>Sommaire</w:t>
      </w:r>
      <w:bookmarkEnd w:id="0"/>
      <w:bookmarkEnd w:id="1"/>
    </w:p>
    <w:p w14:paraId="02CCFF91" w14:textId="782D21F1" w:rsidR="00337D8F" w:rsidRDefault="00132F53">
      <w:pPr>
        <w:pStyle w:val="TM1"/>
        <w:rPr>
          <w:rFonts w:asciiTheme="minorHAnsi" w:eastAsiaTheme="minorEastAsia" w:hAnsiTheme="minorHAnsi" w:cstheme="minorBidi"/>
          <w:noProof/>
          <w:sz w:val="22"/>
          <w:lang w:eastAsia="fr-FR"/>
        </w:rPr>
      </w:pPr>
      <w:r w:rsidRPr="008D2129">
        <w:fldChar w:fldCharType="begin"/>
      </w:r>
      <w:r w:rsidRPr="008D2129">
        <w:instrText xml:space="preserve"> TOC \o "1-2" \h \z \u </w:instrText>
      </w:r>
      <w:r w:rsidRPr="008D2129">
        <w:fldChar w:fldCharType="separate"/>
      </w:r>
      <w:hyperlink w:anchor="_Toc164692879" w:history="1">
        <w:r w:rsidR="00337D8F" w:rsidRPr="00AB7410">
          <w:rPr>
            <w:rStyle w:val="Lienhypertexte"/>
            <w:noProof/>
          </w:rPr>
          <w:t>Sommaire</w:t>
        </w:r>
        <w:r w:rsidR="00337D8F">
          <w:rPr>
            <w:noProof/>
            <w:webHidden/>
          </w:rPr>
          <w:tab/>
        </w:r>
        <w:r w:rsidR="00337D8F">
          <w:rPr>
            <w:noProof/>
            <w:webHidden/>
          </w:rPr>
          <w:fldChar w:fldCharType="begin"/>
        </w:r>
        <w:r w:rsidR="00337D8F">
          <w:rPr>
            <w:noProof/>
            <w:webHidden/>
          </w:rPr>
          <w:instrText xml:space="preserve"> PAGEREF _Toc164692879 \h </w:instrText>
        </w:r>
        <w:r w:rsidR="00337D8F">
          <w:rPr>
            <w:noProof/>
            <w:webHidden/>
          </w:rPr>
        </w:r>
        <w:r w:rsidR="00337D8F">
          <w:rPr>
            <w:noProof/>
            <w:webHidden/>
          </w:rPr>
          <w:fldChar w:fldCharType="separate"/>
        </w:r>
        <w:r w:rsidR="007C2E4E">
          <w:rPr>
            <w:noProof/>
            <w:webHidden/>
          </w:rPr>
          <w:t>i</w:t>
        </w:r>
        <w:r w:rsidR="00337D8F">
          <w:rPr>
            <w:noProof/>
            <w:webHidden/>
          </w:rPr>
          <w:fldChar w:fldCharType="end"/>
        </w:r>
      </w:hyperlink>
    </w:p>
    <w:p w14:paraId="0D75217D" w14:textId="58D511BE" w:rsidR="00337D8F" w:rsidRDefault="00183DC5">
      <w:pPr>
        <w:pStyle w:val="TM1"/>
        <w:rPr>
          <w:rFonts w:asciiTheme="minorHAnsi" w:eastAsiaTheme="minorEastAsia" w:hAnsiTheme="minorHAnsi" w:cstheme="minorBidi"/>
          <w:noProof/>
          <w:sz w:val="22"/>
          <w:lang w:eastAsia="fr-FR"/>
        </w:rPr>
      </w:pPr>
      <w:hyperlink w:anchor="_Toc164692880" w:history="1">
        <w:r w:rsidR="00337D8F" w:rsidRPr="00AB7410">
          <w:rPr>
            <w:rStyle w:val="Lienhypertexte"/>
            <w:noProof/>
          </w:rPr>
          <w:t>Liste des tableaux</w:t>
        </w:r>
        <w:r w:rsidR="00337D8F">
          <w:rPr>
            <w:noProof/>
            <w:webHidden/>
          </w:rPr>
          <w:tab/>
        </w:r>
        <w:r w:rsidR="00337D8F">
          <w:rPr>
            <w:noProof/>
            <w:webHidden/>
          </w:rPr>
          <w:fldChar w:fldCharType="begin"/>
        </w:r>
        <w:r w:rsidR="00337D8F">
          <w:rPr>
            <w:noProof/>
            <w:webHidden/>
          </w:rPr>
          <w:instrText xml:space="preserve"> PAGEREF _Toc164692880 \h </w:instrText>
        </w:r>
        <w:r w:rsidR="00337D8F">
          <w:rPr>
            <w:noProof/>
            <w:webHidden/>
          </w:rPr>
        </w:r>
        <w:r w:rsidR="00337D8F">
          <w:rPr>
            <w:noProof/>
            <w:webHidden/>
          </w:rPr>
          <w:fldChar w:fldCharType="separate"/>
        </w:r>
        <w:r w:rsidR="007C2E4E">
          <w:rPr>
            <w:noProof/>
            <w:webHidden/>
          </w:rPr>
          <w:t>ii</w:t>
        </w:r>
        <w:r w:rsidR="00337D8F">
          <w:rPr>
            <w:noProof/>
            <w:webHidden/>
          </w:rPr>
          <w:fldChar w:fldCharType="end"/>
        </w:r>
      </w:hyperlink>
    </w:p>
    <w:p w14:paraId="61927AA6" w14:textId="586A84FD" w:rsidR="00337D8F" w:rsidRDefault="00183DC5">
      <w:pPr>
        <w:pStyle w:val="TM1"/>
        <w:rPr>
          <w:rFonts w:asciiTheme="minorHAnsi" w:eastAsiaTheme="minorEastAsia" w:hAnsiTheme="minorHAnsi" w:cstheme="minorBidi"/>
          <w:noProof/>
          <w:sz w:val="22"/>
          <w:lang w:eastAsia="fr-FR"/>
        </w:rPr>
      </w:pPr>
      <w:hyperlink w:anchor="_Toc164692881" w:history="1">
        <w:r w:rsidR="00337D8F" w:rsidRPr="00AB7410">
          <w:rPr>
            <w:rStyle w:val="Lienhypertexte"/>
            <w:noProof/>
          </w:rPr>
          <w:t>Sigles et abréviations</w:t>
        </w:r>
        <w:r w:rsidR="00337D8F">
          <w:rPr>
            <w:noProof/>
            <w:webHidden/>
          </w:rPr>
          <w:tab/>
        </w:r>
        <w:r w:rsidR="00337D8F">
          <w:rPr>
            <w:noProof/>
            <w:webHidden/>
          </w:rPr>
          <w:fldChar w:fldCharType="begin"/>
        </w:r>
        <w:r w:rsidR="00337D8F">
          <w:rPr>
            <w:noProof/>
            <w:webHidden/>
          </w:rPr>
          <w:instrText xml:space="preserve"> PAGEREF _Toc164692881 \h </w:instrText>
        </w:r>
        <w:r w:rsidR="00337D8F">
          <w:rPr>
            <w:noProof/>
            <w:webHidden/>
          </w:rPr>
        </w:r>
        <w:r w:rsidR="00337D8F">
          <w:rPr>
            <w:noProof/>
            <w:webHidden/>
          </w:rPr>
          <w:fldChar w:fldCharType="separate"/>
        </w:r>
        <w:r w:rsidR="007C2E4E">
          <w:rPr>
            <w:noProof/>
            <w:webHidden/>
          </w:rPr>
          <w:t>vii</w:t>
        </w:r>
        <w:r w:rsidR="00337D8F">
          <w:rPr>
            <w:noProof/>
            <w:webHidden/>
          </w:rPr>
          <w:fldChar w:fldCharType="end"/>
        </w:r>
      </w:hyperlink>
    </w:p>
    <w:p w14:paraId="4B7812A9" w14:textId="12DB4448" w:rsidR="00337D8F" w:rsidRDefault="00183DC5">
      <w:pPr>
        <w:pStyle w:val="TM1"/>
        <w:rPr>
          <w:rFonts w:asciiTheme="minorHAnsi" w:eastAsiaTheme="minorEastAsia" w:hAnsiTheme="minorHAnsi" w:cstheme="minorBidi"/>
          <w:noProof/>
          <w:sz w:val="22"/>
          <w:lang w:eastAsia="fr-FR"/>
        </w:rPr>
      </w:pPr>
      <w:hyperlink w:anchor="_Toc164692882" w:history="1">
        <w:r w:rsidR="00337D8F" w:rsidRPr="00AB7410">
          <w:rPr>
            <w:rStyle w:val="Lienhypertexte"/>
            <w:noProof/>
          </w:rPr>
          <w:t>Résumé</w:t>
        </w:r>
        <w:r w:rsidR="00337D8F">
          <w:rPr>
            <w:noProof/>
            <w:webHidden/>
          </w:rPr>
          <w:tab/>
        </w:r>
        <w:r w:rsidR="00337D8F">
          <w:rPr>
            <w:noProof/>
            <w:webHidden/>
          </w:rPr>
          <w:fldChar w:fldCharType="begin"/>
        </w:r>
        <w:r w:rsidR="00337D8F">
          <w:rPr>
            <w:noProof/>
            <w:webHidden/>
          </w:rPr>
          <w:instrText xml:space="preserve"> PAGEREF _Toc164692882 \h </w:instrText>
        </w:r>
        <w:r w:rsidR="00337D8F">
          <w:rPr>
            <w:noProof/>
            <w:webHidden/>
          </w:rPr>
        </w:r>
        <w:r w:rsidR="00337D8F">
          <w:rPr>
            <w:noProof/>
            <w:webHidden/>
          </w:rPr>
          <w:fldChar w:fldCharType="separate"/>
        </w:r>
        <w:r w:rsidR="007C2E4E">
          <w:rPr>
            <w:noProof/>
            <w:webHidden/>
          </w:rPr>
          <w:t>x</w:t>
        </w:r>
        <w:r w:rsidR="00337D8F">
          <w:rPr>
            <w:noProof/>
            <w:webHidden/>
          </w:rPr>
          <w:fldChar w:fldCharType="end"/>
        </w:r>
      </w:hyperlink>
    </w:p>
    <w:p w14:paraId="5870CDDC" w14:textId="5D8623C5" w:rsidR="00337D8F" w:rsidRDefault="00183DC5">
      <w:pPr>
        <w:pStyle w:val="TM1"/>
        <w:rPr>
          <w:rFonts w:asciiTheme="minorHAnsi" w:eastAsiaTheme="minorEastAsia" w:hAnsiTheme="minorHAnsi" w:cstheme="minorBidi"/>
          <w:noProof/>
          <w:sz w:val="22"/>
          <w:lang w:eastAsia="fr-FR"/>
        </w:rPr>
      </w:pPr>
      <w:hyperlink w:anchor="_Toc164692883" w:history="1">
        <w:r w:rsidR="00337D8F" w:rsidRPr="00AB7410">
          <w:rPr>
            <w:rStyle w:val="Lienhypertexte"/>
            <w:noProof/>
          </w:rPr>
          <w:t>Introduction</w:t>
        </w:r>
        <w:r w:rsidR="00337D8F">
          <w:rPr>
            <w:noProof/>
            <w:webHidden/>
          </w:rPr>
          <w:tab/>
        </w:r>
        <w:r w:rsidR="00337D8F">
          <w:rPr>
            <w:noProof/>
            <w:webHidden/>
          </w:rPr>
          <w:fldChar w:fldCharType="begin"/>
        </w:r>
        <w:r w:rsidR="00337D8F">
          <w:rPr>
            <w:noProof/>
            <w:webHidden/>
          </w:rPr>
          <w:instrText xml:space="preserve"> PAGEREF _Toc164692883 \h </w:instrText>
        </w:r>
        <w:r w:rsidR="00337D8F">
          <w:rPr>
            <w:noProof/>
            <w:webHidden/>
          </w:rPr>
        </w:r>
        <w:r w:rsidR="00337D8F">
          <w:rPr>
            <w:noProof/>
            <w:webHidden/>
          </w:rPr>
          <w:fldChar w:fldCharType="separate"/>
        </w:r>
        <w:r w:rsidR="007C2E4E">
          <w:rPr>
            <w:noProof/>
            <w:webHidden/>
          </w:rPr>
          <w:t>1</w:t>
        </w:r>
        <w:r w:rsidR="00337D8F">
          <w:rPr>
            <w:noProof/>
            <w:webHidden/>
          </w:rPr>
          <w:fldChar w:fldCharType="end"/>
        </w:r>
      </w:hyperlink>
    </w:p>
    <w:p w14:paraId="7A966369" w14:textId="567B9426" w:rsidR="00337D8F" w:rsidRDefault="00183DC5">
      <w:pPr>
        <w:pStyle w:val="TM1"/>
        <w:tabs>
          <w:tab w:val="left" w:pos="480"/>
        </w:tabs>
        <w:rPr>
          <w:rFonts w:asciiTheme="minorHAnsi" w:eastAsiaTheme="minorEastAsia" w:hAnsiTheme="minorHAnsi" w:cstheme="minorBidi"/>
          <w:noProof/>
          <w:sz w:val="22"/>
          <w:lang w:eastAsia="fr-FR"/>
        </w:rPr>
      </w:pPr>
      <w:hyperlink w:anchor="_Toc164692884" w:history="1">
        <w:r w:rsidR="00337D8F" w:rsidRPr="00AB7410">
          <w:rPr>
            <w:rStyle w:val="Lienhypertexte"/>
            <w:rFonts w:cstheme="majorBidi"/>
            <w:noProof/>
          </w:rPr>
          <w:t>I.</w:t>
        </w:r>
        <w:r w:rsidR="00337D8F">
          <w:rPr>
            <w:rFonts w:asciiTheme="minorHAnsi" w:eastAsiaTheme="minorEastAsia" w:hAnsiTheme="minorHAnsi" w:cstheme="minorBidi"/>
            <w:noProof/>
            <w:sz w:val="22"/>
            <w:lang w:eastAsia="fr-FR"/>
          </w:rPr>
          <w:tab/>
        </w:r>
        <w:r w:rsidR="00337D8F" w:rsidRPr="00AB7410">
          <w:rPr>
            <w:rStyle w:val="Lienhypertexte"/>
            <w:noProof/>
          </w:rPr>
          <w:t>Evolution de l’économie burkinabè en 2023</w:t>
        </w:r>
        <w:r w:rsidR="00337D8F">
          <w:rPr>
            <w:noProof/>
            <w:webHidden/>
          </w:rPr>
          <w:tab/>
        </w:r>
        <w:r w:rsidR="00337D8F">
          <w:rPr>
            <w:noProof/>
            <w:webHidden/>
          </w:rPr>
          <w:fldChar w:fldCharType="begin"/>
        </w:r>
        <w:r w:rsidR="00337D8F">
          <w:rPr>
            <w:noProof/>
            <w:webHidden/>
          </w:rPr>
          <w:instrText xml:space="preserve"> PAGEREF _Toc164692884 \h </w:instrText>
        </w:r>
        <w:r w:rsidR="00337D8F">
          <w:rPr>
            <w:noProof/>
            <w:webHidden/>
          </w:rPr>
        </w:r>
        <w:r w:rsidR="00337D8F">
          <w:rPr>
            <w:noProof/>
            <w:webHidden/>
          </w:rPr>
          <w:fldChar w:fldCharType="separate"/>
        </w:r>
        <w:r w:rsidR="007C2E4E">
          <w:rPr>
            <w:noProof/>
            <w:webHidden/>
          </w:rPr>
          <w:t>2</w:t>
        </w:r>
        <w:r w:rsidR="00337D8F">
          <w:rPr>
            <w:noProof/>
            <w:webHidden/>
          </w:rPr>
          <w:fldChar w:fldCharType="end"/>
        </w:r>
      </w:hyperlink>
    </w:p>
    <w:p w14:paraId="7670A1F6" w14:textId="43811F93" w:rsidR="00337D8F" w:rsidRDefault="00183DC5">
      <w:pPr>
        <w:pStyle w:val="TM1"/>
        <w:tabs>
          <w:tab w:val="left" w:pos="480"/>
        </w:tabs>
        <w:rPr>
          <w:rFonts w:asciiTheme="minorHAnsi" w:eastAsiaTheme="minorEastAsia" w:hAnsiTheme="minorHAnsi" w:cstheme="minorBidi"/>
          <w:noProof/>
          <w:sz w:val="22"/>
          <w:lang w:eastAsia="fr-FR"/>
        </w:rPr>
      </w:pPr>
      <w:hyperlink w:anchor="_Toc164692885" w:history="1">
        <w:r w:rsidR="00337D8F" w:rsidRPr="00AB7410">
          <w:rPr>
            <w:rStyle w:val="Lienhypertexte"/>
            <w:rFonts w:cstheme="majorBidi"/>
            <w:noProof/>
          </w:rPr>
          <w:t>II.</w:t>
        </w:r>
        <w:r w:rsidR="00337D8F">
          <w:rPr>
            <w:rFonts w:asciiTheme="minorHAnsi" w:eastAsiaTheme="minorEastAsia" w:hAnsiTheme="minorHAnsi" w:cstheme="minorBidi"/>
            <w:noProof/>
            <w:sz w:val="22"/>
            <w:lang w:eastAsia="fr-FR"/>
          </w:rPr>
          <w:tab/>
        </w:r>
        <w:r w:rsidR="00337D8F" w:rsidRPr="00AB7410">
          <w:rPr>
            <w:rStyle w:val="Lienhypertexte"/>
            <w:noProof/>
          </w:rPr>
          <w:t>Performances au 31 décembre 2023 de la mise en œuvre du PA-SD par pilier</w:t>
        </w:r>
        <w:r w:rsidR="00337D8F">
          <w:rPr>
            <w:noProof/>
            <w:webHidden/>
          </w:rPr>
          <w:tab/>
        </w:r>
        <w:r w:rsidR="00337D8F">
          <w:rPr>
            <w:noProof/>
            <w:webHidden/>
          </w:rPr>
          <w:fldChar w:fldCharType="begin"/>
        </w:r>
        <w:r w:rsidR="00337D8F">
          <w:rPr>
            <w:noProof/>
            <w:webHidden/>
          </w:rPr>
          <w:instrText xml:space="preserve"> PAGEREF _Toc164692885 \h </w:instrText>
        </w:r>
        <w:r w:rsidR="00337D8F">
          <w:rPr>
            <w:noProof/>
            <w:webHidden/>
          </w:rPr>
        </w:r>
        <w:r w:rsidR="00337D8F">
          <w:rPr>
            <w:noProof/>
            <w:webHidden/>
          </w:rPr>
          <w:fldChar w:fldCharType="separate"/>
        </w:r>
        <w:r w:rsidR="007C2E4E">
          <w:rPr>
            <w:noProof/>
            <w:webHidden/>
          </w:rPr>
          <w:t>4</w:t>
        </w:r>
        <w:r w:rsidR="00337D8F">
          <w:rPr>
            <w:noProof/>
            <w:webHidden/>
          </w:rPr>
          <w:fldChar w:fldCharType="end"/>
        </w:r>
      </w:hyperlink>
    </w:p>
    <w:p w14:paraId="5A024D15" w14:textId="1A9CE27D" w:rsidR="00337D8F"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4692886" w:history="1">
        <w:r w:rsidR="00337D8F" w:rsidRPr="00AB7410">
          <w:rPr>
            <w:rStyle w:val="Lienhypertexte"/>
            <w:rFonts w:cstheme="majorBidi"/>
            <w:noProof/>
          </w:rPr>
          <w:t>II.1.</w:t>
        </w:r>
        <w:r w:rsidR="00337D8F">
          <w:rPr>
            <w:rFonts w:asciiTheme="minorHAnsi" w:eastAsiaTheme="minorEastAsia" w:hAnsiTheme="minorHAnsi" w:cstheme="minorBidi"/>
            <w:noProof/>
            <w:sz w:val="22"/>
            <w:lang w:eastAsia="fr-FR"/>
          </w:rPr>
          <w:tab/>
        </w:r>
        <w:r w:rsidR="00337D8F" w:rsidRPr="00AB7410">
          <w:rPr>
            <w:rStyle w:val="Lienhypertexte"/>
            <w:noProof/>
          </w:rPr>
          <w:t>Pilier 1 : Lutter contre le terrorisme et restaurer l’intégrité territoriale</w:t>
        </w:r>
        <w:r w:rsidR="00337D8F">
          <w:rPr>
            <w:noProof/>
            <w:webHidden/>
          </w:rPr>
          <w:tab/>
        </w:r>
        <w:r w:rsidR="00337D8F">
          <w:rPr>
            <w:noProof/>
            <w:webHidden/>
          </w:rPr>
          <w:fldChar w:fldCharType="begin"/>
        </w:r>
        <w:r w:rsidR="00337D8F">
          <w:rPr>
            <w:noProof/>
            <w:webHidden/>
          </w:rPr>
          <w:instrText xml:space="preserve"> PAGEREF _Toc164692886 \h </w:instrText>
        </w:r>
        <w:r w:rsidR="00337D8F">
          <w:rPr>
            <w:noProof/>
            <w:webHidden/>
          </w:rPr>
        </w:r>
        <w:r w:rsidR="00337D8F">
          <w:rPr>
            <w:noProof/>
            <w:webHidden/>
          </w:rPr>
          <w:fldChar w:fldCharType="separate"/>
        </w:r>
        <w:r w:rsidR="007C2E4E">
          <w:rPr>
            <w:noProof/>
            <w:webHidden/>
          </w:rPr>
          <w:t>4</w:t>
        </w:r>
        <w:r w:rsidR="00337D8F">
          <w:rPr>
            <w:noProof/>
            <w:webHidden/>
          </w:rPr>
          <w:fldChar w:fldCharType="end"/>
        </w:r>
      </w:hyperlink>
    </w:p>
    <w:p w14:paraId="2553FC11" w14:textId="796A964D" w:rsidR="00337D8F"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4692887" w:history="1">
        <w:r w:rsidR="00337D8F" w:rsidRPr="00AB7410">
          <w:rPr>
            <w:rStyle w:val="Lienhypertexte"/>
            <w:rFonts w:cstheme="majorBidi"/>
            <w:noProof/>
          </w:rPr>
          <w:t>II.2.</w:t>
        </w:r>
        <w:r w:rsidR="00337D8F">
          <w:rPr>
            <w:rFonts w:asciiTheme="minorHAnsi" w:eastAsiaTheme="minorEastAsia" w:hAnsiTheme="minorHAnsi" w:cstheme="minorBidi"/>
            <w:noProof/>
            <w:sz w:val="22"/>
            <w:lang w:eastAsia="fr-FR"/>
          </w:rPr>
          <w:tab/>
        </w:r>
        <w:r w:rsidR="00337D8F" w:rsidRPr="00AB7410">
          <w:rPr>
            <w:rStyle w:val="Lienhypertexte"/>
            <w:noProof/>
          </w:rPr>
          <w:t>Pilier 2 : Répondre à la crise humanitaire</w:t>
        </w:r>
        <w:r w:rsidR="00337D8F">
          <w:rPr>
            <w:noProof/>
            <w:webHidden/>
          </w:rPr>
          <w:tab/>
        </w:r>
        <w:r w:rsidR="00337D8F">
          <w:rPr>
            <w:noProof/>
            <w:webHidden/>
          </w:rPr>
          <w:fldChar w:fldCharType="begin"/>
        </w:r>
        <w:r w:rsidR="00337D8F">
          <w:rPr>
            <w:noProof/>
            <w:webHidden/>
          </w:rPr>
          <w:instrText xml:space="preserve"> PAGEREF _Toc164692887 \h </w:instrText>
        </w:r>
        <w:r w:rsidR="00337D8F">
          <w:rPr>
            <w:noProof/>
            <w:webHidden/>
          </w:rPr>
        </w:r>
        <w:r w:rsidR="00337D8F">
          <w:rPr>
            <w:noProof/>
            <w:webHidden/>
          </w:rPr>
          <w:fldChar w:fldCharType="separate"/>
        </w:r>
        <w:r w:rsidR="007C2E4E">
          <w:rPr>
            <w:noProof/>
            <w:webHidden/>
          </w:rPr>
          <w:t>22</w:t>
        </w:r>
        <w:r w:rsidR="00337D8F">
          <w:rPr>
            <w:noProof/>
            <w:webHidden/>
          </w:rPr>
          <w:fldChar w:fldCharType="end"/>
        </w:r>
      </w:hyperlink>
    </w:p>
    <w:p w14:paraId="21F9DF0F" w14:textId="0657BE91" w:rsidR="00337D8F"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4692888" w:history="1">
        <w:r w:rsidR="00337D8F" w:rsidRPr="00AB7410">
          <w:rPr>
            <w:rStyle w:val="Lienhypertexte"/>
            <w:rFonts w:cstheme="majorBidi"/>
            <w:noProof/>
          </w:rPr>
          <w:t>II.3.</w:t>
        </w:r>
        <w:r w:rsidR="00337D8F">
          <w:rPr>
            <w:rFonts w:asciiTheme="minorHAnsi" w:eastAsiaTheme="minorEastAsia" w:hAnsiTheme="minorHAnsi" w:cstheme="minorBidi"/>
            <w:noProof/>
            <w:sz w:val="22"/>
            <w:lang w:eastAsia="fr-FR"/>
          </w:rPr>
          <w:tab/>
        </w:r>
        <w:r w:rsidR="00337D8F" w:rsidRPr="00AB7410">
          <w:rPr>
            <w:rStyle w:val="Lienhypertexte"/>
            <w:noProof/>
          </w:rPr>
          <w:t>Pilier 3 : Refonder l’Etat et améliorer la gouvernance</w:t>
        </w:r>
        <w:r w:rsidR="00337D8F">
          <w:rPr>
            <w:noProof/>
            <w:webHidden/>
          </w:rPr>
          <w:tab/>
        </w:r>
        <w:r w:rsidR="00337D8F">
          <w:rPr>
            <w:noProof/>
            <w:webHidden/>
          </w:rPr>
          <w:fldChar w:fldCharType="begin"/>
        </w:r>
        <w:r w:rsidR="00337D8F">
          <w:rPr>
            <w:noProof/>
            <w:webHidden/>
          </w:rPr>
          <w:instrText xml:space="preserve"> PAGEREF _Toc164692888 \h </w:instrText>
        </w:r>
        <w:r w:rsidR="00337D8F">
          <w:rPr>
            <w:noProof/>
            <w:webHidden/>
          </w:rPr>
        </w:r>
        <w:r w:rsidR="00337D8F">
          <w:rPr>
            <w:noProof/>
            <w:webHidden/>
          </w:rPr>
          <w:fldChar w:fldCharType="separate"/>
        </w:r>
        <w:r w:rsidR="007C2E4E">
          <w:rPr>
            <w:noProof/>
            <w:webHidden/>
          </w:rPr>
          <w:t>37</w:t>
        </w:r>
        <w:r w:rsidR="00337D8F">
          <w:rPr>
            <w:noProof/>
            <w:webHidden/>
          </w:rPr>
          <w:fldChar w:fldCharType="end"/>
        </w:r>
      </w:hyperlink>
    </w:p>
    <w:p w14:paraId="09EF15D9" w14:textId="146F4C3C" w:rsidR="00337D8F"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4692889" w:history="1">
        <w:r w:rsidR="00337D8F" w:rsidRPr="00AB7410">
          <w:rPr>
            <w:rStyle w:val="Lienhypertexte"/>
            <w:rFonts w:cstheme="majorBidi"/>
            <w:noProof/>
          </w:rPr>
          <w:t>II.4.</w:t>
        </w:r>
        <w:r w:rsidR="00337D8F">
          <w:rPr>
            <w:rFonts w:asciiTheme="minorHAnsi" w:eastAsiaTheme="minorEastAsia" w:hAnsiTheme="minorHAnsi" w:cstheme="minorBidi"/>
            <w:noProof/>
            <w:sz w:val="22"/>
            <w:lang w:eastAsia="fr-FR"/>
          </w:rPr>
          <w:tab/>
        </w:r>
        <w:r w:rsidR="00337D8F" w:rsidRPr="00AB7410">
          <w:rPr>
            <w:rStyle w:val="Lienhypertexte"/>
            <w:noProof/>
          </w:rPr>
          <w:t>Pilier 4 : Œuvrer à la réconciliation nationale et à la cohésion sociale</w:t>
        </w:r>
        <w:r w:rsidR="00337D8F">
          <w:rPr>
            <w:noProof/>
            <w:webHidden/>
          </w:rPr>
          <w:tab/>
        </w:r>
        <w:r w:rsidR="00337D8F">
          <w:rPr>
            <w:noProof/>
            <w:webHidden/>
          </w:rPr>
          <w:fldChar w:fldCharType="begin"/>
        </w:r>
        <w:r w:rsidR="00337D8F">
          <w:rPr>
            <w:noProof/>
            <w:webHidden/>
          </w:rPr>
          <w:instrText xml:space="preserve"> PAGEREF _Toc164692889 \h </w:instrText>
        </w:r>
        <w:r w:rsidR="00337D8F">
          <w:rPr>
            <w:noProof/>
            <w:webHidden/>
          </w:rPr>
        </w:r>
        <w:r w:rsidR="00337D8F">
          <w:rPr>
            <w:noProof/>
            <w:webHidden/>
          </w:rPr>
          <w:fldChar w:fldCharType="separate"/>
        </w:r>
        <w:r w:rsidR="007C2E4E">
          <w:rPr>
            <w:noProof/>
            <w:webHidden/>
          </w:rPr>
          <w:t>117</w:t>
        </w:r>
        <w:r w:rsidR="00337D8F">
          <w:rPr>
            <w:noProof/>
            <w:webHidden/>
          </w:rPr>
          <w:fldChar w:fldCharType="end"/>
        </w:r>
      </w:hyperlink>
    </w:p>
    <w:p w14:paraId="3425DFAD" w14:textId="16163896" w:rsidR="00337D8F" w:rsidRDefault="00183DC5">
      <w:pPr>
        <w:pStyle w:val="TM1"/>
        <w:tabs>
          <w:tab w:val="left" w:pos="720"/>
        </w:tabs>
        <w:rPr>
          <w:rFonts w:asciiTheme="minorHAnsi" w:eastAsiaTheme="minorEastAsia" w:hAnsiTheme="minorHAnsi" w:cstheme="minorBidi"/>
          <w:noProof/>
          <w:sz w:val="22"/>
          <w:lang w:eastAsia="fr-FR"/>
        </w:rPr>
      </w:pPr>
      <w:hyperlink w:anchor="_Toc164692890" w:history="1">
        <w:r w:rsidR="00337D8F" w:rsidRPr="00AB7410">
          <w:rPr>
            <w:rStyle w:val="Lienhypertexte"/>
            <w:rFonts w:cstheme="majorBidi"/>
            <w:noProof/>
          </w:rPr>
          <w:t>III.</w:t>
        </w:r>
        <w:r w:rsidR="00337D8F">
          <w:rPr>
            <w:rFonts w:asciiTheme="minorHAnsi" w:eastAsiaTheme="minorEastAsia" w:hAnsiTheme="minorHAnsi" w:cstheme="minorBidi"/>
            <w:noProof/>
            <w:sz w:val="22"/>
            <w:lang w:eastAsia="fr-FR"/>
          </w:rPr>
          <w:tab/>
        </w:r>
        <w:r w:rsidR="00337D8F" w:rsidRPr="00AB7410">
          <w:rPr>
            <w:rStyle w:val="Lienhypertexte"/>
            <w:noProof/>
          </w:rPr>
          <w:t>Dispositions de mise en œuvre, du suivi et d’évaluation de la politique nationale de développement en 2023</w:t>
        </w:r>
        <w:r w:rsidR="00337D8F">
          <w:rPr>
            <w:noProof/>
            <w:webHidden/>
          </w:rPr>
          <w:tab/>
        </w:r>
        <w:r w:rsidR="00337D8F">
          <w:rPr>
            <w:noProof/>
            <w:webHidden/>
          </w:rPr>
          <w:fldChar w:fldCharType="begin"/>
        </w:r>
        <w:r w:rsidR="00337D8F">
          <w:rPr>
            <w:noProof/>
            <w:webHidden/>
          </w:rPr>
          <w:instrText xml:space="preserve"> PAGEREF _Toc164692890 \h </w:instrText>
        </w:r>
        <w:r w:rsidR="00337D8F">
          <w:rPr>
            <w:noProof/>
            <w:webHidden/>
          </w:rPr>
        </w:r>
        <w:r w:rsidR="00337D8F">
          <w:rPr>
            <w:noProof/>
            <w:webHidden/>
          </w:rPr>
          <w:fldChar w:fldCharType="separate"/>
        </w:r>
        <w:r w:rsidR="007C2E4E">
          <w:rPr>
            <w:noProof/>
            <w:webHidden/>
          </w:rPr>
          <w:t>125</w:t>
        </w:r>
        <w:r w:rsidR="00337D8F">
          <w:rPr>
            <w:noProof/>
            <w:webHidden/>
          </w:rPr>
          <w:fldChar w:fldCharType="end"/>
        </w:r>
      </w:hyperlink>
    </w:p>
    <w:p w14:paraId="2C02D261" w14:textId="3701064D" w:rsidR="00337D8F" w:rsidRDefault="00183DC5">
      <w:pPr>
        <w:pStyle w:val="TM2"/>
        <w:tabs>
          <w:tab w:val="left" w:pos="1100"/>
          <w:tab w:val="right" w:leader="dot" w:pos="9016"/>
        </w:tabs>
        <w:rPr>
          <w:rFonts w:asciiTheme="minorHAnsi" w:eastAsiaTheme="minorEastAsia" w:hAnsiTheme="minorHAnsi" w:cstheme="minorBidi"/>
          <w:noProof/>
          <w:sz w:val="22"/>
          <w:lang w:eastAsia="fr-FR"/>
        </w:rPr>
      </w:pPr>
      <w:hyperlink w:anchor="_Toc164692891" w:history="1">
        <w:r w:rsidR="00337D8F" w:rsidRPr="00AB7410">
          <w:rPr>
            <w:rStyle w:val="Lienhypertexte"/>
            <w:rFonts w:cstheme="majorBidi"/>
            <w:noProof/>
          </w:rPr>
          <w:t>III.1.</w:t>
        </w:r>
        <w:r w:rsidR="00337D8F">
          <w:rPr>
            <w:rFonts w:asciiTheme="minorHAnsi" w:eastAsiaTheme="minorEastAsia" w:hAnsiTheme="minorHAnsi" w:cstheme="minorBidi"/>
            <w:noProof/>
            <w:sz w:val="22"/>
            <w:lang w:eastAsia="fr-FR"/>
          </w:rPr>
          <w:tab/>
        </w:r>
        <w:r w:rsidR="00337D8F" w:rsidRPr="00AB7410">
          <w:rPr>
            <w:rStyle w:val="Lienhypertexte"/>
            <w:noProof/>
          </w:rPr>
          <w:t>Fonctionnement des organes et instance du dispositif</w:t>
        </w:r>
        <w:r w:rsidR="00337D8F">
          <w:rPr>
            <w:noProof/>
            <w:webHidden/>
          </w:rPr>
          <w:tab/>
        </w:r>
        <w:r w:rsidR="00337D8F">
          <w:rPr>
            <w:noProof/>
            <w:webHidden/>
          </w:rPr>
          <w:fldChar w:fldCharType="begin"/>
        </w:r>
        <w:r w:rsidR="00337D8F">
          <w:rPr>
            <w:noProof/>
            <w:webHidden/>
          </w:rPr>
          <w:instrText xml:space="preserve"> PAGEREF _Toc164692891 \h </w:instrText>
        </w:r>
        <w:r w:rsidR="00337D8F">
          <w:rPr>
            <w:noProof/>
            <w:webHidden/>
          </w:rPr>
        </w:r>
        <w:r w:rsidR="00337D8F">
          <w:rPr>
            <w:noProof/>
            <w:webHidden/>
          </w:rPr>
          <w:fldChar w:fldCharType="separate"/>
        </w:r>
        <w:r w:rsidR="007C2E4E">
          <w:rPr>
            <w:noProof/>
            <w:webHidden/>
          </w:rPr>
          <w:t>125</w:t>
        </w:r>
        <w:r w:rsidR="00337D8F">
          <w:rPr>
            <w:noProof/>
            <w:webHidden/>
          </w:rPr>
          <w:fldChar w:fldCharType="end"/>
        </w:r>
      </w:hyperlink>
    </w:p>
    <w:p w14:paraId="034DA79D" w14:textId="7AC24394" w:rsidR="00337D8F" w:rsidRDefault="00183DC5">
      <w:pPr>
        <w:pStyle w:val="TM2"/>
        <w:tabs>
          <w:tab w:val="left" w:pos="1100"/>
          <w:tab w:val="right" w:leader="dot" w:pos="9016"/>
        </w:tabs>
        <w:rPr>
          <w:rFonts w:asciiTheme="minorHAnsi" w:eastAsiaTheme="minorEastAsia" w:hAnsiTheme="minorHAnsi" w:cstheme="minorBidi"/>
          <w:noProof/>
          <w:sz w:val="22"/>
          <w:lang w:eastAsia="fr-FR"/>
        </w:rPr>
      </w:pPr>
      <w:hyperlink w:anchor="_Toc164692892" w:history="1">
        <w:r w:rsidR="00337D8F" w:rsidRPr="00AB7410">
          <w:rPr>
            <w:rStyle w:val="Lienhypertexte"/>
            <w:rFonts w:cstheme="majorBidi"/>
            <w:noProof/>
          </w:rPr>
          <w:t>III.2.</w:t>
        </w:r>
        <w:r w:rsidR="00337D8F">
          <w:rPr>
            <w:rFonts w:asciiTheme="minorHAnsi" w:eastAsiaTheme="minorEastAsia" w:hAnsiTheme="minorHAnsi" w:cstheme="minorBidi"/>
            <w:noProof/>
            <w:sz w:val="22"/>
            <w:lang w:eastAsia="fr-FR"/>
          </w:rPr>
          <w:tab/>
        </w:r>
        <w:r w:rsidR="00337D8F" w:rsidRPr="00AB7410">
          <w:rPr>
            <w:rStyle w:val="Lienhypertexte"/>
            <w:noProof/>
          </w:rPr>
          <w:t>Financement de la Politique nationale de développement au 31 décembre 2023</w:t>
        </w:r>
        <w:r w:rsidR="00337D8F">
          <w:rPr>
            <w:noProof/>
            <w:webHidden/>
          </w:rPr>
          <w:tab/>
        </w:r>
        <w:r w:rsidR="00337D8F">
          <w:rPr>
            <w:noProof/>
            <w:webHidden/>
          </w:rPr>
          <w:fldChar w:fldCharType="begin"/>
        </w:r>
        <w:r w:rsidR="00337D8F">
          <w:rPr>
            <w:noProof/>
            <w:webHidden/>
          </w:rPr>
          <w:instrText xml:space="preserve"> PAGEREF _Toc164692892 \h </w:instrText>
        </w:r>
        <w:r w:rsidR="00337D8F">
          <w:rPr>
            <w:noProof/>
            <w:webHidden/>
          </w:rPr>
        </w:r>
        <w:r w:rsidR="00337D8F">
          <w:rPr>
            <w:noProof/>
            <w:webHidden/>
          </w:rPr>
          <w:fldChar w:fldCharType="separate"/>
        </w:r>
        <w:r w:rsidR="007C2E4E">
          <w:rPr>
            <w:noProof/>
            <w:webHidden/>
          </w:rPr>
          <w:t>127</w:t>
        </w:r>
        <w:r w:rsidR="00337D8F">
          <w:rPr>
            <w:noProof/>
            <w:webHidden/>
          </w:rPr>
          <w:fldChar w:fldCharType="end"/>
        </w:r>
      </w:hyperlink>
    </w:p>
    <w:p w14:paraId="5523D361" w14:textId="7AE42CFE" w:rsidR="00337D8F" w:rsidRDefault="00183DC5">
      <w:pPr>
        <w:pStyle w:val="TM2"/>
        <w:tabs>
          <w:tab w:val="left" w:pos="1100"/>
          <w:tab w:val="right" w:leader="dot" w:pos="9016"/>
        </w:tabs>
        <w:rPr>
          <w:rFonts w:asciiTheme="minorHAnsi" w:eastAsiaTheme="minorEastAsia" w:hAnsiTheme="minorHAnsi" w:cstheme="minorBidi"/>
          <w:noProof/>
          <w:sz w:val="22"/>
          <w:lang w:eastAsia="fr-FR"/>
        </w:rPr>
      </w:pPr>
      <w:hyperlink w:anchor="_Toc164692893" w:history="1">
        <w:r w:rsidR="00337D8F" w:rsidRPr="00AB7410">
          <w:rPr>
            <w:rStyle w:val="Lienhypertexte"/>
            <w:rFonts w:cstheme="majorBidi"/>
            <w:noProof/>
          </w:rPr>
          <w:t>III.3.</w:t>
        </w:r>
        <w:r w:rsidR="00337D8F">
          <w:rPr>
            <w:rFonts w:asciiTheme="minorHAnsi" w:eastAsiaTheme="minorEastAsia" w:hAnsiTheme="minorHAnsi" w:cstheme="minorBidi"/>
            <w:noProof/>
            <w:sz w:val="22"/>
            <w:lang w:eastAsia="fr-FR"/>
          </w:rPr>
          <w:tab/>
        </w:r>
        <w:r w:rsidR="00337D8F" w:rsidRPr="00AB7410">
          <w:rPr>
            <w:rStyle w:val="Lienhypertexte"/>
            <w:noProof/>
          </w:rPr>
          <w:t>Analyse de l'efficacité de la coopération au développement</w:t>
        </w:r>
        <w:r w:rsidR="00337D8F">
          <w:rPr>
            <w:noProof/>
            <w:webHidden/>
          </w:rPr>
          <w:tab/>
        </w:r>
        <w:r w:rsidR="00337D8F">
          <w:rPr>
            <w:noProof/>
            <w:webHidden/>
          </w:rPr>
          <w:fldChar w:fldCharType="begin"/>
        </w:r>
        <w:r w:rsidR="00337D8F">
          <w:rPr>
            <w:noProof/>
            <w:webHidden/>
          </w:rPr>
          <w:instrText xml:space="preserve"> PAGEREF _Toc164692893 \h </w:instrText>
        </w:r>
        <w:r w:rsidR="00337D8F">
          <w:rPr>
            <w:noProof/>
            <w:webHidden/>
          </w:rPr>
        </w:r>
        <w:r w:rsidR="00337D8F">
          <w:rPr>
            <w:noProof/>
            <w:webHidden/>
          </w:rPr>
          <w:fldChar w:fldCharType="separate"/>
        </w:r>
        <w:r w:rsidR="007C2E4E">
          <w:rPr>
            <w:noProof/>
            <w:webHidden/>
          </w:rPr>
          <w:t>129</w:t>
        </w:r>
        <w:r w:rsidR="00337D8F">
          <w:rPr>
            <w:noProof/>
            <w:webHidden/>
          </w:rPr>
          <w:fldChar w:fldCharType="end"/>
        </w:r>
      </w:hyperlink>
    </w:p>
    <w:p w14:paraId="5A71038F" w14:textId="5591E2CB" w:rsidR="00337D8F" w:rsidRDefault="00183DC5">
      <w:pPr>
        <w:pStyle w:val="TM1"/>
        <w:rPr>
          <w:rFonts w:asciiTheme="minorHAnsi" w:eastAsiaTheme="minorEastAsia" w:hAnsiTheme="minorHAnsi" w:cstheme="minorBidi"/>
          <w:noProof/>
          <w:sz w:val="22"/>
          <w:lang w:eastAsia="fr-FR"/>
        </w:rPr>
      </w:pPr>
      <w:hyperlink w:anchor="_Toc164692894" w:history="1">
        <w:r w:rsidR="00337D8F" w:rsidRPr="00AB7410">
          <w:rPr>
            <w:rStyle w:val="Lienhypertexte"/>
            <w:noProof/>
          </w:rPr>
          <w:t>Conclusion</w:t>
        </w:r>
        <w:r w:rsidR="00337D8F">
          <w:rPr>
            <w:noProof/>
            <w:webHidden/>
          </w:rPr>
          <w:tab/>
        </w:r>
        <w:r w:rsidR="00337D8F">
          <w:rPr>
            <w:noProof/>
            <w:webHidden/>
          </w:rPr>
          <w:fldChar w:fldCharType="begin"/>
        </w:r>
        <w:r w:rsidR="00337D8F">
          <w:rPr>
            <w:noProof/>
            <w:webHidden/>
          </w:rPr>
          <w:instrText xml:space="preserve"> PAGEREF _Toc164692894 \h </w:instrText>
        </w:r>
        <w:r w:rsidR="00337D8F">
          <w:rPr>
            <w:noProof/>
            <w:webHidden/>
          </w:rPr>
        </w:r>
        <w:r w:rsidR="00337D8F">
          <w:rPr>
            <w:noProof/>
            <w:webHidden/>
          </w:rPr>
          <w:fldChar w:fldCharType="separate"/>
        </w:r>
        <w:r w:rsidR="007C2E4E">
          <w:rPr>
            <w:noProof/>
            <w:webHidden/>
          </w:rPr>
          <w:t>132</w:t>
        </w:r>
        <w:r w:rsidR="00337D8F">
          <w:rPr>
            <w:noProof/>
            <w:webHidden/>
          </w:rPr>
          <w:fldChar w:fldCharType="end"/>
        </w:r>
      </w:hyperlink>
    </w:p>
    <w:p w14:paraId="07642F4A" w14:textId="38A0904F" w:rsidR="00132F53" w:rsidRPr="008D2129" w:rsidRDefault="00132F53" w:rsidP="00132F53">
      <w:r w:rsidRPr="008D2129">
        <w:fldChar w:fldCharType="end"/>
      </w:r>
      <w:r w:rsidRPr="008D2129">
        <w:rPr>
          <w:sz w:val="36"/>
          <w:szCs w:val="36"/>
        </w:rPr>
        <w:br w:type="page"/>
      </w:r>
    </w:p>
    <w:p w14:paraId="598F6270" w14:textId="55B8B888" w:rsidR="00132F53" w:rsidRPr="008D2129" w:rsidRDefault="00FA60DA" w:rsidP="00FA60DA">
      <w:pPr>
        <w:pStyle w:val="Titre1"/>
        <w:rPr>
          <w:szCs w:val="28"/>
        </w:rPr>
      </w:pPr>
      <w:bookmarkStart w:id="4" w:name="_Toc163141199"/>
      <w:bookmarkStart w:id="5" w:name="_Toc164692880"/>
      <w:r w:rsidRPr="008D2129">
        <w:rPr>
          <w:szCs w:val="28"/>
        </w:rPr>
        <w:lastRenderedPageBreak/>
        <w:t>Liste des tableaux</w:t>
      </w:r>
      <w:bookmarkEnd w:id="4"/>
      <w:bookmarkEnd w:id="5"/>
    </w:p>
    <w:p w14:paraId="67AF26BC" w14:textId="31C5FA2D" w:rsidR="002609E8" w:rsidRDefault="00132F53">
      <w:pPr>
        <w:pStyle w:val="Tabledesillustrations"/>
        <w:tabs>
          <w:tab w:val="right" w:leader="dot" w:pos="9016"/>
        </w:tabs>
        <w:rPr>
          <w:rFonts w:asciiTheme="minorHAnsi" w:eastAsiaTheme="minorEastAsia" w:hAnsiTheme="minorHAnsi" w:cstheme="minorBidi"/>
          <w:noProof/>
          <w:sz w:val="22"/>
          <w:lang w:eastAsia="fr-FR"/>
        </w:rPr>
      </w:pPr>
      <w:r w:rsidRPr="008D2129">
        <w:fldChar w:fldCharType="begin"/>
      </w:r>
      <w:r w:rsidRPr="008D2129">
        <w:instrText xml:space="preserve"> TOC \h \z \c "Tableau" </w:instrText>
      </w:r>
      <w:r w:rsidRPr="008D2129">
        <w:fldChar w:fldCharType="separate"/>
      </w:r>
      <w:hyperlink w:anchor="_Toc164503588" w:history="1">
        <w:r w:rsidR="002609E8" w:rsidRPr="00BE3C4D">
          <w:rPr>
            <w:rStyle w:val="Lienhypertexte"/>
            <w:b/>
            <w:bCs/>
            <w:noProof/>
          </w:rPr>
          <w:t>Tableau 1</w:t>
        </w:r>
        <w:r w:rsidR="002609E8" w:rsidRPr="00BE3C4D">
          <w:rPr>
            <w:rStyle w:val="Lienhypertexte"/>
            <w:noProof/>
          </w:rPr>
          <w:t>: situation des indicateurs de produits de l’action « amélioration de la participation citoyenne dans la lutte contre le terrorisme » au 31 décembre 2023</w:t>
        </w:r>
        <w:r w:rsidR="002609E8">
          <w:rPr>
            <w:noProof/>
            <w:webHidden/>
          </w:rPr>
          <w:tab/>
        </w:r>
        <w:r w:rsidR="002609E8">
          <w:rPr>
            <w:noProof/>
            <w:webHidden/>
          </w:rPr>
          <w:fldChar w:fldCharType="begin"/>
        </w:r>
        <w:r w:rsidR="002609E8">
          <w:rPr>
            <w:noProof/>
            <w:webHidden/>
          </w:rPr>
          <w:instrText xml:space="preserve"> PAGEREF _Toc164503588 \h </w:instrText>
        </w:r>
        <w:r w:rsidR="002609E8">
          <w:rPr>
            <w:noProof/>
            <w:webHidden/>
          </w:rPr>
        </w:r>
        <w:r w:rsidR="002609E8">
          <w:rPr>
            <w:noProof/>
            <w:webHidden/>
          </w:rPr>
          <w:fldChar w:fldCharType="separate"/>
        </w:r>
        <w:r w:rsidR="007C2E4E">
          <w:rPr>
            <w:noProof/>
            <w:webHidden/>
          </w:rPr>
          <w:t>5</w:t>
        </w:r>
        <w:r w:rsidR="002609E8">
          <w:rPr>
            <w:noProof/>
            <w:webHidden/>
          </w:rPr>
          <w:fldChar w:fldCharType="end"/>
        </w:r>
      </w:hyperlink>
    </w:p>
    <w:p w14:paraId="456DED89" w14:textId="1E7D7CD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89" w:history="1">
        <w:r w:rsidR="002609E8" w:rsidRPr="00BE3C4D">
          <w:rPr>
            <w:rStyle w:val="Lienhypertexte"/>
            <w:b/>
            <w:bCs/>
            <w:noProof/>
          </w:rPr>
          <w:t>Tableau 2</w:t>
        </w:r>
        <w:r w:rsidR="002609E8" w:rsidRPr="00BE3C4D">
          <w:rPr>
            <w:rStyle w:val="Lienhypertexte"/>
            <w:rFonts w:eastAsia="Times New Roman" w:cs="Times New Roman"/>
            <w:noProof/>
          </w:rPr>
          <w:t xml:space="preserve">: </w:t>
        </w:r>
        <w:r w:rsidR="002609E8" w:rsidRPr="00BE3C4D">
          <w:rPr>
            <w:rStyle w:val="Lienhypertexte"/>
            <w:noProof/>
          </w:rPr>
          <w:t>situation des indicateurs de produits de l’action « renforcement des capacités opérationnelles des Forces de défense et de sécurité en vue de libérer les localités occupées par les terroristes », volet constructions.</w:t>
        </w:r>
        <w:r w:rsidR="002609E8">
          <w:rPr>
            <w:noProof/>
            <w:webHidden/>
          </w:rPr>
          <w:tab/>
        </w:r>
        <w:r w:rsidR="002609E8">
          <w:rPr>
            <w:noProof/>
            <w:webHidden/>
          </w:rPr>
          <w:fldChar w:fldCharType="begin"/>
        </w:r>
        <w:r w:rsidR="002609E8">
          <w:rPr>
            <w:noProof/>
            <w:webHidden/>
          </w:rPr>
          <w:instrText xml:space="preserve"> PAGEREF _Toc164503589 \h </w:instrText>
        </w:r>
        <w:r w:rsidR="002609E8">
          <w:rPr>
            <w:noProof/>
            <w:webHidden/>
          </w:rPr>
        </w:r>
        <w:r w:rsidR="002609E8">
          <w:rPr>
            <w:noProof/>
            <w:webHidden/>
          </w:rPr>
          <w:fldChar w:fldCharType="separate"/>
        </w:r>
        <w:r w:rsidR="007C2E4E">
          <w:rPr>
            <w:noProof/>
            <w:webHidden/>
          </w:rPr>
          <w:t>6</w:t>
        </w:r>
        <w:r w:rsidR="002609E8">
          <w:rPr>
            <w:noProof/>
            <w:webHidden/>
          </w:rPr>
          <w:fldChar w:fldCharType="end"/>
        </w:r>
      </w:hyperlink>
    </w:p>
    <w:p w14:paraId="253E888C" w14:textId="394FDB8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0" w:history="1">
        <w:r w:rsidR="002609E8" w:rsidRPr="00BE3C4D">
          <w:rPr>
            <w:rStyle w:val="Lienhypertexte"/>
            <w:b/>
            <w:bCs/>
            <w:noProof/>
          </w:rPr>
          <w:t>Tableau 3:</w:t>
        </w:r>
        <w:r w:rsidR="002609E8" w:rsidRPr="00BE3C4D">
          <w:rPr>
            <w:rStyle w:val="Lienhypertexte"/>
            <w:noProof/>
          </w:rPr>
          <w:t xml:space="preserve"> situation des indicateurs de produits de l’action « renforcement des capacités opérationnelles des Forces de défense et de sécurité en vue de libérer les localités occupées par les terroristes », réorganisation du dispositif sécuritaire</w:t>
        </w:r>
        <w:r w:rsidR="002609E8">
          <w:rPr>
            <w:noProof/>
            <w:webHidden/>
          </w:rPr>
          <w:tab/>
        </w:r>
        <w:r w:rsidR="002609E8">
          <w:rPr>
            <w:noProof/>
            <w:webHidden/>
          </w:rPr>
          <w:fldChar w:fldCharType="begin"/>
        </w:r>
        <w:r w:rsidR="002609E8">
          <w:rPr>
            <w:noProof/>
            <w:webHidden/>
          </w:rPr>
          <w:instrText xml:space="preserve"> PAGEREF _Toc164503590 \h </w:instrText>
        </w:r>
        <w:r w:rsidR="002609E8">
          <w:rPr>
            <w:noProof/>
            <w:webHidden/>
          </w:rPr>
        </w:r>
        <w:r w:rsidR="002609E8">
          <w:rPr>
            <w:noProof/>
            <w:webHidden/>
          </w:rPr>
          <w:fldChar w:fldCharType="separate"/>
        </w:r>
        <w:r w:rsidR="007C2E4E">
          <w:rPr>
            <w:noProof/>
            <w:webHidden/>
          </w:rPr>
          <w:t>7</w:t>
        </w:r>
        <w:r w:rsidR="002609E8">
          <w:rPr>
            <w:noProof/>
            <w:webHidden/>
          </w:rPr>
          <w:fldChar w:fldCharType="end"/>
        </w:r>
      </w:hyperlink>
    </w:p>
    <w:p w14:paraId="6B092C49" w14:textId="25E93D75"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1" w:history="1">
        <w:r w:rsidR="002609E8" w:rsidRPr="00BE3C4D">
          <w:rPr>
            <w:rStyle w:val="Lienhypertexte"/>
            <w:b/>
            <w:noProof/>
          </w:rPr>
          <w:t>Tableau 4</w:t>
        </w:r>
        <w:r w:rsidR="002609E8" w:rsidRPr="00BE3C4D">
          <w:rPr>
            <w:rStyle w:val="Lienhypertexte"/>
            <w:noProof/>
          </w:rPr>
          <w:t>: situation des indicateurs de produits de l’action « renforcement des capacités opérationnelles des Forces de défense et de sécurité en vue de libérer les localités occupées par les terroristes », volet recrutement de personnel</w:t>
        </w:r>
        <w:r w:rsidR="002609E8">
          <w:rPr>
            <w:noProof/>
            <w:webHidden/>
          </w:rPr>
          <w:tab/>
        </w:r>
        <w:r w:rsidR="002609E8">
          <w:rPr>
            <w:noProof/>
            <w:webHidden/>
          </w:rPr>
          <w:fldChar w:fldCharType="begin"/>
        </w:r>
        <w:r w:rsidR="002609E8">
          <w:rPr>
            <w:noProof/>
            <w:webHidden/>
          </w:rPr>
          <w:instrText xml:space="preserve"> PAGEREF _Toc164503591 \h </w:instrText>
        </w:r>
        <w:r w:rsidR="002609E8">
          <w:rPr>
            <w:noProof/>
            <w:webHidden/>
          </w:rPr>
        </w:r>
        <w:r w:rsidR="002609E8">
          <w:rPr>
            <w:noProof/>
            <w:webHidden/>
          </w:rPr>
          <w:fldChar w:fldCharType="separate"/>
        </w:r>
        <w:r w:rsidR="007C2E4E">
          <w:rPr>
            <w:noProof/>
            <w:webHidden/>
          </w:rPr>
          <w:t>8</w:t>
        </w:r>
        <w:r w:rsidR="002609E8">
          <w:rPr>
            <w:noProof/>
            <w:webHidden/>
          </w:rPr>
          <w:fldChar w:fldCharType="end"/>
        </w:r>
      </w:hyperlink>
    </w:p>
    <w:p w14:paraId="59F4ED05" w14:textId="6CDFEE6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2" w:history="1">
        <w:r w:rsidR="002609E8" w:rsidRPr="00BE3C4D">
          <w:rPr>
            <w:rStyle w:val="Lienhypertexte"/>
            <w:b/>
            <w:noProof/>
          </w:rPr>
          <w:t>Tableau 5</w:t>
        </w:r>
        <w:r w:rsidR="002609E8" w:rsidRPr="00BE3C4D">
          <w:rPr>
            <w:rStyle w:val="Lienhypertexte"/>
            <w:noProof/>
          </w:rPr>
          <w:t>: situation des indicateurs de produits de l'action «renforcement des capacités opérationnelles des FDS en vue de libérer les localités occupées par les terroristes», volet équipements</w:t>
        </w:r>
        <w:r w:rsidR="002609E8">
          <w:rPr>
            <w:noProof/>
            <w:webHidden/>
          </w:rPr>
          <w:tab/>
        </w:r>
        <w:r w:rsidR="002609E8">
          <w:rPr>
            <w:noProof/>
            <w:webHidden/>
          </w:rPr>
          <w:fldChar w:fldCharType="begin"/>
        </w:r>
        <w:r w:rsidR="002609E8">
          <w:rPr>
            <w:noProof/>
            <w:webHidden/>
          </w:rPr>
          <w:instrText xml:space="preserve"> PAGEREF _Toc164503592 \h </w:instrText>
        </w:r>
        <w:r w:rsidR="002609E8">
          <w:rPr>
            <w:noProof/>
            <w:webHidden/>
          </w:rPr>
        </w:r>
        <w:r w:rsidR="002609E8">
          <w:rPr>
            <w:noProof/>
            <w:webHidden/>
          </w:rPr>
          <w:fldChar w:fldCharType="separate"/>
        </w:r>
        <w:r w:rsidR="007C2E4E">
          <w:rPr>
            <w:noProof/>
            <w:webHidden/>
          </w:rPr>
          <w:t>9</w:t>
        </w:r>
        <w:r w:rsidR="002609E8">
          <w:rPr>
            <w:noProof/>
            <w:webHidden/>
          </w:rPr>
          <w:fldChar w:fldCharType="end"/>
        </w:r>
      </w:hyperlink>
    </w:p>
    <w:p w14:paraId="2435C670" w14:textId="2490CC9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3" w:history="1">
        <w:r w:rsidR="002609E8" w:rsidRPr="00BE3C4D">
          <w:rPr>
            <w:rStyle w:val="Lienhypertexte"/>
            <w:b/>
            <w:bCs/>
            <w:noProof/>
          </w:rPr>
          <w:t>Tableau 6</w:t>
        </w:r>
        <w:r w:rsidR="002609E8" w:rsidRPr="00BE3C4D">
          <w:rPr>
            <w:rStyle w:val="Lienhypertexte"/>
            <w:noProof/>
          </w:rPr>
          <w:t>: situation des indicateurs de produits de l’action « intensification de la lutte contre la criminalité et le grand banditisme »</w:t>
        </w:r>
        <w:r w:rsidR="002609E8">
          <w:rPr>
            <w:noProof/>
            <w:webHidden/>
          </w:rPr>
          <w:tab/>
        </w:r>
        <w:r w:rsidR="002609E8">
          <w:rPr>
            <w:noProof/>
            <w:webHidden/>
          </w:rPr>
          <w:fldChar w:fldCharType="begin"/>
        </w:r>
        <w:r w:rsidR="002609E8">
          <w:rPr>
            <w:noProof/>
            <w:webHidden/>
          </w:rPr>
          <w:instrText xml:space="preserve"> PAGEREF _Toc164503593 \h </w:instrText>
        </w:r>
        <w:r w:rsidR="002609E8">
          <w:rPr>
            <w:noProof/>
            <w:webHidden/>
          </w:rPr>
        </w:r>
        <w:r w:rsidR="002609E8">
          <w:rPr>
            <w:noProof/>
            <w:webHidden/>
          </w:rPr>
          <w:fldChar w:fldCharType="separate"/>
        </w:r>
        <w:r w:rsidR="007C2E4E">
          <w:rPr>
            <w:noProof/>
            <w:webHidden/>
          </w:rPr>
          <w:t>10</w:t>
        </w:r>
        <w:r w:rsidR="002609E8">
          <w:rPr>
            <w:noProof/>
            <w:webHidden/>
          </w:rPr>
          <w:fldChar w:fldCharType="end"/>
        </w:r>
      </w:hyperlink>
    </w:p>
    <w:p w14:paraId="3E0A8690" w14:textId="2FBA7A7C"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4" w:history="1">
        <w:r w:rsidR="002609E8" w:rsidRPr="00BE3C4D">
          <w:rPr>
            <w:rStyle w:val="Lienhypertexte"/>
            <w:b/>
            <w:bCs/>
            <w:noProof/>
          </w:rPr>
          <w:t>Tableau 7</w:t>
        </w:r>
        <w:r w:rsidR="002609E8" w:rsidRPr="00BE3C4D">
          <w:rPr>
            <w:rStyle w:val="Lienhypertexte"/>
            <w:noProof/>
          </w:rPr>
          <w:t>: situation des indicateurs de produits de l’action « amélioration de la participation des Volontaires pour la défense de la patrie dans la lutte contre le terrorisme »</w:t>
        </w:r>
        <w:r w:rsidR="002609E8">
          <w:rPr>
            <w:noProof/>
            <w:webHidden/>
          </w:rPr>
          <w:tab/>
        </w:r>
        <w:r w:rsidR="002609E8">
          <w:rPr>
            <w:noProof/>
            <w:webHidden/>
          </w:rPr>
          <w:fldChar w:fldCharType="begin"/>
        </w:r>
        <w:r w:rsidR="002609E8">
          <w:rPr>
            <w:noProof/>
            <w:webHidden/>
          </w:rPr>
          <w:instrText xml:space="preserve"> PAGEREF _Toc164503594 \h </w:instrText>
        </w:r>
        <w:r w:rsidR="002609E8">
          <w:rPr>
            <w:noProof/>
            <w:webHidden/>
          </w:rPr>
        </w:r>
        <w:r w:rsidR="002609E8">
          <w:rPr>
            <w:noProof/>
            <w:webHidden/>
          </w:rPr>
          <w:fldChar w:fldCharType="separate"/>
        </w:r>
        <w:r w:rsidR="007C2E4E">
          <w:rPr>
            <w:noProof/>
            <w:webHidden/>
          </w:rPr>
          <w:t>11</w:t>
        </w:r>
        <w:r w:rsidR="002609E8">
          <w:rPr>
            <w:noProof/>
            <w:webHidden/>
          </w:rPr>
          <w:fldChar w:fldCharType="end"/>
        </w:r>
      </w:hyperlink>
    </w:p>
    <w:p w14:paraId="34D90DEB" w14:textId="4AE27C37"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5" w:history="1">
        <w:r w:rsidR="002609E8" w:rsidRPr="00BE3C4D">
          <w:rPr>
            <w:rStyle w:val="Lienhypertexte"/>
            <w:b/>
            <w:bCs/>
            <w:noProof/>
          </w:rPr>
          <w:t>Tableau 8</w:t>
        </w:r>
        <w:r w:rsidR="002609E8" w:rsidRPr="00BE3C4D">
          <w:rPr>
            <w:rStyle w:val="Lienhypertexte"/>
            <w:noProof/>
          </w:rPr>
          <w:t>: situation des indicateurs de produits de l’action « assèchement des sources d'approvisionnement des groupes armés terroristes en ressources de tout genre »</w:t>
        </w:r>
        <w:r w:rsidR="002609E8">
          <w:rPr>
            <w:noProof/>
            <w:webHidden/>
          </w:rPr>
          <w:tab/>
        </w:r>
        <w:r w:rsidR="002609E8">
          <w:rPr>
            <w:noProof/>
            <w:webHidden/>
          </w:rPr>
          <w:fldChar w:fldCharType="begin"/>
        </w:r>
        <w:r w:rsidR="002609E8">
          <w:rPr>
            <w:noProof/>
            <w:webHidden/>
          </w:rPr>
          <w:instrText xml:space="preserve"> PAGEREF _Toc164503595 \h </w:instrText>
        </w:r>
        <w:r w:rsidR="002609E8">
          <w:rPr>
            <w:noProof/>
            <w:webHidden/>
          </w:rPr>
        </w:r>
        <w:r w:rsidR="002609E8">
          <w:rPr>
            <w:noProof/>
            <w:webHidden/>
          </w:rPr>
          <w:fldChar w:fldCharType="separate"/>
        </w:r>
        <w:r w:rsidR="007C2E4E">
          <w:rPr>
            <w:noProof/>
            <w:webHidden/>
          </w:rPr>
          <w:t>12</w:t>
        </w:r>
        <w:r w:rsidR="002609E8">
          <w:rPr>
            <w:noProof/>
            <w:webHidden/>
          </w:rPr>
          <w:fldChar w:fldCharType="end"/>
        </w:r>
      </w:hyperlink>
    </w:p>
    <w:p w14:paraId="05F7AE6A" w14:textId="18D59E82"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6" w:history="1">
        <w:r w:rsidR="002609E8" w:rsidRPr="00BE3C4D">
          <w:rPr>
            <w:rStyle w:val="Lienhypertexte"/>
            <w:b/>
            <w:bCs/>
            <w:noProof/>
          </w:rPr>
          <w:t>Tableau 9</w:t>
        </w:r>
        <w:r w:rsidR="002609E8" w:rsidRPr="00BE3C4D">
          <w:rPr>
            <w:rStyle w:val="Lienhypertexte"/>
            <w:noProof/>
          </w:rPr>
          <w:t>: situation des indicateurs de produits de l’action « sécurisation des juridictions et établissements pénitentiaires »</w:t>
        </w:r>
        <w:r w:rsidR="002609E8">
          <w:rPr>
            <w:noProof/>
            <w:webHidden/>
          </w:rPr>
          <w:tab/>
        </w:r>
        <w:r w:rsidR="002609E8">
          <w:rPr>
            <w:noProof/>
            <w:webHidden/>
          </w:rPr>
          <w:fldChar w:fldCharType="begin"/>
        </w:r>
        <w:r w:rsidR="002609E8">
          <w:rPr>
            <w:noProof/>
            <w:webHidden/>
          </w:rPr>
          <w:instrText xml:space="preserve"> PAGEREF _Toc164503596 \h </w:instrText>
        </w:r>
        <w:r w:rsidR="002609E8">
          <w:rPr>
            <w:noProof/>
            <w:webHidden/>
          </w:rPr>
        </w:r>
        <w:r w:rsidR="002609E8">
          <w:rPr>
            <w:noProof/>
            <w:webHidden/>
          </w:rPr>
          <w:fldChar w:fldCharType="separate"/>
        </w:r>
        <w:r w:rsidR="007C2E4E">
          <w:rPr>
            <w:noProof/>
            <w:webHidden/>
          </w:rPr>
          <w:t>14</w:t>
        </w:r>
        <w:r w:rsidR="002609E8">
          <w:rPr>
            <w:noProof/>
            <w:webHidden/>
          </w:rPr>
          <w:fldChar w:fldCharType="end"/>
        </w:r>
      </w:hyperlink>
    </w:p>
    <w:p w14:paraId="09EADB46" w14:textId="53C0D26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7" w:history="1">
        <w:r w:rsidR="002609E8" w:rsidRPr="00BE3C4D">
          <w:rPr>
            <w:rStyle w:val="Lienhypertexte"/>
            <w:b/>
            <w:bCs/>
            <w:noProof/>
          </w:rPr>
          <w:t xml:space="preserve">Tableau 10: </w:t>
        </w:r>
        <w:r w:rsidR="002609E8" w:rsidRPr="00BE3C4D">
          <w:rPr>
            <w:rStyle w:val="Lienhypertexte"/>
            <w:noProof/>
          </w:rPr>
          <w:t>situation des indicateurs de produits de l’action « amélioration de la gestion du système pénitentiaire »</w:t>
        </w:r>
        <w:r w:rsidR="002609E8">
          <w:rPr>
            <w:noProof/>
            <w:webHidden/>
          </w:rPr>
          <w:tab/>
        </w:r>
        <w:r w:rsidR="002609E8">
          <w:rPr>
            <w:noProof/>
            <w:webHidden/>
          </w:rPr>
          <w:fldChar w:fldCharType="begin"/>
        </w:r>
        <w:r w:rsidR="002609E8">
          <w:rPr>
            <w:noProof/>
            <w:webHidden/>
          </w:rPr>
          <w:instrText xml:space="preserve"> PAGEREF _Toc164503597 \h </w:instrText>
        </w:r>
        <w:r w:rsidR="002609E8">
          <w:rPr>
            <w:noProof/>
            <w:webHidden/>
          </w:rPr>
        </w:r>
        <w:r w:rsidR="002609E8">
          <w:rPr>
            <w:noProof/>
            <w:webHidden/>
          </w:rPr>
          <w:fldChar w:fldCharType="separate"/>
        </w:r>
        <w:r w:rsidR="007C2E4E">
          <w:rPr>
            <w:noProof/>
            <w:webHidden/>
          </w:rPr>
          <w:t>15</w:t>
        </w:r>
        <w:r w:rsidR="002609E8">
          <w:rPr>
            <w:noProof/>
            <w:webHidden/>
          </w:rPr>
          <w:fldChar w:fldCharType="end"/>
        </w:r>
      </w:hyperlink>
    </w:p>
    <w:p w14:paraId="11EAB9D7" w14:textId="13DE9DD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8" w:history="1">
        <w:r w:rsidR="002609E8" w:rsidRPr="00BE3C4D">
          <w:rPr>
            <w:rStyle w:val="Lienhypertexte"/>
            <w:b/>
            <w:bCs/>
            <w:noProof/>
          </w:rPr>
          <w:t>Tableau 11</w:t>
        </w:r>
        <w:r w:rsidR="002609E8" w:rsidRPr="00BE3C4D">
          <w:rPr>
            <w:rStyle w:val="Lienhypertexte"/>
            <w:noProof/>
          </w:rPr>
          <w:t>: situation des indicateurs de produits de l’action « opérationnalisation de la Stratégie nationale de prévention de la radicalisation et de la lutte contre l'extrémisme violent »</w:t>
        </w:r>
        <w:r w:rsidR="002609E8">
          <w:rPr>
            <w:noProof/>
            <w:webHidden/>
          </w:rPr>
          <w:tab/>
        </w:r>
        <w:r w:rsidR="002609E8">
          <w:rPr>
            <w:noProof/>
            <w:webHidden/>
          </w:rPr>
          <w:fldChar w:fldCharType="begin"/>
        </w:r>
        <w:r w:rsidR="002609E8">
          <w:rPr>
            <w:noProof/>
            <w:webHidden/>
          </w:rPr>
          <w:instrText xml:space="preserve"> PAGEREF _Toc164503598 \h </w:instrText>
        </w:r>
        <w:r w:rsidR="002609E8">
          <w:rPr>
            <w:noProof/>
            <w:webHidden/>
          </w:rPr>
        </w:r>
        <w:r w:rsidR="002609E8">
          <w:rPr>
            <w:noProof/>
            <w:webHidden/>
          </w:rPr>
          <w:fldChar w:fldCharType="separate"/>
        </w:r>
        <w:r w:rsidR="007C2E4E">
          <w:rPr>
            <w:noProof/>
            <w:webHidden/>
          </w:rPr>
          <w:t>16</w:t>
        </w:r>
        <w:r w:rsidR="002609E8">
          <w:rPr>
            <w:noProof/>
            <w:webHidden/>
          </w:rPr>
          <w:fldChar w:fldCharType="end"/>
        </w:r>
      </w:hyperlink>
    </w:p>
    <w:p w14:paraId="74E8236D" w14:textId="47A5041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599" w:history="1">
        <w:r w:rsidR="002609E8" w:rsidRPr="00BE3C4D">
          <w:rPr>
            <w:rStyle w:val="Lienhypertexte"/>
            <w:b/>
            <w:bCs/>
            <w:noProof/>
          </w:rPr>
          <w:t>Tableau 12</w:t>
        </w:r>
        <w:r w:rsidR="002609E8" w:rsidRPr="00BE3C4D">
          <w:rPr>
            <w:rStyle w:val="Lienhypertexte"/>
            <w:noProof/>
          </w:rPr>
          <w:t>: situation des indicateurs de produits de l’action « soutien à la diversification des partenariats en matière de défense et sécurité »</w:t>
        </w:r>
        <w:r w:rsidR="002609E8">
          <w:rPr>
            <w:noProof/>
            <w:webHidden/>
          </w:rPr>
          <w:tab/>
        </w:r>
        <w:r w:rsidR="002609E8">
          <w:rPr>
            <w:noProof/>
            <w:webHidden/>
          </w:rPr>
          <w:fldChar w:fldCharType="begin"/>
        </w:r>
        <w:r w:rsidR="002609E8">
          <w:rPr>
            <w:noProof/>
            <w:webHidden/>
          </w:rPr>
          <w:instrText xml:space="preserve"> PAGEREF _Toc164503599 \h </w:instrText>
        </w:r>
        <w:r w:rsidR="002609E8">
          <w:rPr>
            <w:noProof/>
            <w:webHidden/>
          </w:rPr>
        </w:r>
        <w:r w:rsidR="002609E8">
          <w:rPr>
            <w:noProof/>
            <w:webHidden/>
          </w:rPr>
          <w:fldChar w:fldCharType="separate"/>
        </w:r>
        <w:r w:rsidR="007C2E4E">
          <w:rPr>
            <w:noProof/>
            <w:webHidden/>
          </w:rPr>
          <w:t>18</w:t>
        </w:r>
        <w:r w:rsidR="002609E8">
          <w:rPr>
            <w:noProof/>
            <w:webHidden/>
          </w:rPr>
          <w:fldChar w:fldCharType="end"/>
        </w:r>
      </w:hyperlink>
    </w:p>
    <w:p w14:paraId="08A400E4" w14:textId="5A0E5C2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0" w:history="1">
        <w:r w:rsidR="002609E8" w:rsidRPr="00BE3C4D">
          <w:rPr>
            <w:rStyle w:val="Lienhypertexte"/>
            <w:b/>
            <w:bCs/>
            <w:noProof/>
          </w:rPr>
          <w:t>Tableau 13</w:t>
        </w:r>
        <w:r w:rsidR="002609E8" w:rsidRPr="00BE3C4D">
          <w:rPr>
            <w:rStyle w:val="Lienhypertexte"/>
            <w:noProof/>
          </w:rPr>
          <w:t>: situation des indicateurs de produits de l’action 02001 du secteur TEPS au 31 décembre 2023</w:t>
        </w:r>
        <w:r w:rsidR="002609E8">
          <w:rPr>
            <w:noProof/>
            <w:webHidden/>
          </w:rPr>
          <w:tab/>
        </w:r>
        <w:r w:rsidR="002609E8">
          <w:rPr>
            <w:noProof/>
            <w:webHidden/>
          </w:rPr>
          <w:fldChar w:fldCharType="begin"/>
        </w:r>
        <w:r w:rsidR="002609E8">
          <w:rPr>
            <w:noProof/>
            <w:webHidden/>
          </w:rPr>
          <w:instrText xml:space="preserve"> PAGEREF _Toc164503600 \h </w:instrText>
        </w:r>
        <w:r w:rsidR="002609E8">
          <w:rPr>
            <w:noProof/>
            <w:webHidden/>
          </w:rPr>
        </w:r>
        <w:r w:rsidR="002609E8">
          <w:rPr>
            <w:noProof/>
            <w:webHidden/>
          </w:rPr>
          <w:fldChar w:fldCharType="separate"/>
        </w:r>
        <w:r w:rsidR="007C2E4E">
          <w:rPr>
            <w:noProof/>
            <w:webHidden/>
          </w:rPr>
          <w:t>23</w:t>
        </w:r>
        <w:r w:rsidR="002609E8">
          <w:rPr>
            <w:noProof/>
            <w:webHidden/>
          </w:rPr>
          <w:fldChar w:fldCharType="end"/>
        </w:r>
      </w:hyperlink>
    </w:p>
    <w:p w14:paraId="16C2DAB6" w14:textId="45910C35"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1" w:history="1">
        <w:r w:rsidR="002609E8" w:rsidRPr="00BE3C4D">
          <w:rPr>
            <w:rStyle w:val="Lienhypertexte"/>
            <w:b/>
            <w:bCs/>
            <w:noProof/>
          </w:rPr>
          <w:t>Tableau 14</w:t>
        </w:r>
        <w:r w:rsidR="002609E8" w:rsidRPr="00BE3C4D">
          <w:rPr>
            <w:rStyle w:val="Lienhypertexte"/>
            <w:noProof/>
          </w:rPr>
          <w:t>: situation des indicateurs de produits de l’action « soutien au retour volontaire des personnes déplacées dans leurs zones d'origine et garantie de leur sécurité »</w:t>
        </w:r>
        <w:r w:rsidR="002609E8">
          <w:rPr>
            <w:noProof/>
            <w:webHidden/>
          </w:rPr>
          <w:tab/>
        </w:r>
        <w:r w:rsidR="002609E8">
          <w:rPr>
            <w:noProof/>
            <w:webHidden/>
          </w:rPr>
          <w:fldChar w:fldCharType="begin"/>
        </w:r>
        <w:r w:rsidR="002609E8">
          <w:rPr>
            <w:noProof/>
            <w:webHidden/>
          </w:rPr>
          <w:instrText xml:space="preserve"> PAGEREF _Toc164503601 \h </w:instrText>
        </w:r>
        <w:r w:rsidR="002609E8">
          <w:rPr>
            <w:noProof/>
            <w:webHidden/>
          </w:rPr>
        </w:r>
        <w:r w:rsidR="002609E8">
          <w:rPr>
            <w:noProof/>
            <w:webHidden/>
          </w:rPr>
          <w:fldChar w:fldCharType="separate"/>
        </w:r>
        <w:r w:rsidR="007C2E4E">
          <w:rPr>
            <w:noProof/>
            <w:webHidden/>
          </w:rPr>
          <w:t>23</w:t>
        </w:r>
        <w:r w:rsidR="002609E8">
          <w:rPr>
            <w:noProof/>
            <w:webHidden/>
          </w:rPr>
          <w:fldChar w:fldCharType="end"/>
        </w:r>
      </w:hyperlink>
    </w:p>
    <w:p w14:paraId="4C4D2E37" w14:textId="2E9BAB1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2" w:history="1">
        <w:r w:rsidR="002609E8" w:rsidRPr="00BE3C4D">
          <w:rPr>
            <w:rStyle w:val="Lienhypertexte"/>
            <w:b/>
            <w:bCs/>
            <w:noProof/>
          </w:rPr>
          <w:t>Tableau 15</w:t>
        </w:r>
        <w:r w:rsidR="002609E8" w:rsidRPr="00BE3C4D">
          <w:rPr>
            <w:rStyle w:val="Lienhypertexte"/>
            <w:noProof/>
          </w:rPr>
          <w:t>: situation des indicateurs de produits dans le domaine agro-sylvo-pastoral dans les zones affectées par le terrorisme dans le cadre de la mise en œuvre de l’action 02001</w:t>
        </w:r>
        <w:r w:rsidR="002609E8">
          <w:rPr>
            <w:noProof/>
            <w:webHidden/>
          </w:rPr>
          <w:tab/>
        </w:r>
        <w:r w:rsidR="002609E8">
          <w:rPr>
            <w:noProof/>
            <w:webHidden/>
          </w:rPr>
          <w:fldChar w:fldCharType="begin"/>
        </w:r>
        <w:r w:rsidR="002609E8">
          <w:rPr>
            <w:noProof/>
            <w:webHidden/>
          </w:rPr>
          <w:instrText xml:space="preserve"> PAGEREF _Toc164503602 \h </w:instrText>
        </w:r>
        <w:r w:rsidR="002609E8">
          <w:rPr>
            <w:noProof/>
            <w:webHidden/>
          </w:rPr>
        </w:r>
        <w:r w:rsidR="002609E8">
          <w:rPr>
            <w:noProof/>
            <w:webHidden/>
          </w:rPr>
          <w:fldChar w:fldCharType="separate"/>
        </w:r>
        <w:r w:rsidR="007C2E4E">
          <w:rPr>
            <w:noProof/>
            <w:webHidden/>
          </w:rPr>
          <w:t>24</w:t>
        </w:r>
        <w:r w:rsidR="002609E8">
          <w:rPr>
            <w:noProof/>
            <w:webHidden/>
          </w:rPr>
          <w:fldChar w:fldCharType="end"/>
        </w:r>
      </w:hyperlink>
    </w:p>
    <w:p w14:paraId="47F2D35D" w14:textId="1E321D02"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3" w:history="1">
        <w:r w:rsidR="002609E8" w:rsidRPr="00BE3C4D">
          <w:rPr>
            <w:rStyle w:val="Lienhypertexte"/>
            <w:b/>
            <w:bCs/>
            <w:noProof/>
          </w:rPr>
          <w:t>Tableau 16</w:t>
        </w:r>
        <w:r w:rsidR="002609E8" w:rsidRPr="00BE3C4D">
          <w:rPr>
            <w:rStyle w:val="Lienhypertexte"/>
            <w:noProof/>
          </w:rPr>
          <w:t>: situation des indicateurs de produits de l’action « prise en charge psycho-sociale des victimes et personnes affectées par le terrorisme »</w:t>
        </w:r>
        <w:r w:rsidR="002609E8">
          <w:rPr>
            <w:noProof/>
            <w:webHidden/>
          </w:rPr>
          <w:tab/>
        </w:r>
        <w:r w:rsidR="002609E8">
          <w:rPr>
            <w:noProof/>
            <w:webHidden/>
          </w:rPr>
          <w:fldChar w:fldCharType="begin"/>
        </w:r>
        <w:r w:rsidR="002609E8">
          <w:rPr>
            <w:noProof/>
            <w:webHidden/>
          </w:rPr>
          <w:instrText xml:space="preserve"> PAGEREF _Toc164503603 \h </w:instrText>
        </w:r>
        <w:r w:rsidR="002609E8">
          <w:rPr>
            <w:noProof/>
            <w:webHidden/>
          </w:rPr>
        </w:r>
        <w:r w:rsidR="002609E8">
          <w:rPr>
            <w:noProof/>
            <w:webHidden/>
          </w:rPr>
          <w:fldChar w:fldCharType="separate"/>
        </w:r>
        <w:r w:rsidR="007C2E4E">
          <w:rPr>
            <w:noProof/>
            <w:webHidden/>
          </w:rPr>
          <w:t>25</w:t>
        </w:r>
        <w:r w:rsidR="002609E8">
          <w:rPr>
            <w:noProof/>
            <w:webHidden/>
          </w:rPr>
          <w:fldChar w:fldCharType="end"/>
        </w:r>
      </w:hyperlink>
    </w:p>
    <w:p w14:paraId="49A37964" w14:textId="34DFDDF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4" w:history="1">
        <w:r w:rsidR="002609E8" w:rsidRPr="00BE3C4D">
          <w:rPr>
            <w:rStyle w:val="Lienhypertexte"/>
            <w:b/>
            <w:bCs/>
            <w:noProof/>
          </w:rPr>
          <w:t>Tableau 17</w:t>
        </w:r>
        <w:r w:rsidR="002609E8" w:rsidRPr="00BE3C4D">
          <w:rPr>
            <w:rStyle w:val="Lienhypertexte"/>
            <w:noProof/>
          </w:rPr>
          <w:t>: situation des indicateurs de produits en matière de prise en charge psychosociale des victimes et personnes affectées par le terrorisme au 31 décembre 2023</w:t>
        </w:r>
        <w:r w:rsidR="002609E8">
          <w:rPr>
            <w:noProof/>
            <w:webHidden/>
          </w:rPr>
          <w:tab/>
        </w:r>
        <w:r w:rsidR="002609E8">
          <w:rPr>
            <w:noProof/>
            <w:webHidden/>
          </w:rPr>
          <w:fldChar w:fldCharType="begin"/>
        </w:r>
        <w:r w:rsidR="002609E8">
          <w:rPr>
            <w:noProof/>
            <w:webHidden/>
          </w:rPr>
          <w:instrText xml:space="preserve"> PAGEREF _Toc164503604 \h </w:instrText>
        </w:r>
        <w:r w:rsidR="002609E8">
          <w:rPr>
            <w:noProof/>
            <w:webHidden/>
          </w:rPr>
        </w:r>
        <w:r w:rsidR="002609E8">
          <w:rPr>
            <w:noProof/>
            <w:webHidden/>
          </w:rPr>
          <w:fldChar w:fldCharType="separate"/>
        </w:r>
        <w:r w:rsidR="007C2E4E">
          <w:rPr>
            <w:noProof/>
            <w:webHidden/>
          </w:rPr>
          <w:t>26</w:t>
        </w:r>
        <w:r w:rsidR="002609E8">
          <w:rPr>
            <w:noProof/>
            <w:webHidden/>
          </w:rPr>
          <w:fldChar w:fldCharType="end"/>
        </w:r>
      </w:hyperlink>
    </w:p>
    <w:p w14:paraId="1F74CCAB" w14:textId="6D604F4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5" w:history="1">
        <w:r w:rsidR="002609E8" w:rsidRPr="00BE3C4D">
          <w:rPr>
            <w:rStyle w:val="Lienhypertexte"/>
            <w:b/>
            <w:bCs/>
            <w:noProof/>
          </w:rPr>
          <w:t>Tableau 18</w:t>
        </w:r>
        <w:r w:rsidR="002609E8" w:rsidRPr="00BE3C4D">
          <w:rPr>
            <w:rStyle w:val="Lienhypertexte"/>
            <w:noProof/>
          </w:rPr>
          <w:t>: situation des indicateurs de produits relatifs à la « mise en place d'un plan de soutien à la réinstallation des PDI et autres personnes affectées par le terrorisme » au 31 décembre 2023</w:t>
        </w:r>
        <w:r w:rsidR="002609E8">
          <w:rPr>
            <w:noProof/>
            <w:webHidden/>
          </w:rPr>
          <w:tab/>
        </w:r>
        <w:r w:rsidR="002609E8">
          <w:rPr>
            <w:noProof/>
            <w:webHidden/>
          </w:rPr>
          <w:fldChar w:fldCharType="begin"/>
        </w:r>
        <w:r w:rsidR="002609E8">
          <w:rPr>
            <w:noProof/>
            <w:webHidden/>
          </w:rPr>
          <w:instrText xml:space="preserve"> PAGEREF _Toc164503605 \h </w:instrText>
        </w:r>
        <w:r w:rsidR="002609E8">
          <w:rPr>
            <w:noProof/>
            <w:webHidden/>
          </w:rPr>
        </w:r>
        <w:r w:rsidR="002609E8">
          <w:rPr>
            <w:noProof/>
            <w:webHidden/>
          </w:rPr>
          <w:fldChar w:fldCharType="separate"/>
        </w:r>
        <w:r w:rsidR="007C2E4E">
          <w:rPr>
            <w:noProof/>
            <w:webHidden/>
          </w:rPr>
          <w:t>27</w:t>
        </w:r>
        <w:r w:rsidR="002609E8">
          <w:rPr>
            <w:noProof/>
            <w:webHidden/>
          </w:rPr>
          <w:fldChar w:fldCharType="end"/>
        </w:r>
      </w:hyperlink>
    </w:p>
    <w:p w14:paraId="5EDC7FB4" w14:textId="72877B9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6" w:history="1">
        <w:r w:rsidR="002609E8" w:rsidRPr="00BE3C4D">
          <w:rPr>
            <w:rStyle w:val="Lienhypertexte"/>
            <w:b/>
            <w:bCs/>
            <w:noProof/>
          </w:rPr>
          <w:t>Tableau 19</w:t>
        </w:r>
        <w:r w:rsidR="002609E8" w:rsidRPr="00BE3C4D">
          <w:rPr>
            <w:rStyle w:val="Lienhypertexte"/>
            <w:noProof/>
          </w:rPr>
          <w:t>: situation des indicateurs de produits relatifs à la continuité de l’éducation en situation d’urgence au 31 décembre 2023</w:t>
        </w:r>
        <w:r w:rsidR="002609E8">
          <w:rPr>
            <w:noProof/>
            <w:webHidden/>
          </w:rPr>
          <w:tab/>
        </w:r>
        <w:r w:rsidR="002609E8">
          <w:rPr>
            <w:noProof/>
            <w:webHidden/>
          </w:rPr>
          <w:fldChar w:fldCharType="begin"/>
        </w:r>
        <w:r w:rsidR="002609E8">
          <w:rPr>
            <w:noProof/>
            <w:webHidden/>
          </w:rPr>
          <w:instrText xml:space="preserve"> PAGEREF _Toc164503606 \h </w:instrText>
        </w:r>
        <w:r w:rsidR="002609E8">
          <w:rPr>
            <w:noProof/>
            <w:webHidden/>
          </w:rPr>
        </w:r>
        <w:r w:rsidR="002609E8">
          <w:rPr>
            <w:noProof/>
            <w:webHidden/>
          </w:rPr>
          <w:fldChar w:fldCharType="separate"/>
        </w:r>
        <w:r w:rsidR="007C2E4E">
          <w:rPr>
            <w:noProof/>
            <w:webHidden/>
          </w:rPr>
          <w:t>29</w:t>
        </w:r>
        <w:r w:rsidR="002609E8">
          <w:rPr>
            <w:noProof/>
            <w:webHidden/>
          </w:rPr>
          <w:fldChar w:fldCharType="end"/>
        </w:r>
      </w:hyperlink>
    </w:p>
    <w:p w14:paraId="4C1C1673" w14:textId="020ACE90"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7" w:history="1">
        <w:r w:rsidR="002609E8" w:rsidRPr="00BE3C4D">
          <w:rPr>
            <w:rStyle w:val="Lienhypertexte"/>
            <w:b/>
            <w:bCs/>
            <w:noProof/>
          </w:rPr>
          <w:t>Tableau 20</w:t>
        </w:r>
        <w:r w:rsidR="002609E8" w:rsidRPr="00BE3C4D">
          <w:rPr>
            <w:rStyle w:val="Lienhypertexte"/>
            <w:noProof/>
          </w:rPr>
          <w:t>: situation des indicateurs de produits relatifs à la « mise en place d'un plan de soutien aux Personnes déplacées internes, aux personnes pauvres et vulnérables et autres personnes affectées par le terrorisme »</w:t>
        </w:r>
        <w:r w:rsidR="002609E8">
          <w:rPr>
            <w:noProof/>
            <w:webHidden/>
          </w:rPr>
          <w:tab/>
        </w:r>
        <w:r w:rsidR="002609E8">
          <w:rPr>
            <w:noProof/>
            <w:webHidden/>
          </w:rPr>
          <w:fldChar w:fldCharType="begin"/>
        </w:r>
        <w:r w:rsidR="002609E8">
          <w:rPr>
            <w:noProof/>
            <w:webHidden/>
          </w:rPr>
          <w:instrText xml:space="preserve"> PAGEREF _Toc164503607 \h </w:instrText>
        </w:r>
        <w:r w:rsidR="002609E8">
          <w:rPr>
            <w:noProof/>
            <w:webHidden/>
          </w:rPr>
        </w:r>
        <w:r w:rsidR="002609E8">
          <w:rPr>
            <w:noProof/>
            <w:webHidden/>
          </w:rPr>
          <w:fldChar w:fldCharType="separate"/>
        </w:r>
        <w:r w:rsidR="007C2E4E">
          <w:rPr>
            <w:noProof/>
            <w:webHidden/>
          </w:rPr>
          <w:t>30</w:t>
        </w:r>
        <w:r w:rsidR="002609E8">
          <w:rPr>
            <w:noProof/>
            <w:webHidden/>
          </w:rPr>
          <w:fldChar w:fldCharType="end"/>
        </w:r>
      </w:hyperlink>
    </w:p>
    <w:p w14:paraId="6C960F7E" w14:textId="541F3B88"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8" w:history="1">
        <w:r w:rsidR="002609E8" w:rsidRPr="00BE3C4D">
          <w:rPr>
            <w:rStyle w:val="Lienhypertexte"/>
            <w:b/>
            <w:bCs/>
            <w:noProof/>
          </w:rPr>
          <w:t>Tableau 21</w:t>
        </w:r>
        <w:r w:rsidR="002609E8" w:rsidRPr="00BE3C4D">
          <w:rPr>
            <w:rStyle w:val="Lienhypertexte"/>
            <w:noProof/>
          </w:rPr>
          <w:t>:  situation des indicateurs de produits de l’action 02010 portés par le secteur CSM au 31 décembre 2023</w:t>
        </w:r>
        <w:r w:rsidR="002609E8">
          <w:rPr>
            <w:noProof/>
            <w:webHidden/>
          </w:rPr>
          <w:tab/>
        </w:r>
        <w:r w:rsidR="002609E8">
          <w:rPr>
            <w:noProof/>
            <w:webHidden/>
          </w:rPr>
          <w:fldChar w:fldCharType="begin"/>
        </w:r>
        <w:r w:rsidR="002609E8">
          <w:rPr>
            <w:noProof/>
            <w:webHidden/>
          </w:rPr>
          <w:instrText xml:space="preserve"> PAGEREF _Toc164503608 \h </w:instrText>
        </w:r>
        <w:r w:rsidR="002609E8">
          <w:rPr>
            <w:noProof/>
            <w:webHidden/>
          </w:rPr>
        </w:r>
        <w:r w:rsidR="002609E8">
          <w:rPr>
            <w:noProof/>
            <w:webHidden/>
          </w:rPr>
          <w:fldChar w:fldCharType="separate"/>
        </w:r>
        <w:r w:rsidR="007C2E4E">
          <w:rPr>
            <w:noProof/>
            <w:webHidden/>
          </w:rPr>
          <w:t>33</w:t>
        </w:r>
        <w:r w:rsidR="002609E8">
          <w:rPr>
            <w:noProof/>
            <w:webHidden/>
          </w:rPr>
          <w:fldChar w:fldCharType="end"/>
        </w:r>
      </w:hyperlink>
    </w:p>
    <w:p w14:paraId="53DD4D2F" w14:textId="04020FF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09" w:history="1">
        <w:r w:rsidR="002609E8" w:rsidRPr="00BE3C4D">
          <w:rPr>
            <w:rStyle w:val="Lienhypertexte"/>
            <w:b/>
            <w:bCs/>
            <w:noProof/>
          </w:rPr>
          <w:t>Tableau 22</w:t>
        </w:r>
        <w:r w:rsidR="002609E8" w:rsidRPr="00BE3C4D">
          <w:rPr>
            <w:rStyle w:val="Lienhypertexte"/>
            <w:b/>
            <w:noProof/>
          </w:rPr>
          <w:t xml:space="preserve">: </w:t>
        </w:r>
        <w:r w:rsidR="002609E8" w:rsidRPr="00BE3C4D">
          <w:rPr>
            <w:rStyle w:val="Lienhypertexte"/>
            <w:noProof/>
          </w:rPr>
          <w:t>situation des indicateurs de produits relatifs à l’action 02010 portés par le secteur PASP au 31 décembre 2023</w:t>
        </w:r>
        <w:r w:rsidR="002609E8">
          <w:rPr>
            <w:noProof/>
            <w:webHidden/>
          </w:rPr>
          <w:tab/>
        </w:r>
        <w:r w:rsidR="002609E8">
          <w:rPr>
            <w:noProof/>
            <w:webHidden/>
          </w:rPr>
          <w:fldChar w:fldCharType="begin"/>
        </w:r>
        <w:r w:rsidR="002609E8">
          <w:rPr>
            <w:noProof/>
            <w:webHidden/>
          </w:rPr>
          <w:instrText xml:space="preserve"> PAGEREF _Toc164503609 \h </w:instrText>
        </w:r>
        <w:r w:rsidR="002609E8">
          <w:rPr>
            <w:noProof/>
            <w:webHidden/>
          </w:rPr>
        </w:r>
        <w:r w:rsidR="002609E8">
          <w:rPr>
            <w:noProof/>
            <w:webHidden/>
          </w:rPr>
          <w:fldChar w:fldCharType="separate"/>
        </w:r>
        <w:r w:rsidR="007C2E4E">
          <w:rPr>
            <w:noProof/>
            <w:webHidden/>
          </w:rPr>
          <w:t>33</w:t>
        </w:r>
        <w:r w:rsidR="002609E8">
          <w:rPr>
            <w:noProof/>
            <w:webHidden/>
          </w:rPr>
          <w:fldChar w:fldCharType="end"/>
        </w:r>
      </w:hyperlink>
    </w:p>
    <w:p w14:paraId="6BE6DA04" w14:textId="190A34F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0" w:history="1">
        <w:r w:rsidR="002609E8" w:rsidRPr="00BE3C4D">
          <w:rPr>
            <w:rStyle w:val="Lienhypertexte"/>
            <w:b/>
            <w:bCs/>
            <w:noProof/>
          </w:rPr>
          <w:t xml:space="preserve">Tableau 23 </w:t>
        </w:r>
        <w:r w:rsidR="002609E8" w:rsidRPr="00BE3C4D">
          <w:rPr>
            <w:rStyle w:val="Lienhypertexte"/>
            <w:noProof/>
          </w:rPr>
          <w:t>: situation des indicateurs de produits au 31 décembre 2023 de l’action « modernisation et sécurisation des documents d’état civil »</w:t>
        </w:r>
        <w:r w:rsidR="002609E8">
          <w:rPr>
            <w:noProof/>
            <w:webHidden/>
          </w:rPr>
          <w:tab/>
        </w:r>
        <w:r w:rsidR="002609E8">
          <w:rPr>
            <w:noProof/>
            <w:webHidden/>
          </w:rPr>
          <w:fldChar w:fldCharType="begin"/>
        </w:r>
        <w:r w:rsidR="002609E8">
          <w:rPr>
            <w:noProof/>
            <w:webHidden/>
          </w:rPr>
          <w:instrText xml:space="preserve"> PAGEREF _Toc164503610 \h </w:instrText>
        </w:r>
        <w:r w:rsidR="002609E8">
          <w:rPr>
            <w:noProof/>
            <w:webHidden/>
          </w:rPr>
        </w:r>
        <w:r w:rsidR="002609E8">
          <w:rPr>
            <w:noProof/>
            <w:webHidden/>
          </w:rPr>
          <w:fldChar w:fldCharType="separate"/>
        </w:r>
        <w:r w:rsidR="007C2E4E">
          <w:rPr>
            <w:noProof/>
            <w:webHidden/>
          </w:rPr>
          <w:t>38</w:t>
        </w:r>
        <w:r w:rsidR="002609E8">
          <w:rPr>
            <w:noProof/>
            <w:webHidden/>
          </w:rPr>
          <w:fldChar w:fldCharType="end"/>
        </w:r>
      </w:hyperlink>
    </w:p>
    <w:p w14:paraId="1246B268" w14:textId="0149D59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1" w:history="1">
        <w:r w:rsidR="002609E8" w:rsidRPr="00BE3C4D">
          <w:rPr>
            <w:rStyle w:val="Lienhypertexte"/>
            <w:b/>
            <w:bCs/>
            <w:noProof/>
          </w:rPr>
          <w:t>Tableau 24</w:t>
        </w:r>
        <w:r w:rsidR="002609E8" w:rsidRPr="00BE3C4D">
          <w:rPr>
            <w:rStyle w:val="Lienhypertexte"/>
            <w:noProof/>
          </w:rPr>
          <w:t>: situation des indicateurs de produits de l'action « définition d'une orientation de la politique étrangère » au 31 décembre 2023</w:t>
        </w:r>
        <w:r w:rsidR="002609E8">
          <w:rPr>
            <w:noProof/>
            <w:webHidden/>
          </w:rPr>
          <w:tab/>
        </w:r>
        <w:r w:rsidR="002609E8">
          <w:rPr>
            <w:noProof/>
            <w:webHidden/>
          </w:rPr>
          <w:fldChar w:fldCharType="begin"/>
        </w:r>
        <w:r w:rsidR="002609E8">
          <w:rPr>
            <w:noProof/>
            <w:webHidden/>
          </w:rPr>
          <w:instrText xml:space="preserve"> PAGEREF _Toc164503611 \h </w:instrText>
        </w:r>
        <w:r w:rsidR="002609E8">
          <w:rPr>
            <w:noProof/>
            <w:webHidden/>
          </w:rPr>
        </w:r>
        <w:r w:rsidR="002609E8">
          <w:rPr>
            <w:noProof/>
            <w:webHidden/>
          </w:rPr>
          <w:fldChar w:fldCharType="separate"/>
        </w:r>
        <w:r w:rsidR="007C2E4E">
          <w:rPr>
            <w:noProof/>
            <w:webHidden/>
          </w:rPr>
          <w:t>41</w:t>
        </w:r>
        <w:r w:rsidR="002609E8">
          <w:rPr>
            <w:noProof/>
            <w:webHidden/>
          </w:rPr>
          <w:fldChar w:fldCharType="end"/>
        </w:r>
      </w:hyperlink>
    </w:p>
    <w:p w14:paraId="3D370970" w14:textId="027B245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2" w:history="1">
        <w:r w:rsidR="002609E8" w:rsidRPr="00BE3C4D">
          <w:rPr>
            <w:rStyle w:val="Lienhypertexte"/>
            <w:b/>
            <w:bCs/>
            <w:noProof/>
          </w:rPr>
          <w:t>Tableau 25</w:t>
        </w:r>
        <w:r w:rsidR="002609E8" w:rsidRPr="00BE3C4D">
          <w:rPr>
            <w:rStyle w:val="Lienhypertexte"/>
            <w:rFonts w:cs="Merriweather"/>
            <w:noProof/>
          </w:rPr>
          <w:t>: situation des indicateurs de produits au 31 décembre 2023 de l’action « amélioration du fonctionnement des juridictions »</w:t>
        </w:r>
        <w:r w:rsidR="002609E8">
          <w:rPr>
            <w:noProof/>
            <w:webHidden/>
          </w:rPr>
          <w:tab/>
        </w:r>
        <w:r w:rsidR="002609E8">
          <w:rPr>
            <w:noProof/>
            <w:webHidden/>
          </w:rPr>
          <w:fldChar w:fldCharType="begin"/>
        </w:r>
        <w:r w:rsidR="002609E8">
          <w:rPr>
            <w:noProof/>
            <w:webHidden/>
          </w:rPr>
          <w:instrText xml:space="preserve"> PAGEREF _Toc164503612 \h </w:instrText>
        </w:r>
        <w:r w:rsidR="002609E8">
          <w:rPr>
            <w:noProof/>
            <w:webHidden/>
          </w:rPr>
        </w:r>
        <w:r w:rsidR="002609E8">
          <w:rPr>
            <w:noProof/>
            <w:webHidden/>
          </w:rPr>
          <w:fldChar w:fldCharType="separate"/>
        </w:r>
        <w:r w:rsidR="007C2E4E">
          <w:rPr>
            <w:noProof/>
            <w:webHidden/>
          </w:rPr>
          <w:t>42</w:t>
        </w:r>
        <w:r w:rsidR="002609E8">
          <w:rPr>
            <w:noProof/>
            <w:webHidden/>
          </w:rPr>
          <w:fldChar w:fldCharType="end"/>
        </w:r>
      </w:hyperlink>
    </w:p>
    <w:p w14:paraId="0371D65F" w14:textId="0675CFC2"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3" w:history="1">
        <w:r w:rsidR="002609E8" w:rsidRPr="00BE3C4D">
          <w:rPr>
            <w:rStyle w:val="Lienhypertexte"/>
            <w:b/>
            <w:bCs/>
            <w:noProof/>
          </w:rPr>
          <w:t>Tableau 26</w:t>
        </w:r>
        <w:r w:rsidR="002609E8" w:rsidRPr="00BE3C4D">
          <w:rPr>
            <w:rStyle w:val="Lienhypertexte"/>
            <w:rFonts w:cs="Merriweather"/>
            <w:noProof/>
          </w:rPr>
          <w:t>: situation des indicateurs de produits au 31 décembre 2023 de l’action : « amélioration de l’accès à la justice »</w:t>
        </w:r>
        <w:r w:rsidR="002609E8">
          <w:rPr>
            <w:noProof/>
            <w:webHidden/>
          </w:rPr>
          <w:tab/>
        </w:r>
        <w:r w:rsidR="002609E8">
          <w:rPr>
            <w:noProof/>
            <w:webHidden/>
          </w:rPr>
          <w:fldChar w:fldCharType="begin"/>
        </w:r>
        <w:r w:rsidR="002609E8">
          <w:rPr>
            <w:noProof/>
            <w:webHidden/>
          </w:rPr>
          <w:instrText xml:space="preserve"> PAGEREF _Toc164503613 \h </w:instrText>
        </w:r>
        <w:r w:rsidR="002609E8">
          <w:rPr>
            <w:noProof/>
            <w:webHidden/>
          </w:rPr>
        </w:r>
        <w:r w:rsidR="002609E8">
          <w:rPr>
            <w:noProof/>
            <w:webHidden/>
          </w:rPr>
          <w:fldChar w:fldCharType="separate"/>
        </w:r>
        <w:r w:rsidR="007C2E4E">
          <w:rPr>
            <w:noProof/>
            <w:webHidden/>
          </w:rPr>
          <w:t>43</w:t>
        </w:r>
        <w:r w:rsidR="002609E8">
          <w:rPr>
            <w:noProof/>
            <w:webHidden/>
          </w:rPr>
          <w:fldChar w:fldCharType="end"/>
        </w:r>
      </w:hyperlink>
    </w:p>
    <w:p w14:paraId="4139B555" w14:textId="2770570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4" w:history="1">
        <w:r w:rsidR="002609E8" w:rsidRPr="00BE3C4D">
          <w:rPr>
            <w:rStyle w:val="Lienhypertexte"/>
            <w:b/>
            <w:bCs/>
            <w:noProof/>
          </w:rPr>
          <w:t>Tableau 27</w:t>
        </w:r>
        <w:r w:rsidR="002609E8" w:rsidRPr="00BE3C4D">
          <w:rPr>
            <w:rStyle w:val="Lienhypertexte"/>
            <w:rFonts w:cs="Merriweather"/>
            <w:noProof/>
          </w:rPr>
          <w:t>: : situation des indicateurs de produits au 31 décembre 2023 de l’action « renforcement de l’indépendance de la justice »</w:t>
        </w:r>
        <w:r w:rsidR="002609E8">
          <w:rPr>
            <w:noProof/>
            <w:webHidden/>
          </w:rPr>
          <w:tab/>
        </w:r>
        <w:r w:rsidR="002609E8">
          <w:rPr>
            <w:noProof/>
            <w:webHidden/>
          </w:rPr>
          <w:fldChar w:fldCharType="begin"/>
        </w:r>
        <w:r w:rsidR="002609E8">
          <w:rPr>
            <w:noProof/>
            <w:webHidden/>
          </w:rPr>
          <w:instrText xml:space="preserve"> PAGEREF _Toc164503614 \h </w:instrText>
        </w:r>
        <w:r w:rsidR="002609E8">
          <w:rPr>
            <w:noProof/>
            <w:webHidden/>
          </w:rPr>
        </w:r>
        <w:r w:rsidR="002609E8">
          <w:rPr>
            <w:noProof/>
            <w:webHidden/>
          </w:rPr>
          <w:fldChar w:fldCharType="separate"/>
        </w:r>
        <w:r w:rsidR="007C2E4E">
          <w:rPr>
            <w:noProof/>
            <w:webHidden/>
          </w:rPr>
          <w:t>44</w:t>
        </w:r>
        <w:r w:rsidR="002609E8">
          <w:rPr>
            <w:noProof/>
            <w:webHidden/>
          </w:rPr>
          <w:fldChar w:fldCharType="end"/>
        </w:r>
      </w:hyperlink>
    </w:p>
    <w:p w14:paraId="5DEE47E8" w14:textId="490A2B5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5" w:history="1">
        <w:r w:rsidR="002609E8" w:rsidRPr="00BE3C4D">
          <w:rPr>
            <w:rStyle w:val="Lienhypertexte"/>
            <w:b/>
            <w:bCs/>
            <w:noProof/>
          </w:rPr>
          <w:t>Tableau 28</w:t>
        </w:r>
        <w:r w:rsidR="002609E8" w:rsidRPr="00BE3C4D">
          <w:rPr>
            <w:rStyle w:val="Lienhypertexte"/>
            <w:rFonts w:cs="Merriweather"/>
            <w:noProof/>
          </w:rPr>
          <w:t>: : situation des indicateurs de produits au 31 décembre 2023 de l’action « renforcement de l'effectivité des droits humains »</w:t>
        </w:r>
        <w:r w:rsidR="002609E8">
          <w:rPr>
            <w:noProof/>
            <w:webHidden/>
          </w:rPr>
          <w:tab/>
        </w:r>
        <w:r w:rsidR="002609E8">
          <w:rPr>
            <w:noProof/>
            <w:webHidden/>
          </w:rPr>
          <w:fldChar w:fldCharType="begin"/>
        </w:r>
        <w:r w:rsidR="002609E8">
          <w:rPr>
            <w:noProof/>
            <w:webHidden/>
          </w:rPr>
          <w:instrText xml:space="preserve"> PAGEREF _Toc164503615 \h </w:instrText>
        </w:r>
        <w:r w:rsidR="002609E8">
          <w:rPr>
            <w:noProof/>
            <w:webHidden/>
          </w:rPr>
        </w:r>
        <w:r w:rsidR="002609E8">
          <w:rPr>
            <w:noProof/>
            <w:webHidden/>
          </w:rPr>
          <w:fldChar w:fldCharType="separate"/>
        </w:r>
        <w:r w:rsidR="007C2E4E">
          <w:rPr>
            <w:noProof/>
            <w:webHidden/>
          </w:rPr>
          <w:t>45</w:t>
        </w:r>
        <w:r w:rsidR="002609E8">
          <w:rPr>
            <w:noProof/>
            <w:webHidden/>
          </w:rPr>
          <w:fldChar w:fldCharType="end"/>
        </w:r>
      </w:hyperlink>
    </w:p>
    <w:p w14:paraId="19497ACE" w14:textId="4C4299A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6" w:history="1">
        <w:r w:rsidR="002609E8" w:rsidRPr="00BE3C4D">
          <w:rPr>
            <w:rStyle w:val="Lienhypertexte"/>
            <w:b/>
            <w:bCs/>
            <w:noProof/>
          </w:rPr>
          <w:t>Tableau 29</w:t>
        </w:r>
        <w:r w:rsidR="002609E8" w:rsidRPr="00BE3C4D">
          <w:rPr>
            <w:rStyle w:val="Lienhypertexte"/>
            <w:b/>
            <w:noProof/>
          </w:rPr>
          <w:t xml:space="preserve">: </w:t>
        </w:r>
        <w:r w:rsidR="002609E8" w:rsidRPr="00BE3C4D">
          <w:rPr>
            <w:rStyle w:val="Lienhypertexte"/>
            <w:noProof/>
          </w:rPr>
          <w:t>situation des indicateurs de l’action 03082 du PA-SD du secteur ITCH</w:t>
        </w:r>
        <w:r w:rsidR="002609E8">
          <w:rPr>
            <w:noProof/>
            <w:webHidden/>
          </w:rPr>
          <w:tab/>
        </w:r>
        <w:r w:rsidR="002609E8">
          <w:rPr>
            <w:noProof/>
            <w:webHidden/>
          </w:rPr>
          <w:fldChar w:fldCharType="begin"/>
        </w:r>
        <w:r w:rsidR="002609E8">
          <w:rPr>
            <w:noProof/>
            <w:webHidden/>
          </w:rPr>
          <w:instrText xml:space="preserve"> PAGEREF _Toc164503616 \h </w:instrText>
        </w:r>
        <w:r w:rsidR="002609E8">
          <w:rPr>
            <w:noProof/>
            <w:webHidden/>
          </w:rPr>
        </w:r>
        <w:r w:rsidR="002609E8">
          <w:rPr>
            <w:noProof/>
            <w:webHidden/>
          </w:rPr>
          <w:fldChar w:fldCharType="separate"/>
        </w:r>
        <w:r w:rsidR="007C2E4E">
          <w:rPr>
            <w:noProof/>
            <w:webHidden/>
          </w:rPr>
          <w:t>46</w:t>
        </w:r>
        <w:r w:rsidR="002609E8">
          <w:rPr>
            <w:noProof/>
            <w:webHidden/>
          </w:rPr>
          <w:fldChar w:fldCharType="end"/>
        </w:r>
      </w:hyperlink>
    </w:p>
    <w:p w14:paraId="32F8FD6A" w14:textId="5C9AF07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7" w:history="1">
        <w:r w:rsidR="002609E8" w:rsidRPr="00BE3C4D">
          <w:rPr>
            <w:rStyle w:val="Lienhypertexte"/>
            <w:b/>
            <w:bCs/>
            <w:noProof/>
          </w:rPr>
          <w:t>Tableau 30</w:t>
        </w:r>
        <w:r w:rsidR="002609E8" w:rsidRPr="00BE3C4D">
          <w:rPr>
            <w:rStyle w:val="Lienhypertexte"/>
            <w:b/>
            <w:noProof/>
          </w:rPr>
          <w:t xml:space="preserve">:  </w:t>
        </w:r>
        <w:r w:rsidR="002609E8" w:rsidRPr="00BE3C4D">
          <w:rPr>
            <w:rStyle w:val="Lienhypertexte"/>
            <w:noProof/>
          </w:rPr>
          <w:t>situation des indicateurs de produits de l’action 03082 au 31 décembre 2023</w:t>
        </w:r>
        <w:r w:rsidR="002609E8">
          <w:rPr>
            <w:noProof/>
            <w:webHidden/>
          </w:rPr>
          <w:tab/>
        </w:r>
        <w:r w:rsidR="002609E8">
          <w:rPr>
            <w:noProof/>
            <w:webHidden/>
          </w:rPr>
          <w:fldChar w:fldCharType="begin"/>
        </w:r>
        <w:r w:rsidR="002609E8">
          <w:rPr>
            <w:noProof/>
            <w:webHidden/>
          </w:rPr>
          <w:instrText xml:space="preserve"> PAGEREF _Toc164503617 \h </w:instrText>
        </w:r>
        <w:r w:rsidR="002609E8">
          <w:rPr>
            <w:noProof/>
            <w:webHidden/>
          </w:rPr>
        </w:r>
        <w:r w:rsidR="002609E8">
          <w:rPr>
            <w:noProof/>
            <w:webHidden/>
          </w:rPr>
          <w:fldChar w:fldCharType="separate"/>
        </w:r>
        <w:r w:rsidR="007C2E4E">
          <w:rPr>
            <w:noProof/>
            <w:webHidden/>
          </w:rPr>
          <w:t>46</w:t>
        </w:r>
        <w:r w:rsidR="002609E8">
          <w:rPr>
            <w:noProof/>
            <w:webHidden/>
          </w:rPr>
          <w:fldChar w:fldCharType="end"/>
        </w:r>
      </w:hyperlink>
    </w:p>
    <w:p w14:paraId="151E976A" w14:textId="54BC724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8" w:history="1">
        <w:r w:rsidR="002609E8" w:rsidRPr="00BE3C4D">
          <w:rPr>
            <w:rStyle w:val="Lienhypertexte"/>
            <w:b/>
            <w:bCs/>
            <w:noProof/>
          </w:rPr>
          <w:t>Tableau 31</w:t>
        </w:r>
        <w:r w:rsidR="002609E8" w:rsidRPr="00BE3C4D">
          <w:rPr>
            <w:rStyle w:val="Lienhypertexte"/>
            <w:rFonts w:cs="Merriweather"/>
            <w:noProof/>
          </w:rPr>
          <w:t xml:space="preserve"> : situation des indicateurs de produits de l'action « gestion efficace des ressources humaines de l'administration publique » au 31 décembre 2023</w:t>
        </w:r>
        <w:r w:rsidR="002609E8">
          <w:rPr>
            <w:noProof/>
            <w:webHidden/>
          </w:rPr>
          <w:tab/>
        </w:r>
        <w:r w:rsidR="002609E8">
          <w:rPr>
            <w:noProof/>
            <w:webHidden/>
          </w:rPr>
          <w:fldChar w:fldCharType="begin"/>
        </w:r>
        <w:r w:rsidR="002609E8">
          <w:rPr>
            <w:noProof/>
            <w:webHidden/>
          </w:rPr>
          <w:instrText xml:space="preserve"> PAGEREF _Toc164503618 \h </w:instrText>
        </w:r>
        <w:r w:rsidR="002609E8">
          <w:rPr>
            <w:noProof/>
            <w:webHidden/>
          </w:rPr>
        </w:r>
        <w:r w:rsidR="002609E8">
          <w:rPr>
            <w:noProof/>
            <w:webHidden/>
          </w:rPr>
          <w:fldChar w:fldCharType="separate"/>
        </w:r>
        <w:r w:rsidR="007C2E4E">
          <w:rPr>
            <w:noProof/>
            <w:webHidden/>
          </w:rPr>
          <w:t>48</w:t>
        </w:r>
        <w:r w:rsidR="002609E8">
          <w:rPr>
            <w:noProof/>
            <w:webHidden/>
          </w:rPr>
          <w:fldChar w:fldCharType="end"/>
        </w:r>
      </w:hyperlink>
    </w:p>
    <w:p w14:paraId="51A3710F" w14:textId="2258A62F"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19" w:history="1">
        <w:r w:rsidR="002609E8" w:rsidRPr="00BE3C4D">
          <w:rPr>
            <w:rStyle w:val="Lienhypertexte"/>
            <w:b/>
            <w:bCs/>
            <w:noProof/>
          </w:rPr>
          <w:t>Tableau 32</w:t>
        </w:r>
        <w:r w:rsidR="002609E8" w:rsidRPr="00BE3C4D">
          <w:rPr>
            <w:rStyle w:val="Lienhypertexte"/>
            <w:rFonts w:cs="Merriweather"/>
            <w:noProof/>
          </w:rPr>
          <w:t>: situation des indicateurs de produits de l'action « modernisation et performance de l'administration publique » au 31 décembre 2023</w:t>
        </w:r>
        <w:r w:rsidR="002609E8">
          <w:rPr>
            <w:noProof/>
            <w:webHidden/>
          </w:rPr>
          <w:tab/>
        </w:r>
        <w:r w:rsidR="002609E8">
          <w:rPr>
            <w:noProof/>
            <w:webHidden/>
          </w:rPr>
          <w:fldChar w:fldCharType="begin"/>
        </w:r>
        <w:r w:rsidR="002609E8">
          <w:rPr>
            <w:noProof/>
            <w:webHidden/>
          </w:rPr>
          <w:instrText xml:space="preserve"> PAGEREF _Toc164503619 \h </w:instrText>
        </w:r>
        <w:r w:rsidR="002609E8">
          <w:rPr>
            <w:noProof/>
            <w:webHidden/>
          </w:rPr>
        </w:r>
        <w:r w:rsidR="002609E8">
          <w:rPr>
            <w:noProof/>
            <w:webHidden/>
          </w:rPr>
          <w:fldChar w:fldCharType="separate"/>
        </w:r>
        <w:r w:rsidR="007C2E4E">
          <w:rPr>
            <w:noProof/>
            <w:webHidden/>
          </w:rPr>
          <w:t>49</w:t>
        </w:r>
        <w:r w:rsidR="002609E8">
          <w:rPr>
            <w:noProof/>
            <w:webHidden/>
          </w:rPr>
          <w:fldChar w:fldCharType="end"/>
        </w:r>
      </w:hyperlink>
    </w:p>
    <w:p w14:paraId="06352518" w14:textId="28225B6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0" w:history="1">
        <w:r w:rsidR="002609E8" w:rsidRPr="00BE3C4D">
          <w:rPr>
            <w:rStyle w:val="Lienhypertexte"/>
            <w:b/>
            <w:bCs/>
            <w:noProof/>
          </w:rPr>
          <w:t>Tableau 33 :</w:t>
        </w:r>
        <w:r w:rsidR="002609E8" w:rsidRPr="00BE3C4D">
          <w:rPr>
            <w:rStyle w:val="Lienhypertexte"/>
            <w:rFonts w:cs="Merriweather"/>
            <w:noProof/>
          </w:rPr>
          <w:t xml:space="preserve"> situation des indicateurs de produits de l’action 03020 au 31 décembre 2023</w:t>
        </w:r>
        <w:r w:rsidR="002609E8">
          <w:rPr>
            <w:noProof/>
            <w:webHidden/>
          </w:rPr>
          <w:tab/>
        </w:r>
        <w:r w:rsidR="002609E8">
          <w:rPr>
            <w:noProof/>
            <w:webHidden/>
          </w:rPr>
          <w:fldChar w:fldCharType="begin"/>
        </w:r>
        <w:r w:rsidR="002609E8">
          <w:rPr>
            <w:noProof/>
            <w:webHidden/>
          </w:rPr>
          <w:instrText xml:space="preserve"> PAGEREF _Toc164503620 \h </w:instrText>
        </w:r>
        <w:r w:rsidR="002609E8">
          <w:rPr>
            <w:noProof/>
            <w:webHidden/>
          </w:rPr>
        </w:r>
        <w:r w:rsidR="002609E8">
          <w:rPr>
            <w:noProof/>
            <w:webHidden/>
          </w:rPr>
          <w:fldChar w:fldCharType="separate"/>
        </w:r>
        <w:r w:rsidR="007C2E4E">
          <w:rPr>
            <w:noProof/>
            <w:webHidden/>
          </w:rPr>
          <w:t>50</w:t>
        </w:r>
        <w:r w:rsidR="002609E8">
          <w:rPr>
            <w:noProof/>
            <w:webHidden/>
          </w:rPr>
          <w:fldChar w:fldCharType="end"/>
        </w:r>
      </w:hyperlink>
    </w:p>
    <w:p w14:paraId="3FDCB8A0" w14:textId="0A73530F"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1" w:history="1">
        <w:r w:rsidR="002609E8" w:rsidRPr="00BE3C4D">
          <w:rPr>
            <w:rStyle w:val="Lienhypertexte"/>
            <w:b/>
            <w:bCs/>
            <w:noProof/>
          </w:rPr>
          <w:t xml:space="preserve">Tableau 34 </w:t>
        </w:r>
        <w:r w:rsidR="002609E8" w:rsidRPr="00BE3C4D">
          <w:rPr>
            <w:rStyle w:val="Lienhypertexte"/>
            <w:rFonts w:cs="Merriweather"/>
            <w:noProof/>
          </w:rPr>
          <w:t>: situation des indicateurs de produits de l'action « promotion de la communication gouvernementale » au 31 décembre 2023</w:t>
        </w:r>
        <w:r w:rsidR="002609E8">
          <w:rPr>
            <w:noProof/>
            <w:webHidden/>
          </w:rPr>
          <w:tab/>
        </w:r>
        <w:r w:rsidR="002609E8">
          <w:rPr>
            <w:noProof/>
            <w:webHidden/>
          </w:rPr>
          <w:fldChar w:fldCharType="begin"/>
        </w:r>
        <w:r w:rsidR="002609E8">
          <w:rPr>
            <w:noProof/>
            <w:webHidden/>
          </w:rPr>
          <w:instrText xml:space="preserve"> PAGEREF _Toc164503621 \h </w:instrText>
        </w:r>
        <w:r w:rsidR="002609E8">
          <w:rPr>
            <w:noProof/>
            <w:webHidden/>
          </w:rPr>
        </w:r>
        <w:r w:rsidR="002609E8">
          <w:rPr>
            <w:noProof/>
            <w:webHidden/>
          </w:rPr>
          <w:fldChar w:fldCharType="separate"/>
        </w:r>
        <w:r w:rsidR="007C2E4E">
          <w:rPr>
            <w:noProof/>
            <w:webHidden/>
          </w:rPr>
          <w:t>51</w:t>
        </w:r>
        <w:r w:rsidR="002609E8">
          <w:rPr>
            <w:noProof/>
            <w:webHidden/>
          </w:rPr>
          <w:fldChar w:fldCharType="end"/>
        </w:r>
      </w:hyperlink>
    </w:p>
    <w:p w14:paraId="11A3A0BA" w14:textId="6DED244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2" w:history="1">
        <w:r w:rsidR="002609E8" w:rsidRPr="00BE3C4D">
          <w:rPr>
            <w:rStyle w:val="Lienhypertexte"/>
            <w:b/>
            <w:bCs/>
            <w:noProof/>
          </w:rPr>
          <w:t>Tableau 35</w:t>
        </w:r>
        <w:r w:rsidR="002609E8" w:rsidRPr="00BE3C4D">
          <w:rPr>
            <w:rStyle w:val="Lienhypertexte"/>
            <w:rFonts w:cs="Merriweather"/>
            <w:noProof/>
          </w:rPr>
          <w:t>: situation des indicateurs de produits relatifs à l’allégement des conditions d'accès au financement des PME/PMI au 31 décembre 2023</w:t>
        </w:r>
        <w:r w:rsidR="002609E8">
          <w:rPr>
            <w:noProof/>
            <w:webHidden/>
          </w:rPr>
          <w:tab/>
        </w:r>
        <w:r w:rsidR="002609E8">
          <w:rPr>
            <w:noProof/>
            <w:webHidden/>
          </w:rPr>
          <w:fldChar w:fldCharType="begin"/>
        </w:r>
        <w:r w:rsidR="002609E8">
          <w:rPr>
            <w:noProof/>
            <w:webHidden/>
          </w:rPr>
          <w:instrText xml:space="preserve"> PAGEREF _Toc164503622 \h </w:instrText>
        </w:r>
        <w:r w:rsidR="002609E8">
          <w:rPr>
            <w:noProof/>
            <w:webHidden/>
          </w:rPr>
        </w:r>
        <w:r w:rsidR="002609E8">
          <w:rPr>
            <w:noProof/>
            <w:webHidden/>
          </w:rPr>
          <w:fldChar w:fldCharType="separate"/>
        </w:r>
        <w:r w:rsidR="007C2E4E">
          <w:rPr>
            <w:noProof/>
            <w:webHidden/>
          </w:rPr>
          <w:t>52</w:t>
        </w:r>
        <w:r w:rsidR="002609E8">
          <w:rPr>
            <w:noProof/>
            <w:webHidden/>
          </w:rPr>
          <w:fldChar w:fldCharType="end"/>
        </w:r>
      </w:hyperlink>
    </w:p>
    <w:p w14:paraId="4D59C7CD" w14:textId="540B8F7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3" w:history="1">
        <w:r w:rsidR="002609E8" w:rsidRPr="00BE3C4D">
          <w:rPr>
            <w:rStyle w:val="Lienhypertexte"/>
            <w:b/>
            <w:bCs/>
            <w:noProof/>
          </w:rPr>
          <w:t>Tableau 36</w:t>
        </w:r>
        <w:r w:rsidR="002609E8" w:rsidRPr="00BE3C4D">
          <w:rPr>
            <w:rStyle w:val="Lienhypertexte"/>
            <w:rFonts w:cs="Merriweather"/>
            <w:noProof/>
          </w:rPr>
          <w:t>: situation des indicateurs de produits de l’action « informatisation du cadastre foncier national et détermination d'une autorité unique de rattachement »</w:t>
        </w:r>
        <w:r w:rsidR="002609E8">
          <w:rPr>
            <w:noProof/>
            <w:webHidden/>
          </w:rPr>
          <w:tab/>
        </w:r>
        <w:r w:rsidR="002609E8">
          <w:rPr>
            <w:noProof/>
            <w:webHidden/>
          </w:rPr>
          <w:fldChar w:fldCharType="begin"/>
        </w:r>
        <w:r w:rsidR="002609E8">
          <w:rPr>
            <w:noProof/>
            <w:webHidden/>
          </w:rPr>
          <w:instrText xml:space="preserve"> PAGEREF _Toc164503623 \h </w:instrText>
        </w:r>
        <w:r w:rsidR="002609E8">
          <w:rPr>
            <w:noProof/>
            <w:webHidden/>
          </w:rPr>
        </w:r>
        <w:r w:rsidR="002609E8">
          <w:rPr>
            <w:noProof/>
            <w:webHidden/>
          </w:rPr>
          <w:fldChar w:fldCharType="separate"/>
        </w:r>
        <w:r w:rsidR="007C2E4E">
          <w:rPr>
            <w:noProof/>
            <w:webHidden/>
          </w:rPr>
          <w:t>53</w:t>
        </w:r>
        <w:r w:rsidR="002609E8">
          <w:rPr>
            <w:noProof/>
            <w:webHidden/>
          </w:rPr>
          <w:fldChar w:fldCharType="end"/>
        </w:r>
      </w:hyperlink>
    </w:p>
    <w:p w14:paraId="0852E136" w14:textId="18A17CA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4" w:history="1">
        <w:r w:rsidR="002609E8" w:rsidRPr="00BE3C4D">
          <w:rPr>
            <w:rStyle w:val="Lienhypertexte"/>
            <w:b/>
            <w:bCs/>
            <w:noProof/>
          </w:rPr>
          <w:t>Tableau 37</w:t>
        </w:r>
        <w:r w:rsidR="002609E8" w:rsidRPr="00BE3C4D">
          <w:rPr>
            <w:rStyle w:val="Lienhypertexte"/>
            <w:rFonts w:cs="Merriweather"/>
            <w:noProof/>
          </w:rPr>
          <w:t>: situation des indicateurs de produits de l’action « informatisation du système des marchés publics et de la comptabilité matière »</w:t>
        </w:r>
        <w:r w:rsidR="002609E8">
          <w:rPr>
            <w:noProof/>
            <w:webHidden/>
          </w:rPr>
          <w:tab/>
        </w:r>
        <w:r w:rsidR="002609E8">
          <w:rPr>
            <w:noProof/>
            <w:webHidden/>
          </w:rPr>
          <w:fldChar w:fldCharType="begin"/>
        </w:r>
        <w:r w:rsidR="002609E8">
          <w:rPr>
            <w:noProof/>
            <w:webHidden/>
          </w:rPr>
          <w:instrText xml:space="preserve"> PAGEREF _Toc164503624 \h </w:instrText>
        </w:r>
        <w:r w:rsidR="002609E8">
          <w:rPr>
            <w:noProof/>
            <w:webHidden/>
          </w:rPr>
        </w:r>
        <w:r w:rsidR="002609E8">
          <w:rPr>
            <w:noProof/>
            <w:webHidden/>
          </w:rPr>
          <w:fldChar w:fldCharType="separate"/>
        </w:r>
        <w:r w:rsidR="007C2E4E">
          <w:rPr>
            <w:noProof/>
            <w:webHidden/>
          </w:rPr>
          <w:t>54</w:t>
        </w:r>
        <w:r w:rsidR="002609E8">
          <w:rPr>
            <w:noProof/>
            <w:webHidden/>
          </w:rPr>
          <w:fldChar w:fldCharType="end"/>
        </w:r>
      </w:hyperlink>
    </w:p>
    <w:p w14:paraId="6E969102" w14:textId="05E10E60"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5" w:history="1">
        <w:r w:rsidR="002609E8" w:rsidRPr="00BE3C4D">
          <w:rPr>
            <w:rStyle w:val="Lienhypertexte"/>
            <w:b/>
            <w:bCs/>
            <w:noProof/>
          </w:rPr>
          <w:t>Tableau 38</w:t>
        </w:r>
        <w:r w:rsidR="002609E8" w:rsidRPr="00BE3C4D">
          <w:rPr>
            <w:rStyle w:val="Lienhypertexte"/>
            <w:noProof/>
          </w:rPr>
          <w:t> : situation des indicateurs de l’action « amélioration de la gestion budgétaire et du patrimoine »</w:t>
        </w:r>
        <w:r w:rsidR="002609E8">
          <w:rPr>
            <w:noProof/>
            <w:webHidden/>
          </w:rPr>
          <w:tab/>
        </w:r>
        <w:r w:rsidR="002609E8">
          <w:rPr>
            <w:noProof/>
            <w:webHidden/>
          </w:rPr>
          <w:fldChar w:fldCharType="begin"/>
        </w:r>
        <w:r w:rsidR="002609E8">
          <w:rPr>
            <w:noProof/>
            <w:webHidden/>
          </w:rPr>
          <w:instrText xml:space="preserve"> PAGEREF _Toc164503625 \h </w:instrText>
        </w:r>
        <w:r w:rsidR="002609E8">
          <w:rPr>
            <w:noProof/>
            <w:webHidden/>
          </w:rPr>
        </w:r>
        <w:r w:rsidR="002609E8">
          <w:rPr>
            <w:noProof/>
            <w:webHidden/>
          </w:rPr>
          <w:fldChar w:fldCharType="separate"/>
        </w:r>
        <w:r w:rsidR="007C2E4E">
          <w:rPr>
            <w:noProof/>
            <w:webHidden/>
          </w:rPr>
          <w:t>54</w:t>
        </w:r>
        <w:r w:rsidR="002609E8">
          <w:rPr>
            <w:noProof/>
            <w:webHidden/>
          </w:rPr>
          <w:fldChar w:fldCharType="end"/>
        </w:r>
      </w:hyperlink>
    </w:p>
    <w:p w14:paraId="2145E301" w14:textId="30AF6553"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6" w:history="1">
        <w:r w:rsidR="002609E8" w:rsidRPr="00BE3C4D">
          <w:rPr>
            <w:rStyle w:val="Lienhypertexte"/>
            <w:b/>
            <w:bCs/>
            <w:noProof/>
          </w:rPr>
          <w:t>Tableau 39</w:t>
        </w:r>
        <w:r w:rsidR="002609E8" w:rsidRPr="00BE3C4D">
          <w:rPr>
            <w:rStyle w:val="Lienhypertexte"/>
            <w:rFonts w:cs="Merriweather"/>
            <w:noProof/>
          </w:rPr>
          <w:t>: situation des indicateurs de produits de l’action « amélioration de la gestion budgétaire et du patrimoine de l’Etat » au 31 décembre 2023</w:t>
        </w:r>
        <w:r w:rsidR="002609E8">
          <w:rPr>
            <w:noProof/>
            <w:webHidden/>
          </w:rPr>
          <w:tab/>
        </w:r>
        <w:r w:rsidR="002609E8">
          <w:rPr>
            <w:noProof/>
            <w:webHidden/>
          </w:rPr>
          <w:fldChar w:fldCharType="begin"/>
        </w:r>
        <w:r w:rsidR="002609E8">
          <w:rPr>
            <w:noProof/>
            <w:webHidden/>
          </w:rPr>
          <w:instrText xml:space="preserve"> PAGEREF _Toc164503626 \h </w:instrText>
        </w:r>
        <w:r w:rsidR="002609E8">
          <w:rPr>
            <w:noProof/>
            <w:webHidden/>
          </w:rPr>
        </w:r>
        <w:r w:rsidR="002609E8">
          <w:rPr>
            <w:noProof/>
            <w:webHidden/>
          </w:rPr>
          <w:fldChar w:fldCharType="separate"/>
        </w:r>
        <w:r w:rsidR="007C2E4E">
          <w:rPr>
            <w:noProof/>
            <w:webHidden/>
          </w:rPr>
          <w:t>55</w:t>
        </w:r>
        <w:r w:rsidR="002609E8">
          <w:rPr>
            <w:noProof/>
            <w:webHidden/>
          </w:rPr>
          <w:fldChar w:fldCharType="end"/>
        </w:r>
      </w:hyperlink>
    </w:p>
    <w:p w14:paraId="112258C9" w14:textId="4557A14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7" w:history="1">
        <w:r w:rsidR="002609E8" w:rsidRPr="00BE3C4D">
          <w:rPr>
            <w:rStyle w:val="Lienhypertexte"/>
            <w:b/>
            <w:bCs/>
            <w:noProof/>
          </w:rPr>
          <w:t>Tableau 40</w:t>
        </w:r>
        <w:r w:rsidR="002609E8" w:rsidRPr="00BE3C4D">
          <w:rPr>
            <w:rStyle w:val="Lienhypertexte"/>
            <w:rFonts w:cs="Merriweather"/>
            <w:noProof/>
          </w:rPr>
          <w:t>: situation des indicateurs de produits de l’action « assainissement du marché intérieur » au 31 décembre 2023</w:t>
        </w:r>
        <w:r w:rsidR="002609E8">
          <w:rPr>
            <w:noProof/>
            <w:webHidden/>
          </w:rPr>
          <w:tab/>
        </w:r>
        <w:r w:rsidR="002609E8">
          <w:rPr>
            <w:noProof/>
            <w:webHidden/>
          </w:rPr>
          <w:fldChar w:fldCharType="begin"/>
        </w:r>
        <w:r w:rsidR="002609E8">
          <w:rPr>
            <w:noProof/>
            <w:webHidden/>
          </w:rPr>
          <w:instrText xml:space="preserve"> PAGEREF _Toc164503627 \h </w:instrText>
        </w:r>
        <w:r w:rsidR="002609E8">
          <w:rPr>
            <w:noProof/>
            <w:webHidden/>
          </w:rPr>
        </w:r>
        <w:r w:rsidR="002609E8">
          <w:rPr>
            <w:noProof/>
            <w:webHidden/>
          </w:rPr>
          <w:fldChar w:fldCharType="separate"/>
        </w:r>
        <w:r w:rsidR="007C2E4E">
          <w:rPr>
            <w:noProof/>
            <w:webHidden/>
          </w:rPr>
          <w:t>56</w:t>
        </w:r>
        <w:r w:rsidR="002609E8">
          <w:rPr>
            <w:noProof/>
            <w:webHidden/>
          </w:rPr>
          <w:fldChar w:fldCharType="end"/>
        </w:r>
      </w:hyperlink>
    </w:p>
    <w:p w14:paraId="6DB4CC11" w14:textId="20F44DA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8" w:history="1">
        <w:r w:rsidR="002609E8" w:rsidRPr="00BE3C4D">
          <w:rPr>
            <w:rStyle w:val="Lienhypertexte"/>
            <w:b/>
            <w:bCs/>
            <w:noProof/>
          </w:rPr>
          <w:t>Tableau 41</w:t>
        </w:r>
        <w:r w:rsidR="002609E8" w:rsidRPr="00BE3C4D">
          <w:rPr>
            <w:rStyle w:val="Lienhypertexte"/>
            <w:rFonts w:cs="Merriweather"/>
            <w:iCs/>
            <w:noProof/>
          </w:rPr>
          <w:t>: situation des indicateurs de produits de l’action « élaboration d’une nouvelle Etude nationale prospective » au 31 décembre 2023</w:t>
        </w:r>
        <w:r w:rsidR="002609E8">
          <w:rPr>
            <w:noProof/>
            <w:webHidden/>
          </w:rPr>
          <w:tab/>
        </w:r>
        <w:r w:rsidR="002609E8">
          <w:rPr>
            <w:noProof/>
            <w:webHidden/>
          </w:rPr>
          <w:fldChar w:fldCharType="begin"/>
        </w:r>
        <w:r w:rsidR="002609E8">
          <w:rPr>
            <w:noProof/>
            <w:webHidden/>
          </w:rPr>
          <w:instrText xml:space="preserve"> PAGEREF _Toc164503628 \h </w:instrText>
        </w:r>
        <w:r w:rsidR="002609E8">
          <w:rPr>
            <w:noProof/>
            <w:webHidden/>
          </w:rPr>
        </w:r>
        <w:r w:rsidR="002609E8">
          <w:rPr>
            <w:noProof/>
            <w:webHidden/>
          </w:rPr>
          <w:fldChar w:fldCharType="separate"/>
        </w:r>
        <w:r w:rsidR="007C2E4E">
          <w:rPr>
            <w:noProof/>
            <w:webHidden/>
          </w:rPr>
          <w:t>57</w:t>
        </w:r>
        <w:r w:rsidR="002609E8">
          <w:rPr>
            <w:noProof/>
            <w:webHidden/>
          </w:rPr>
          <w:fldChar w:fldCharType="end"/>
        </w:r>
      </w:hyperlink>
    </w:p>
    <w:p w14:paraId="4C059918" w14:textId="69CBEEC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29" w:history="1">
        <w:r w:rsidR="002609E8" w:rsidRPr="00BE3C4D">
          <w:rPr>
            <w:rStyle w:val="Lienhypertexte"/>
            <w:b/>
            <w:bCs/>
            <w:noProof/>
          </w:rPr>
          <w:t>Tableau 42</w:t>
        </w:r>
        <w:r w:rsidR="002609E8" w:rsidRPr="00BE3C4D">
          <w:rPr>
            <w:rStyle w:val="Lienhypertexte"/>
            <w:rFonts w:cs="Merriweather"/>
            <w:iCs/>
            <w:noProof/>
          </w:rPr>
          <w:t>: situation des indicateurs de produits de l’action « audit des ministères et Institutions » au 31 décembre 2023</w:t>
        </w:r>
        <w:r w:rsidR="002609E8">
          <w:rPr>
            <w:noProof/>
            <w:webHidden/>
          </w:rPr>
          <w:tab/>
        </w:r>
        <w:r w:rsidR="002609E8">
          <w:rPr>
            <w:noProof/>
            <w:webHidden/>
          </w:rPr>
          <w:fldChar w:fldCharType="begin"/>
        </w:r>
        <w:r w:rsidR="002609E8">
          <w:rPr>
            <w:noProof/>
            <w:webHidden/>
          </w:rPr>
          <w:instrText xml:space="preserve"> PAGEREF _Toc164503629 \h </w:instrText>
        </w:r>
        <w:r w:rsidR="002609E8">
          <w:rPr>
            <w:noProof/>
            <w:webHidden/>
          </w:rPr>
        </w:r>
        <w:r w:rsidR="002609E8">
          <w:rPr>
            <w:noProof/>
            <w:webHidden/>
          </w:rPr>
          <w:fldChar w:fldCharType="separate"/>
        </w:r>
        <w:r w:rsidR="007C2E4E">
          <w:rPr>
            <w:noProof/>
            <w:webHidden/>
          </w:rPr>
          <w:t>58</w:t>
        </w:r>
        <w:r w:rsidR="002609E8">
          <w:rPr>
            <w:noProof/>
            <w:webHidden/>
          </w:rPr>
          <w:fldChar w:fldCharType="end"/>
        </w:r>
      </w:hyperlink>
    </w:p>
    <w:p w14:paraId="0DCEFD5F" w14:textId="1310932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0" w:history="1">
        <w:r w:rsidR="002609E8" w:rsidRPr="00BE3C4D">
          <w:rPr>
            <w:rStyle w:val="Lienhypertexte"/>
            <w:b/>
            <w:bCs/>
            <w:noProof/>
          </w:rPr>
          <w:t>Tableau 43</w:t>
        </w:r>
        <w:r w:rsidR="002609E8" w:rsidRPr="00BE3C4D">
          <w:rPr>
            <w:rStyle w:val="Lienhypertexte"/>
            <w:rFonts w:cs="Merriweather"/>
            <w:noProof/>
          </w:rPr>
          <w:t>: situation des indicateurs de produits de l’action « optimisation de la mobilisation des ressources » au 31 décembre 2023</w:t>
        </w:r>
        <w:r w:rsidR="002609E8">
          <w:rPr>
            <w:noProof/>
            <w:webHidden/>
          </w:rPr>
          <w:tab/>
        </w:r>
        <w:r w:rsidR="002609E8">
          <w:rPr>
            <w:noProof/>
            <w:webHidden/>
          </w:rPr>
          <w:fldChar w:fldCharType="begin"/>
        </w:r>
        <w:r w:rsidR="002609E8">
          <w:rPr>
            <w:noProof/>
            <w:webHidden/>
          </w:rPr>
          <w:instrText xml:space="preserve"> PAGEREF _Toc164503630 \h </w:instrText>
        </w:r>
        <w:r w:rsidR="002609E8">
          <w:rPr>
            <w:noProof/>
            <w:webHidden/>
          </w:rPr>
        </w:r>
        <w:r w:rsidR="002609E8">
          <w:rPr>
            <w:noProof/>
            <w:webHidden/>
          </w:rPr>
          <w:fldChar w:fldCharType="separate"/>
        </w:r>
        <w:r w:rsidR="007C2E4E">
          <w:rPr>
            <w:noProof/>
            <w:webHidden/>
          </w:rPr>
          <w:t>59</w:t>
        </w:r>
        <w:r w:rsidR="002609E8">
          <w:rPr>
            <w:noProof/>
            <w:webHidden/>
          </w:rPr>
          <w:fldChar w:fldCharType="end"/>
        </w:r>
      </w:hyperlink>
    </w:p>
    <w:p w14:paraId="58DADC35" w14:textId="27306DBC"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1" w:history="1">
        <w:r w:rsidR="002609E8" w:rsidRPr="00BE3C4D">
          <w:rPr>
            <w:rStyle w:val="Lienhypertexte"/>
            <w:b/>
            <w:bCs/>
            <w:noProof/>
          </w:rPr>
          <w:t>Tableau 44</w:t>
        </w:r>
        <w:r w:rsidR="002609E8" w:rsidRPr="00BE3C4D">
          <w:rPr>
            <w:rStyle w:val="Lienhypertexte"/>
            <w:rFonts w:cs="Merriweather"/>
            <w:noProof/>
          </w:rPr>
          <w:t>: situation des indicateurs de produits de l’action 03039 au 31 décembre 2023</w:t>
        </w:r>
        <w:r w:rsidR="002609E8">
          <w:rPr>
            <w:noProof/>
            <w:webHidden/>
          </w:rPr>
          <w:tab/>
        </w:r>
        <w:r w:rsidR="002609E8">
          <w:rPr>
            <w:noProof/>
            <w:webHidden/>
          </w:rPr>
          <w:fldChar w:fldCharType="begin"/>
        </w:r>
        <w:r w:rsidR="002609E8">
          <w:rPr>
            <w:noProof/>
            <w:webHidden/>
          </w:rPr>
          <w:instrText xml:space="preserve"> PAGEREF _Toc164503631 \h </w:instrText>
        </w:r>
        <w:r w:rsidR="002609E8">
          <w:rPr>
            <w:noProof/>
            <w:webHidden/>
          </w:rPr>
        </w:r>
        <w:r w:rsidR="002609E8">
          <w:rPr>
            <w:noProof/>
            <w:webHidden/>
          </w:rPr>
          <w:fldChar w:fldCharType="separate"/>
        </w:r>
        <w:r w:rsidR="007C2E4E">
          <w:rPr>
            <w:noProof/>
            <w:webHidden/>
          </w:rPr>
          <w:t>60</w:t>
        </w:r>
        <w:r w:rsidR="002609E8">
          <w:rPr>
            <w:noProof/>
            <w:webHidden/>
          </w:rPr>
          <w:fldChar w:fldCharType="end"/>
        </w:r>
      </w:hyperlink>
    </w:p>
    <w:p w14:paraId="5F3ECE05" w14:textId="64CF7C40"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2" w:history="1">
        <w:r w:rsidR="002609E8" w:rsidRPr="00BE3C4D">
          <w:rPr>
            <w:rStyle w:val="Lienhypertexte"/>
            <w:b/>
            <w:bCs/>
            <w:noProof/>
          </w:rPr>
          <w:t>Tableau 45</w:t>
        </w:r>
        <w:r w:rsidR="002609E8" w:rsidRPr="00BE3C4D">
          <w:rPr>
            <w:rStyle w:val="Lienhypertexte"/>
            <w:rFonts w:cs="Merriweather"/>
            <w:noProof/>
          </w:rPr>
          <w:t>: situation des indicateurs de produits de l'action « renforcement et élargissement des liens d'amitié et de coopération du Burkina Faso » au 31 décembre 2023</w:t>
        </w:r>
        <w:r w:rsidR="002609E8">
          <w:rPr>
            <w:noProof/>
            <w:webHidden/>
          </w:rPr>
          <w:tab/>
        </w:r>
        <w:r w:rsidR="002609E8">
          <w:rPr>
            <w:noProof/>
            <w:webHidden/>
          </w:rPr>
          <w:fldChar w:fldCharType="begin"/>
        </w:r>
        <w:r w:rsidR="002609E8">
          <w:rPr>
            <w:noProof/>
            <w:webHidden/>
          </w:rPr>
          <w:instrText xml:space="preserve"> PAGEREF _Toc164503632 \h </w:instrText>
        </w:r>
        <w:r w:rsidR="002609E8">
          <w:rPr>
            <w:noProof/>
            <w:webHidden/>
          </w:rPr>
        </w:r>
        <w:r w:rsidR="002609E8">
          <w:rPr>
            <w:noProof/>
            <w:webHidden/>
          </w:rPr>
          <w:fldChar w:fldCharType="separate"/>
        </w:r>
        <w:r w:rsidR="007C2E4E">
          <w:rPr>
            <w:noProof/>
            <w:webHidden/>
          </w:rPr>
          <w:t>61</w:t>
        </w:r>
        <w:r w:rsidR="002609E8">
          <w:rPr>
            <w:noProof/>
            <w:webHidden/>
          </w:rPr>
          <w:fldChar w:fldCharType="end"/>
        </w:r>
      </w:hyperlink>
    </w:p>
    <w:p w14:paraId="07727DD2" w14:textId="25CFAF3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3" w:history="1">
        <w:r w:rsidR="002609E8" w:rsidRPr="00BE3C4D">
          <w:rPr>
            <w:rStyle w:val="Lienhypertexte"/>
            <w:b/>
            <w:bCs/>
            <w:noProof/>
          </w:rPr>
          <w:t>Tableau 46</w:t>
        </w:r>
        <w:r w:rsidR="002609E8" w:rsidRPr="00BE3C4D">
          <w:rPr>
            <w:rStyle w:val="Lienhypertexte"/>
            <w:rFonts w:cs="Merriweather"/>
            <w:iCs/>
            <w:noProof/>
          </w:rPr>
          <w:t>: situation des indicateurs de produits de l’action « amélioration de la participation des Burkinabè de l’extérieur au processus de développement socio-économique et politique du Burkina Faso »</w:t>
        </w:r>
        <w:r w:rsidR="002609E8">
          <w:rPr>
            <w:noProof/>
            <w:webHidden/>
          </w:rPr>
          <w:tab/>
        </w:r>
        <w:r w:rsidR="002609E8">
          <w:rPr>
            <w:noProof/>
            <w:webHidden/>
          </w:rPr>
          <w:fldChar w:fldCharType="begin"/>
        </w:r>
        <w:r w:rsidR="002609E8">
          <w:rPr>
            <w:noProof/>
            <w:webHidden/>
          </w:rPr>
          <w:instrText xml:space="preserve"> PAGEREF _Toc164503633 \h </w:instrText>
        </w:r>
        <w:r w:rsidR="002609E8">
          <w:rPr>
            <w:noProof/>
            <w:webHidden/>
          </w:rPr>
        </w:r>
        <w:r w:rsidR="002609E8">
          <w:rPr>
            <w:noProof/>
            <w:webHidden/>
          </w:rPr>
          <w:fldChar w:fldCharType="separate"/>
        </w:r>
        <w:r w:rsidR="007C2E4E">
          <w:rPr>
            <w:noProof/>
            <w:webHidden/>
          </w:rPr>
          <w:t>62</w:t>
        </w:r>
        <w:r w:rsidR="002609E8">
          <w:rPr>
            <w:noProof/>
            <w:webHidden/>
          </w:rPr>
          <w:fldChar w:fldCharType="end"/>
        </w:r>
      </w:hyperlink>
    </w:p>
    <w:p w14:paraId="4E519943" w14:textId="20B265F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4" w:history="1">
        <w:r w:rsidR="002609E8" w:rsidRPr="00BE3C4D">
          <w:rPr>
            <w:rStyle w:val="Lienhypertexte"/>
            <w:b/>
            <w:bCs/>
            <w:noProof/>
          </w:rPr>
          <w:t>Tableau 47</w:t>
        </w:r>
        <w:r w:rsidR="002609E8" w:rsidRPr="00BE3C4D">
          <w:rPr>
            <w:rStyle w:val="Lienhypertexte"/>
            <w:rFonts w:cs="Merriweather"/>
            <w:iCs/>
            <w:noProof/>
          </w:rPr>
          <w:t>: situation des indicateurs de produits de l’action « poursuite du développement des économies locales »</w:t>
        </w:r>
        <w:r w:rsidR="002609E8">
          <w:rPr>
            <w:noProof/>
            <w:webHidden/>
          </w:rPr>
          <w:tab/>
        </w:r>
        <w:r w:rsidR="002609E8">
          <w:rPr>
            <w:noProof/>
            <w:webHidden/>
          </w:rPr>
          <w:fldChar w:fldCharType="begin"/>
        </w:r>
        <w:r w:rsidR="002609E8">
          <w:rPr>
            <w:noProof/>
            <w:webHidden/>
          </w:rPr>
          <w:instrText xml:space="preserve"> PAGEREF _Toc164503634 \h </w:instrText>
        </w:r>
        <w:r w:rsidR="002609E8">
          <w:rPr>
            <w:noProof/>
            <w:webHidden/>
          </w:rPr>
        </w:r>
        <w:r w:rsidR="002609E8">
          <w:rPr>
            <w:noProof/>
            <w:webHidden/>
          </w:rPr>
          <w:fldChar w:fldCharType="separate"/>
        </w:r>
        <w:r w:rsidR="007C2E4E">
          <w:rPr>
            <w:noProof/>
            <w:webHidden/>
          </w:rPr>
          <w:t>63</w:t>
        </w:r>
        <w:r w:rsidR="002609E8">
          <w:rPr>
            <w:noProof/>
            <w:webHidden/>
          </w:rPr>
          <w:fldChar w:fldCharType="end"/>
        </w:r>
      </w:hyperlink>
    </w:p>
    <w:p w14:paraId="2B716D1E" w14:textId="28C5949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5" w:history="1">
        <w:r w:rsidR="002609E8" w:rsidRPr="00BE3C4D">
          <w:rPr>
            <w:rStyle w:val="Lienhypertexte"/>
            <w:b/>
            <w:bCs/>
            <w:noProof/>
          </w:rPr>
          <w:t>Tableau 48</w:t>
        </w:r>
        <w:r w:rsidR="002609E8" w:rsidRPr="00BE3C4D">
          <w:rPr>
            <w:rStyle w:val="Lienhypertexte"/>
            <w:rFonts w:cs="Merriweather"/>
            <w:iCs/>
            <w:noProof/>
          </w:rPr>
          <w:t>: situation des indicateurs de produits de l’action « réforme du dispositif de financement de la décentralisation »</w:t>
        </w:r>
        <w:r w:rsidR="002609E8">
          <w:rPr>
            <w:noProof/>
            <w:webHidden/>
          </w:rPr>
          <w:tab/>
        </w:r>
        <w:r w:rsidR="002609E8">
          <w:rPr>
            <w:noProof/>
            <w:webHidden/>
          </w:rPr>
          <w:fldChar w:fldCharType="begin"/>
        </w:r>
        <w:r w:rsidR="002609E8">
          <w:rPr>
            <w:noProof/>
            <w:webHidden/>
          </w:rPr>
          <w:instrText xml:space="preserve"> PAGEREF _Toc164503635 \h </w:instrText>
        </w:r>
        <w:r w:rsidR="002609E8">
          <w:rPr>
            <w:noProof/>
            <w:webHidden/>
          </w:rPr>
        </w:r>
        <w:r w:rsidR="002609E8">
          <w:rPr>
            <w:noProof/>
            <w:webHidden/>
          </w:rPr>
          <w:fldChar w:fldCharType="separate"/>
        </w:r>
        <w:r w:rsidR="007C2E4E">
          <w:rPr>
            <w:noProof/>
            <w:webHidden/>
          </w:rPr>
          <w:t>65</w:t>
        </w:r>
        <w:r w:rsidR="002609E8">
          <w:rPr>
            <w:noProof/>
            <w:webHidden/>
          </w:rPr>
          <w:fldChar w:fldCharType="end"/>
        </w:r>
      </w:hyperlink>
    </w:p>
    <w:p w14:paraId="3973E034" w14:textId="748F6A88"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6" w:history="1">
        <w:r w:rsidR="002609E8" w:rsidRPr="00BE3C4D">
          <w:rPr>
            <w:rStyle w:val="Lienhypertexte"/>
            <w:b/>
            <w:bCs/>
            <w:noProof/>
          </w:rPr>
          <w:t>Tableau 49</w:t>
        </w:r>
        <w:r w:rsidR="002609E8" w:rsidRPr="00BE3C4D">
          <w:rPr>
            <w:rStyle w:val="Lienhypertexte"/>
            <w:rFonts w:cs="Merriweather"/>
            <w:iCs/>
            <w:noProof/>
          </w:rPr>
          <w:t>: situation des indicateurs de produits de l'action « amélioration de la gouvernance des collectivités territoriales » au 31 décembre 2023</w:t>
        </w:r>
        <w:r w:rsidR="002609E8">
          <w:rPr>
            <w:noProof/>
            <w:webHidden/>
          </w:rPr>
          <w:tab/>
        </w:r>
        <w:r w:rsidR="002609E8">
          <w:rPr>
            <w:noProof/>
            <w:webHidden/>
          </w:rPr>
          <w:fldChar w:fldCharType="begin"/>
        </w:r>
        <w:r w:rsidR="002609E8">
          <w:rPr>
            <w:noProof/>
            <w:webHidden/>
          </w:rPr>
          <w:instrText xml:space="preserve"> PAGEREF _Toc164503636 \h </w:instrText>
        </w:r>
        <w:r w:rsidR="002609E8">
          <w:rPr>
            <w:noProof/>
            <w:webHidden/>
          </w:rPr>
        </w:r>
        <w:r w:rsidR="002609E8">
          <w:rPr>
            <w:noProof/>
            <w:webHidden/>
          </w:rPr>
          <w:fldChar w:fldCharType="separate"/>
        </w:r>
        <w:r w:rsidR="007C2E4E">
          <w:rPr>
            <w:noProof/>
            <w:webHidden/>
          </w:rPr>
          <w:t>66</w:t>
        </w:r>
        <w:r w:rsidR="002609E8">
          <w:rPr>
            <w:noProof/>
            <w:webHidden/>
          </w:rPr>
          <w:fldChar w:fldCharType="end"/>
        </w:r>
      </w:hyperlink>
    </w:p>
    <w:p w14:paraId="2D6D0F99" w14:textId="67ABDC3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7" w:history="1">
        <w:r w:rsidR="002609E8" w:rsidRPr="00BE3C4D">
          <w:rPr>
            <w:rStyle w:val="Lienhypertexte"/>
            <w:b/>
            <w:bCs/>
            <w:noProof/>
          </w:rPr>
          <w:t>Tableau 50</w:t>
        </w:r>
        <w:r w:rsidR="002609E8" w:rsidRPr="00BE3C4D">
          <w:rPr>
            <w:rStyle w:val="Lienhypertexte"/>
            <w:iCs/>
            <w:noProof/>
          </w:rPr>
          <w:t>: situation des indicateurs de produits de l'action « accroissement des ressources mobilisées au profit des CT » au 31 décembre 2023</w:t>
        </w:r>
        <w:r w:rsidR="002609E8">
          <w:rPr>
            <w:noProof/>
            <w:webHidden/>
          </w:rPr>
          <w:tab/>
        </w:r>
        <w:r w:rsidR="002609E8">
          <w:rPr>
            <w:noProof/>
            <w:webHidden/>
          </w:rPr>
          <w:fldChar w:fldCharType="begin"/>
        </w:r>
        <w:r w:rsidR="002609E8">
          <w:rPr>
            <w:noProof/>
            <w:webHidden/>
          </w:rPr>
          <w:instrText xml:space="preserve"> PAGEREF _Toc164503637 \h </w:instrText>
        </w:r>
        <w:r w:rsidR="002609E8">
          <w:rPr>
            <w:noProof/>
            <w:webHidden/>
          </w:rPr>
        </w:r>
        <w:r w:rsidR="002609E8">
          <w:rPr>
            <w:noProof/>
            <w:webHidden/>
          </w:rPr>
          <w:fldChar w:fldCharType="separate"/>
        </w:r>
        <w:r w:rsidR="007C2E4E">
          <w:rPr>
            <w:noProof/>
            <w:webHidden/>
          </w:rPr>
          <w:t>67</w:t>
        </w:r>
        <w:r w:rsidR="002609E8">
          <w:rPr>
            <w:noProof/>
            <w:webHidden/>
          </w:rPr>
          <w:fldChar w:fldCharType="end"/>
        </w:r>
      </w:hyperlink>
    </w:p>
    <w:p w14:paraId="4BFC18DA" w14:textId="1113EC3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8" w:history="1">
        <w:r w:rsidR="002609E8" w:rsidRPr="00BE3C4D">
          <w:rPr>
            <w:rStyle w:val="Lienhypertexte"/>
            <w:b/>
            <w:bCs/>
            <w:noProof/>
          </w:rPr>
          <w:t>Tableau 51</w:t>
        </w:r>
        <w:r w:rsidR="002609E8" w:rsidRPr="00BE3C4D">
          <w:rPr>
            <w:rStyle w:val="Lienhypertexte"/>
            <w:noProof/>
          </w:rPr>
          <w:t>: situation des indicateurs de produits de la poursuite des réformes en matière de santé (03049) au 31 décembre 2023</w:t>
        </w:r>
        <w:r w:rsidR="002609E8">
          <w:rPr>
            <w:noProof/>
            <w:webHidden/>
          </w:rPr>
          <w:tab/>
        </w:r>
        <w:r w:rsidR="002609E8">
          <w:rPr>
            <w:noProof/>
            <w:webHidden/>
          </w:rPr>
          <w:fldChar w:fldCharType="begin"/>
        </w:r>
        <w:r w:rsidR="002609E8">
          <w:rPr>
            <w:noProof/>
            <w:webHidden/>
          </w:rPr>
          <w:instrText xml:space="preserve"> PAGEREF _Toc164503638 \h </w:instrText>
        </w:r>
        <w:r w:rsidR="002609E8">
          <w:rPr>
            <w:noProof/>
            <w:webHidden/>
          </w:rPr>
        </w:r>
        <w:r w:rsidR="002609E8">
          <w:rPr>
            <w:noProof/>
            <w:webHidden/>
          </w:rPr>
          <w:fldChar w:fldCharType="separate"/>
        </w:r>
        <w:r w:rsidR="007C2E4E">
          <w:rPr>
            <w:noProof/>
            <w:webHidden/>
          </w:rPr>
          <w:t>70</w:t>
        </w:r>
        <w:r w:rsidR="002609E8">
          <w:rPr>
            <w:noProof/>
            <w:webHidden/>
          </w:rPr>
          <w:fldChar w:fldCharType="end"/>
        </w:r>
      </w:hyperlink>
    </w:p>
    <w:p w14:paraId="21524CD9" w14:textId="4C7ABC4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39" w:history="1">
        <w:r w:rsidR="002609E8" w:rsidRPr="00BE3C4D">
          <w:rPr>
            <w:rStyle w:val="Lienhypertexte"/>
            <w:b/>
            <w:bCs/>
            <w:noProof/>
          </w:rPr>
          <w:t>Tableau 52</w:t>
        </w:r>
        <w:r w:rsidR="002609E8" w:rsidRPr="00BE3C4D">
          <w:rPr>
            <w:rStyle w:val="Lienhypertexte"/>
            <w:noProof/>
          </w:rPr>
          <w:t>: situation des indicateurs de produits de la poursuite de la mise en œuvre de la stratégie de santé communautaire (03050) au 31 décembre 2023</w:t>
        </w:r>
        <w:r w:rsidR="002609E8">
          <w:rPr>
            <w:noProof/>
            <w:webHidden/>
          </w:rPr>
          <w:tab/>
        </w:r>
        <w:r w:rsidR="002609E8">
          <w:rPr>
            <w:noProof/>
            <w:webHidden/>
          </w:rPr>
          <w:fldChar w:fldCharType="begin"/>
        </w:r>
        <w:r w:rsidR="002609E8">
          <w:rPr>
            <w:noProof/>
            <w:webHidden/>
          </w:rPr>
          <w:instrText xml:space="preserve"> PAGEREF _Toc164503639 \h </w:instrText>
        </w:r>
        <w:r w:rsidR="002609E8">
          <w:rPr>
            <w:noProof/>
            <w:webHidden/>
          </w:rPr>
        </w:r>
        <w:r w:rsidR="002609E8">
          <w:rPr>
            <w:noProof/>
            <w:webHidden/>
          </w:rPr>
          <w:fldChar w:fldCharType="separate"/>
        </w:r>
        <w:r w:rsidR="007C2E4E">
          <w:rPr>
            <w:noProof/>
            <w:webHidden/>
          </w:rPr>
          <w:t>71</w:t>
        </w:r>
        <w:r w:rsidR="002609E8">
          <w:rPr>
            <w:noProof/>
            <w:webHidden/>
          </w:rPr>
          <w:fldChar w:fldCharType="end"/>
        </w:r>
      </w:hyperlink>
    </w:p>
    <w:p w14:paraId="6D5AD8A7" w14:textId="37C1A38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0" w:history="1">
        <w:r w:rsidR="002609E8" w:rsidRPr="00BE3C4D">
          <w:rPr>
            <w:rStyle w:val="Lienhypertexte"/>
            <w:b/>
            <w:bCs/>
            <w:noProof/>
          </w:rPr>
          <w:t>Tableau 53</w:t>
        </w:r>
        <w:r w:rsidR="002609E8" w:rsidRPr="00BE3C4D">
          <w:rPr>
            <w:rStyle w:val="Lienhypertexte"/>
            <w:noProof/>
          </w:rPr>
          <w:t>: situation des indicateurs de produits en matière de poursuite des investissements en matière de santé (A3051) au 31 décembre</w:t>
        </w:r>
        <w:r w:rsidR="002609E8">
          <w:rPr>
            <w:noProof/>
            <w:webHidden/>
          </w:rPr>
          <w:tab/>
        </w:r>
        <w:r w:rsidR="002609E8">
          <w:rPr>
            <w:noProof/>
            <w:webHidden/>
          </w:rPr>
          <w:fldChar w:fldCharType="begin"/>
        </w:r>
        <w:r w:rsidR="002609E8">
          <w:rPr>
            <w:noProof/>
            <w:webHidden/>
          </w:rPr>
          <w:instrText xml:space="preserve"> PAGEREF _Toc164503640 \h </w:instrText>
        </w:r>
        <w:r w:rsidR="002609E8">
          <w:rPr>
            <w:noProof/>
            <w:webHidden/>
          </w:rPr>
        </w:r>
        <w:r w:rsidR="002609E8">
          <w:rPr>
            <w:noProof/>
            <w:webHidden/>
          </w:rPr>
          <w:fldChar w:fldCharType="separate"/>
        </w:r>
        <w:r w:rsidR="007C2E4E">
          <w:rPr>
            <w:noProof/>
            <w:webHidden/>
          </w:rPr>
          <w:t>72</w:t>
        </w:r>
        <w:r w:rsidR="002609E8">
          <w:rPr>
            <w:noProof/>
            <w:webHidden/>
          </w:rPr>
          <w:fldChar w:fldCharType="end"/>
        </w:r>
      </w:hyperlink>
    </w:p>
    <w:p w14:paraId="513664DF" w14:textId="2474762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1" w:history="1">
        <w:r w:rsidR="002609E8" w:rsidRPr="00BE3C4D">
          <w:rPr>
            <w:rStyle w:val="Lienhypertexte"/>
            <w:b/>
            <w:bCs/>
            <w:noProof/>
          </w:rPr>
          <w:t>Tableau 54</w:t>
        </w:r>
        <w:r w:rsidR="002609E8" w:rsidRPr="00BE3C4D">
          <w:rPr>
            <w:rStyle w:val="Lienhypertexte"/>
            <w:noProof/>
          </w:rPr>
          <w:t>: situation des indicateurs de produits de l’action « amélioration de la qualité et accès au système éducatif » au 31 décembre 2023</w:t>
        </w:r>
        <w:r w:rsidR="002609E8">
          <w:rPr>
            <w:noProof/>
            <w:webHidden/>
          </w:rPr>
          <w:tab/>
        </w:r>
        <w:r w:rsidR="002609E8">
          <w:rPr>
            <w:noProof/>
            <w:webHidden/>
          </w:rPr>
          <w:fldChar w:fldCharType="begin"/>
        </w:r>
        <w:r w:rsidR="002609E8">
          <w:rPr>
            <w:noProof/>
            <w:webHidden/>
          </w:rPr>
          <w:instrText xml:space="preserve"> PAGEREF _Toc164503641 \h </w:instrText>
        </w:r>
        <w:r w:rsidR="002609E8">
          <w:rPr>
            <w:noProof/>
            <w:webHidden/>
          </w:rPr>
        </w:r>
        <w:r w:rsidR="002609E8">
          <w:rPr>
            <w:noProof/>
            <w:webHidden/>
          </w:rPr>
          <w:fldChar w:fldCharType="separate"/>
        </w:r>
        <w:r w:rsidR="007C2E4E">
          <w:rPr>
            <w:noProof/>
            <w:webHidden/>
          </w:rPr>
          <w:t>74</w:t>
        </w:r>
        <w:r w:rsidR="002609E8">
          <w:rPr>
            <w:noProof/>
            <w:webHidden/>
          </w:rPr>
          <w:fldChar w:fldCharType="end"/>
        </w:r>
      </w:hyperlink>
    </w:p>
    <w:p w14:paraId="2EC88F90" w14:textId="45C7CC4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2" w:history="1">
        <w:r w:rsidR="002609E8" w:rsidRPr="00BE3C4D">
          <w:rPr>
            <w:rStyle w:val="Lienhypertexte"/>
            <w:b/>
            <w:bCs/>
            <w:noProof/>
          </w:rPr>
          <w:t>Tableau 55</w:t>
        </w:r>
        <w:r w:rsidR="002609E8" w:rsidRPr="00BE3C4D">
          <w:rPr>
            <w:rStyle w:val="Lienhypertexte"/>
            <w:noProof/>
          </w:rPr>
          <w:t xml:space="preserve">: situation des indicateurs de produits de l’action </w:t>
        </w:r>
        <w:r w:rsidR="002609E8" w:rsidRPr="00BE3C4D">
          <w:rPr>
            <w:rStyle w:val="Lienhypertexte"/>
            <w:b/>
            <w:noProof/>
          </w:rPr>
          <w:t xml:space="preserve">« </w:t>
        </w:r>
        <w:r w:rsidR="002609E8" w:rsidRPr="00BE3C4D">
          <w:rPr>
            <w:rStyle w:val="Lienhypertexte"/>
            <w:noProof/>
          </w:rPr>
          <w:t>renforcement de la gouvernance de l'enseignement supérieur »</w:t>
        </w:r>
        <w:r w:rsidR="002609E8">
          <w:rPr>
            <w:noProof/>
            <w:webHidden/>
          </w:rPr>
          <w:tab/>
        </w:r>
        <w:r w:rsidR="002609E8">
          <w:rPr>
            <w:noProof/>
            <w:webHidden/>
          </w:rPr>
          <w:fldChar w:fldCharType="begin"/>
        </w:r>
        <w:r w:rsidR="002609E8">
          <w:rPr>
            <w:noProof/>
            <w:webHidden/>
          </w:rPr>
          <w:instrText xml:space="preserve"> PAGEREF _Toc164503642 \h </w:instrText>
        </w:r>
        <w:r w:rsidR="002609E8">
          <w:rPr>
            <w:noProof/>
            <w:webHidden/>
          </w:rPr>
        </w:r>
        <w:r w:rsidR="002609E8">
          <w:rPr>
            <w:noProof/>
            <w:webHidden/>
          </w:rPr>
          <w:fldChar w:fldCharType="separate"/>
        </w:r>
        <w:r w:rsidR="007C2E4E">
          <w:rPr>
            <w:noProof/>
            <w:webHidden/>
          </w:rPr>
          <w:t>76</w:t>
        </w:r>
        <w:r w:rsidR="002609E8">
          <w:rPr>
            <w:noProof/>
            <w:webHidden/>
          </w:rPr>
          <w:fldChar w:fldCharType="end"/>
        </w:r>
      </w:hyperlink>
    </w:p>
    <w:p w14:paraId="5F3844E7" w14:textId="5CA59D9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3" w:history="1">
        <w:r w:rsidR="002609E8" w:rsidRPr="00BE3C4D">
          <w:rPr>
            <w:rStyle w:val="Lienhypertexte"/>
            <w:b/>
            <w:bCs/>
            <w:noProof/>
          </w:rPr>
          <w:t>Tableau 56</w:t>
        </w:r>
        <w:r w:rsidR="002609E8" w:rsidRPr="00BE3C4D">
          <w:rPr>
            <w:rStyle w:val="Lienhypertexte"/>
            <w:noProof/>
          </w:rPr>
          <w:t>: situation des indicateurs de produits de l’action « amélioration de l’offre et de la qualité de l’enseignement supérieur »</w:t>
        </w:r>
        <w:r w:rsidR="002609E8">
          <w:rPr>
            <w:noProof/>
            <w:webHidden/>
          </w:rPr>
          <w:tab/>
        </w:r>
        <w:r w:rsidR="002609E8">
          <w:rPr>
            <w:noProof/>
            <w:webHidden/>
          </w:rPr>
          <w:fldChar w:fldCharType="begin"/>
        </w:r>
        <w:r w:rsidR="002609E8">
          <w:rPr>
            <w:noProof/>
            <w:webHidden/>
          </w:rPr>
          <w:instrText xml:space="preserve"> PAGEREF _Toc164503643 \h </w:instrText>
        </w:r>
        <w:r w:rsidR="002609E8">
          <w:rPr>
            <w:noProof/>
            <w:webHidden/>
          </w:rPr>
        </w:r>
        <w:r w:rsidR="002609E8">
          <w:rPr>
            <w:noProof/>
            <w:webHidden/>
          </w:rPr>
          <w:fldChar w:fldCharType="separate"/>
        </w:r>
        <w:r w:rsidR="007C2E4E">
          <w:rPr>
            <w:noProof/>
            <w:webHidden/>
          </w:rPr>
          <w:t>77</w:t>
        </w:r>
        <w:r w:rsidR="002609E8">
          <w:rPr>
            <w:noProof/>
            <w:webHidden/>
          </w:rPr>
          <w:fldChar w:fldCharType="end"/>
        </w:r>
      </w:hyperlink>
    </w:p>
    <w:p w14:paraId="0CB83799" w14:textId="7CDCB582"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4" w:history="1">
        <w:r w:rsidR="002609E8" w:rsidRPr="00BE3C4D">
          <w:rPr>
            <w:rStyle w:val="Lienhypertexte"/>
            <w:b/>
            <w:noProof/>
          </w:rPr>
          <w:t>Tableau 57</w:t>
        </w:r>
        <w:r w:rsidR="002609E8" w:rsidRPr="00BE3C4D">
          <w:rPr>
            <w:rStyle w:val="Lienhypertexte"/>
            <w:noProof/>
          </w:rPr>
          <w:t>: situation des indicateurs de produits de l’action 03073 « promotion de la recherche et de l’innovation »</w:t>
        </w:r>
        <w:r w:rsidR="002609E8">
          <w:rPr>
            <w:noProof/>
            <w:webHidden/>
          </w:rPr>
          <w:tab/>
        </w:r>
        <w:r w:rsidR="002609E8">
          <w:rPr>
            <w:noProof/>
            <w:webHidden/>
          </w:rPr>
          <w:fldChar w:fldCharType="begin"/>
        </w:r>
        <w:r w:rsidR="002609E8">
          <w:rPr>
            <w:noProof/>
            <w:webHidden/>
          </w:rPr>
          <w:instrText xml:space="preserve"> PAGEREF _Toc164503644 \h </w:instrText>
        </w:r>
        <w:r w:rsidR="002609E8">
          <w:rPr>
            <w:noProof/>
            <w:webHidden/>
          </w:rPr>
        </w:r>
        <w:r w:rsidR="002609E8">
          <w:rPr>
            <w:noProof/>
            <w:webHidden/>
          </w:rPr>
          <w:fldChar w:fldCharType="separate"/>
        </w:r>
        <w:r w:rsidR="007C2E4E">
          <w:rPr>
            <w:noProof/>
            <w:webHidden/>
          </w:rPr>
          <w:t>78</w:t>
        </w:r>
        <w:r w:rsidR="002609E8">
          <w:rPr>
            <w:noProof/>
            <w:webHidden/>
          </w:rPr>
          <w:fldChar w:fldCharType="end"/>
        </w:r>
      </w:hyperlink>
    </w:p>
    <w:p w14:paraId="1239AEB8" w14:textId="5002A3A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5" w:history="1">
        <w:r w:rsidR="002609E8" w:rsidRPr="00BE3C4D">
          <w:rPr>
            <w:rStyle w:val="Lienhypertexte"/>
            <w:b/>
            <w:noProof/>
          </w:rPr>
          <w:t>Tableau 58</w:t>
        </w:r>
        <w:r w:rsidR="002609E8" w:rsidRPr="00BE3C4D">
          <w:rPr>
            <w:rStyle w:val="Lienhypertexte"/>
            <w:noProof/>
          </w:rPr>
          <w:t>: situation des indicateurs de produits de l’action « promotion de l’utilisation des résultats de la recherche, des inventions et des innovations »</w:t>
        </w:r>
        <w:r w:rsidR="002609E8">
          <w:rPr>
            <w:noProof/>
            <w:webHidden/>
          </w:rPr>
          <w:tab/>
        </w:r>
        <w:r w:rsidR="002609E8">
          <w:rPr>
            <w:noProof/>
            <w:webHidden/>
          </w:rPr>
          <w:fldChar w:fldCharType="begin"/>
        </w:r>
        <w:r w:rsidR="002609E8">
          <w:rPr>
            <w:noProof/>
            <w:webHidden/>
          </w:rPr>
          <w:instrText xml:space="preserve"> PAGEREF _Toc164503645 \h </w:instrText>
        </w:r>
        <w:r w:rsidR="002609E8">
          <w:rPr>
            <w:noProof/>
            <w:webHidden/>
          </w:rPr>
        </w:r>
        <w:r w:rsidR="002609E8">
          <w:rPr>
            <w:noProof/>
            <w:webHidden/>
          </w:rPr>
          <w:fldChar w:fldCharType="separate"/>
        </w:r>
        <w:r w:rsidR="007C2E4E">
          <w:rPr>
            <w:noProof/>
            <w:webHidden/>
          </w:rPr>
          <w:t>79</w:t>
        </w:r>
        <w:r w:rsidR="002609E8">
          <w:rPr>
            <w:noProof/>
            <w:webHidden/>
          </w:rPr>
          <w:fldChar w:fldCharType="end"/>
        </w:r>
      </w:hyperlink>
    </w:p>
    <w:p w14:paraId="49F07CEB" w14:textId="0F70C035"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6" w:history="1">
        <w:r w:rsidR="002609E8" w:rsidRPr="00BE3C4D">
          <w:rPr>
            <w:rStyle w:val="Lienhypertexte"/>
            <w:b/>
            <w:noProof/>
          </w:rPr>
          <w:t>Tableau 59</w:t>
        </w:r>
        <w:r w:rsidR="002609E8" w:rsidRPr="00BE3C4D">
          <w:rPr>
            <w:rStyle w:val="Lienhypertexte"/>
            <w:noProof/>
          </w:rPr>
          <w:t>: situation des indicateurs de produits de l’action « amélioration de l'employabilité des jeunes »</w:t>
        </w:r>
        <w:r w:rsidR="002609E8">
          <w:rPr>
            <w:noProof/>
            <w:webHidden/>
          </w:rPr>
          <w:tab/>
        </w:r>
        <w:r w:rsidR="002609E8">
          <w:rPr>
            <w:noProof/>
            <w:webHidden/>
          </w:rPr>
          <w:fldChar w:fldCharType="begin"/>
        </w:r>
        <w:r w:rsidR="002609E8">
          <w:rPr>
            <w:noProof/>
            <w:webHidden/>
          </w:rPr>
          <w:instrText xml:space="preserve"> PAGEREF _Toc164503646 \h </w:instrText>
        </w:r>
        <w:r w:rsidR="002609E8">
          <w:rPr>
            <w:noProof/>
            <w:webHidden/>
          </w:rPr>
        </w:r>
        <w:r w:rsidR="002609E8">
          <w:rPr>
            <w:noProof/>
            <w:webHidden/>
          </w:rPr>
          <w:fldChar w:fldCharType="separate"/>
        </w:r>
        <w:r w:rsidR="007C2E4E">
          <w:rPr>
            <w:noProof/>
            <w:webHidden/>
          </w:rPr>
          <w:t>81</w:t>
        </w:r>
        <w:r w:rsidR="002609E8">
          <w:rPr>
            <w:noProof/>
            <w:webHidden/>
          </w:rPr>
          <w:fldChar w:fldCharType="end"/>
        </w:r>
      </w:hyperlink>
    </w:p>
    <w:p w14:paraId="29F5266E" w14:textId="1F050E95"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7" w:history="1">
        <w:r w:rsidR="002609E8" w:rsidRPr="00BE3C4D">
          <w:rPr>
            <w:rStyle w:val="Lienhypertexte"/>
            <w:b/>
            <w:noProof/>
          </w:rPr>
          <w:t>Tableau 60:</w:t>
        </w:r>
        <w:r w:rsidR="002609E8" w:rsidRPr="00BE3C4D">
          <w:rPr>
            <w:rStyle w:val="Lienhypertexte"/>
            <w:noProof/>
          </w:rPr>
          <w:t xml:space="preserve"> situation des indicateurs de produits en lien avec l’autonomisation des femmes et des filles</w:t>
        </w:r>
        <w:r w:rsidR="002609E8">
          <w:rPr>
            <w:noProof/>
            <w:webHidden/>
          </w:rPr>
          <w:tab/>
        </w:r>
        <w:r w:rsidR="002609E8">
          <w:rPr>
            <w:noProof/>
            <w:webHidden/>
          </w:rPr>
          <w:fldChar w:fldCharType="begin"/>
        </w:r>
        <w:r w:rsidR="002609E8">
          <w:rPr>
            <w:noProof/>
            <w:webHidden/>
          </w:rPr>
          <w:instrText xml:space="preserve"> PAGEREF _Toc164503647 \h </w:instrText>
        </w:r>
        <w:r w:rsidR="002609E8">
          <w:rPr>
            <w:noProof/>
            <w:webHidden/>
          </w:rPr>
        </w:r>
        <w:r w:rsidR="002609E8">
          <w:rPr>
            <w:noProof/>
            <w:webHidden/>
          </w:rPr>
          <w:fldChar w:fldCharType="separate"/>
        </w:r>
        <w:r w:rsidR="007C2E4E">
          <w:rPr>
            <w:noProof/>
            <w:webHidden/>
          </w:rPr>
          <w:t>82</w:t>
        </w:r>
        <w:r w:rsidR="002609E8">
          <w:rPr>
            <w:noProof/>
            <w:webHidden/>
          </w:rPr>
          <w:fldChar w:fldCharType="end"/>
        </w:r>
      </w:hyperlink>
    </w:p>
    <w:p w14:paraId="3CD00262" w14:textId="34DBF67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8" w:history="1">
        <w:r w:rsidR="002609E8" w:rsidRPr="00BE3C4D">
          <w:rPr>
            <w:rStyle w:val="Lienhypertexte"/>
            <w:b/>
            <w:noProof/>
          </w:rPr>
          <w:t>Tableau 61</w:t>
        </w:r>
        <w:r w:rsidR="002609E8" w:rsidRPr="00BE3C4D">
          <w:rPr>
            <w:rStyle w:val="Lienhypertexte"/>
            <w:noProof/>
          </w:rPr>
          <w:t>: situation des indicateurs de l’action A03068</w:t>
        </w:r>
        <w:r w:rsidR="002609E8">
          <w:rPr>
            <w:noProof/>
            <w:webHidden/>
          </w:rPr>
          <w:tab/>
        </w:r>
        <w:r w:rsidR="002609E8">
          <w:rPr>
            <w:noProof/>
            <w:webHidden/>
          </w:rPr>
          <w:fldChar w:fldCharType="begin"/>
        </w:r>
        <w:r w:rsidR="002609E8">
          <w:rPr>
            <w:noProof/>
            <w:webHidden/>
          </w:rPr>
          <w:instrText xml:space="preserve"> PAGEREF _Toc164503648 \h </w:instrText>
        </w:r>
        <w:r w:rsidR="002609E8">
          <w:rPr>
            <w:noProof/>
            <w:webHidden/>
          </w:rPr>
        </w:r>
        <w:r w:rsidR="002609E8">
          <w:rPr>
            <w:noProof/>
            <w:webHidden/>
          </w:rPr>
          <w:fldChar w:fldCharType="separate"/>
        </w:r>
        <w:r w:rsidR="007C2E4E">
          <w:rPr>
            <w:noProof/>
            <w:webHidden/>
          </w:rPr>
          <w:t>83</w:t>
        </w:r>
        <w:r w:rsidR="002609E8">
          <w:rPr>
            <w:noProof/>
            <w:webHidden/>
          </w:rPr>
          <w:fldChar w:fldCharType="end"/>
        </w:r>
      </w:hyperlink>
    </w:p>
    <w:p w14:paraId="12F83AD4" w14:textId="6AAAD77A"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49" w:history="1">
        <w:r w:rsidR="002609E8" w:rsidRPr="00BE3C4D">
          <w:rPr>
            <w:rStyle w:val="Lienhypertexte"/>
            <w:b/>
            <w:noProof/>
          </w:rPr>
          <w:t>Tableau 62</w:t>
        </w:r>
        <w:r w:rsidR="002609E8" w:rsidRPr="00BE3C4D">
          <w:rPr>
            <w:rStyle w:val="Lienhypertexte"/>
            <w:noProof/>
          </w:rPr>
          <w:t>: situation des indicateurs de produits relatifs à l’approvisionnement en eau potable au 31 décembre 2023</w:t>
        </w:r>
        <w:r w:rsidR="002609E8">
          <w:rPr>
            <w:noProof/>
            <w:webHidden/>
          </w:rPr>
          <w:tab/>
        </w:r>
        <w:r w:rsidR="002609E8">
          <w:rPr>
            <w:noProof/>
            <w:webHidden/>
          </w:rPr>
          <w:fldChar w:fldCharType="begin"/>
        </w:r>
        <w:r w:rsidR="002609E8">
          <w:rPr>
            <w:noProof/>
            <w:webHidden/>
          </w:rPr>
          <w:instrText xml:space="preserve"> PAGEREF _Toc164503649 \h </w:instrText>
        </w:r>
        <w:r w:rsidR="002609E8">
          <w:rPr>
            <w:noProof/>
            <w:webHidden/>
          </w:rPr>
        </w:r>
        <w:r w:rsidR="002609E8">
          <w:rPr>
            <w:noProof/>
            <w:webHidden/>
          </w:rPr>
          <w:fldChar w:fldCharType="separate"/>
        </w:r>
        <w:r w:rsidR="007C2E4E">
          <w:rPr>
            <w:noProof/>
            <w:webHidden/>
          </w:rPr>
          <w:t>84</w:t>
        </w:r>
        <w:r w:rsidR="002609E8">
          <w:rPr>
            <w:noProof/>
            <w:webHidden/>
          </w:rPr>
          <w:fldChar w:fldCharType="end"/>
        </w:r>
      </w:hyperlink>
    </w:p>
    <w:p w14:paraId="57F58698" w14:textId="63DDDF6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0" w:history="1">
        <w:r w:rsidR="002609E8" w:rsidRPr="00BE3C4D">
          <w:rPr>
            <w:rStyle w:val="Lienhypertexte"/>
            <w:b/>
            <w:noProof/>
          </w:rPr>
          <w:t>Tableau 63</w:t>
        </w:r>
        <w:r w:rsidR="002609E8" w:rsidRPr="00BE3C4D">
          <w:rPr>
            <w:rStyle w:val="Lienhypertexte"/>
            <w:noProof/>
          </w:rPr>
          <w:t>: situation des indicateurs de produits en lien avec l’assainissement au 31 décembre 2023</w:t>
        </w:r>
        <w:r w:rsidR="002609E8">
          <w:rPr>
            <w:noProof/>
            <w:webHidden/>
          </w:rPr>
          <w:tab/>
        </w:r>
        <w:r w:rsidR="002609E8">
          <w:rPr>
            <w:noProof/>
            <w:webHidden/>
          </w:rPr>
          <w:fldChar w:fldCharType="begin"/>
        </w:r>
        <w:r w:rsidR="002609E8">
          <w:rPr>
            <w:noProof/>
            <w:webHidden/>
          </w:rPr>
          <w:instrText xml:space="preserve"> PAGEREF _Toc164503650 \h </w:instrText>
        </w:r>
        <w:r w:rsidR="002609E8">
          <w:rPr>
            <w:noProof/>
            <w:webHidden/>
          </w:rPr>
        </w:r>
        <w:r w:rsidR="002609E8">
          <w:rPr>
            <w:noProof/>
            <w:webHidden/>
          </w:rPr>
          <w:fldChar w:fldCharType="separate"/>
        </w:r>
        <w:r w:rsidR="007C2E4E">
          <w:rPr>
            <w:noProof/>
            <w:webHidden/>
          </w:rPr>
          <w:t>84</w:t>
        </w:r>
        <w:r w:rsidR="002609E8">
          <w:rPr>
            <w:noProof/>
            <w:webHidden/>
          </w:rPr>
          <w:fldChar w:fldCharType="end"/>
        </w:r>
      </w:hyperlink>
    </w:p>
    <w:p w14:paraId="01395C2D" w14:textId="5A19D9F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1" w:history="1">
        <w:r w:rsidR="002609E8" w:rsidRPr="00BE3C4D">
          <w:rPr>
            <w:rStyle w:val="Lienhypertexte"/>
            <w:b/>
            <w:noProof/>
          </w:rPr>
          <w:t>Tableau 64</w:t>
        </w:r>
        <w:r w:rsidR="002609E8" w:rsidRPr="00BE3C4D">
          <w:rPr>
            <w:rStyle w:val="Lienhypertexte"/>
            <w:noProof/>
          </w:rPr>
          <w:t>: situation des indicateurs de produits en lien avec l’accès des populations à l’énergie de qualité</w:t>
        </w:r>
        <w:r w:rsidR="002609E8">
          <w:rPr>
            <w:noProof/>
            <w:webHidden/>
          </w:rPr>
          <w:tab/>
        </w:r>
        <w:r w:rsidR="002609E8">
          <w:rPr>
            <w:noProof/>
            <w:webHidden/>
          </w:rPr>
          <w:fldChar w:fldCharType="begin"/>
        </w:r>
        <w:r w:rsidR="002609E8">
          <w:rPr>
            <w:noProof/>
            <w:webHidden/>
          </w:rPr>
          <w:instrText xml:space="preserve"> PAGEREF _Toc164503651 \h </w:instrText>
        </w:r>
        <w:r w:rsidR="002609E8">
          <w:rPr>
            <w:noProof/>
            <w:webHidden/>
          </w:rPr>
        </w:r>
        <w:r w:rsidR="002609E8">
          <w:rPr>
            <w:noProof/>
            <w:webHidden/>
          </w:rPr>
          <w:fldChar w:fldCharType="separate"/>
        </w:r>
        <w:r w:rsidR="007C2E4E">
          <w:rPr>
            <w:noProof/>
            <w:webHidden/>
          </w:rPr>
          <w:t>85</w:t>
        </w:r>
        <w:r w:rsidR="002609E8">
          <w:rPr>
            <w:noProof/>
            <w:webHidden/>
          </w:rPr>
          <w:fldChar w:fldCharType="end"/>
        </w:r>
      </w:hyperlink>
    </w:p>
    <w:p w14:paraId="1091CD7E" w14:textId="29A3518F"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2" w:history="1">
        <w:r w:rsidR="002609E8" w:rsidRPr="00BE3C4D">
          <w:rPr>
            <w:rStyle w:val="Lienhypertexte"/>
            <w:b/>
            <w:noProof/>
          </w:rPr>
          <w:t>Tableau 65</w:t>
        </w:r>
        <w:r w:rsidR="002609E8" w:rsidRPr="00BE3C4D">
          <w:rPr>
            <w:rStyle w:val="Lienhypertexte"/>
            <w:noProof/>
          </w:rPr>
          <w:t>: situation des indicateurs de produits relatifs à l’accès des ménages aux logements décents</w:t>
        </w:r>
        <w:r w:rsidR="002609E8">
          <w:rPr>
            <w:noProof/>
            <w:webHidden/>
          </w:rPr>
          <w:tab/>
        </w:r>
        <w:r w:rsidR="002609E8">
          <w:rPr>
            <w:noProof/>
            <w:webHidden/>
          </w:rPr>
          <w:fldChar w:fldCharType="begin"/>
        </w:r>
        <w:r w:rsidR="002609E8">
          <w:rPr>
            <w:noProof/>
            <w:webHidden/>
          </w:rPr>
          <w:instrText xml:space="preserve"> PAGEREF _Toc164503652 \h </w:instrText>
        </w:r>
        <w:r w:rsidR="002609E8">
          <w:rPr>
            <w:noProof/>
            <w:webHidden/>
          </w:rPr>
        </w:r>
        <w:r w:rsidR="002609E8">
          <w:rPr>
            <w:noProof/>
            <w:webHidden/>
          </w:rPr>
          <w:fldChar w:fldCharType="separate"/>
        </w:r>
        <w:r w:rsidR="007C2E4E">
          <w:rPr>
            <w:noProof/>
            <w:webHidden/>
          </w:rPr>
          <w:t>86</w:t>
        </w:r>
        <w:r w:rsidR="002609E8">
          <w:rPr>
            <w:noProof/>
            <w:webHidden/>
          </w:rPr>
          <w:fldChar w:fldCharType="end"/>
        </w:r>
      </w:hyperlink>
    </w:p>
    <w:p w14:paraId="44851585" w14:textId="3CC0E2A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3" w:history="1">
        <w:r w:rsidR="002609E8" w:rsidRPr="00BE3C4D">
          <w:rPr>
            <w:rStyle w:val="Lienhypertexte"/>
            <w:b/>
            <w:noProof/>
          </w:rPr>
          <w:t>Tableau 66</w:t>
        </w:r>
        <w:r w:rsidR="002609E8" w:rsidRPr="00BE3C4D">
          <w:rPr>
            <w:rStyle w:val="Lienhypertexte"/>
            <w:noProof/>
          </w:rPr>
          <w:t>: situation des indicateurs de produits du domaine de la production végétale au 31 décembre 2023</w:t>
        </w:r>
        <w:r w:rsidR="002609E8">
          <w:rPr>
            <w:noProof/>
            <w:webHidden/>
          </w:rPr>
          <w:tab/>
        </w:r>
        <w:r w:rsidR="002609E8">
          <w:rPr>
            <w:noProof/>
            <w:webHidden/>
          </w:rPr>
          <w:fldChar w:fldCharType="begin"/>
        </w:r>
        <w:r w:rsidR="002609E8">
          <w:rPr>
            <w:noProof/>
            <w:webHidden/>
          </w:rPr>
          <w:instrText xml:space="preserve"> PAGEREF _Toc164503653 \h </w:instrText>
        </w:r>
        <w:r w:rsidR="002609E8">
          <w:rPr>
            <w:noProof/>
            <w:webHidden/>
          </w:rPr>
        </w:r>
        <w:r w:rsidR="002609E8">
          <w:rPr>
            <w:noProof/>
            <w:webHidden/>
          </w:rPr>
          <w:fldChar w:fldCharType="separate"/>
        </w:r>
        <w:r w:rsidR="007C2E4E">
          <w:rPr>
            <w:noProof/>
            <w:webHidden/>
          </w:rPr>
          <w:t>89</w:t>
        </w:r>
        <w:r w:rsidR="002609E8">
          <w:rPr>
            <w:noProof/>
            <w:webHidden/>
          </w:rPr>
          <w:fldChar w:fldCharType="end"/>
        </w:r>
      </w:hyperlink>
    </w:p>
    <w:p w14:paraId="40975DE1" w14:textId="2C20B580"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4" w:history="1">
        <w:r w:rsidR="002609E8" w:rsidRPr="00BE3C4D">
          <w:rPr>
            <w:rStyle w:val="Lienhypertexte"/>
            <w:noProof/>
          </w:rPr>
          <w:t>Tableau 67: situation des indicateurs de produits du domaine de la production animale</w:t>
        </w:r>
        <w:r w:rsidR="002609E8">
          <w:rPr>
            <w:noProof/>
            <w:webHidden/>
          </w:rPr>
          <w:tab/>
        </w:r>
        <w:r w:rsidR="002609E8">
          <w:rPr>
            <w:noProof/>
            <w:webHidden/>
          </w:rPr>
          <w:fldChar w:fldCharType="begin"/>
        </w:r>
        <w:r w:rsidR="002609E8">
          <w:rPr>
            <w:noProof/>
            <w:webHidden/>
          </w:rPr>
          <w:instrText xml:space="preserve"> PAGEREF _Toc164503654 \h </w:instrText>
        </w:r>
        <w:r w:rsidR="002609E8">
          <w:rPr>
            <w:noProof/>
            <w:webHidden/>
          </w:rPr>
        </w:r>
        <w:r w:rsidR="002609E8">
          <w:rPr>
            <w:noProof/>
            <w:webHidden/>
          </w:rPr>
          <w:fldChar w:fldCharType="separate"/>
        </w:r>
        <w:r w:rsidR="007C2E4E">
          <w:rPr>
            <w:noProof/>
            <w:webHidden/>
          </w:rPr>
          <w:t>91</w:t>
        </w:r>
        <w:r w:rsidR="002609E8">
          <w:rPr>
            <w:noProof/>
            <w:webHidden/>
          </w:rPr>
          <w:fldChar w:fldCharType="end"/>
        </w:r>
      </w:hyperlink>
    </w:p>
    <w:p w14:paraId="09F958B5" w14:textId="0BA3B2A5"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5" w:history="1">
        <w:r w:rsidR="002609E8" w:rsidRPr="00BE3C4D">
          <w:rPr>
            <w:rStyle w:val="Lienhypertexte"/>
            <w:b/>
            <w:noProof/>
          </w:rPr>
          <w:t>Tableau 68:</w:t>
        </w:r>
        <w:r w:rsidR="002609E8" w:rsidRPr="00BE3C4D">
          <w:rPr>
            <w:rStyle w:val="Lienhypertexte"/>
            <w:noProof/>
          </w:rPr>
          <w:t xml:space="preserve"> situation des indicateurs de produits du domaine de la production forestière au 31 décembre 2023</w:t>
        </w:r>
        <w:r w:rsidR="002609E8">
          <w:rPr>
            <w:noProof/>
            <w:webHidden/>
          </w:rPr>
          <w:tab/>
        </w:r>
        <w:r w:rsidR="002609E8">
          <w:rPr>
            <w:noProof/>
            <w:webHidden/>
          </w:rPr>
          <w:fldChar w:fldCharType="begin"/>
        </w:r>
        <w:r w:rsidR="002609E8">
          <w:rPr>
            <w:noProof/>
            <w:webHidden/>
          </w:rPr>
          <w:instrText xml:space="preserve"> PAGEREF _Toc164503655 \h </w:instrText>
        </w:r>
        <w:r w:rsidR="002609E8">
          <w:rPr>
            <w:noProof/>
            <w:webHidden/>
          </w:rPr>
        </w:r>
        <w:r w:rsidR="002609E8">
          <w:rPr>
            <w:noProof/>
            <w:webHidden/>
          </w:rPr>
          <w:fldChar w:fldCharType="separate"/>
        </w:r>
        <w:r w:rsidR="007C2E4E">
          <w:rPr>
            <w:noProof/>
            <w:webHidden/>
          </w:rPr>
          <w:t>92</w:t>
        </w:r>
        <w:r w:rsidR="002609E8">
          <w:rPr>
            <w:noProof/>
            <w:webHidden/>
          </w:rPr>
          <w:fldChar w:fldCharType="end"/>
        </w:r>
      </w:hyperlink>
    </w:p>
    <w:p w14:paraId="3DCCD4AC" w14:textId="5338A58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6" w:history="1">
        <w:r w:rsidR="002609E8" w:rsidRPr="00BE3C4D">
          <w:rPr>
            <w:rStyle w:val="Lienhypertexte"/>
            <w:b/>
            <w:noProof/>
          </w:rPr>
          <w:t>Tableau 69</w:t>
        </w:r>
        <w:r w:rsidR="002609E8" w:rsidRPr="00BE3C4D">
          <w:rPr>
            <w:rStyle w:val="Lienhypertexte"/>
            <w:noProof/>
          </w:rPr>
          <w:t>: situation des indicateurs de produits des actions du domaine de la sécurisation foncière au 31 décembre 2023</w:t>
        </w:r>
        <w:r w:rsidR="002609E8">
          <w:rPr>
            <w:noProof/>
            <w:webHidden/>
          </w:rPr>
          <w:tab/>
        </w:r>
        <w:r w:rsidR="002609E8">
          <w:rPr>
            <w:noProof/>
            <w:webHidden/>
          </w:rPr>
          <w:fldChar w:fldCharType="begin"/>
        </w:r>
        <w:r w:rsidR="002609E8">
          <w:rPr>
            <w:noProof/>
            <w:webHidden/>
          </w:rPr>
          <w:instrText xml:space="preserve"> PAGEREF _Toc164503656 \h </w:instrText>
        </w:r>
        <w:r w:rsidR="002609E8">
          <w:rPr>
            <w:noProof/>
            <w:webHidden/>
          </w:rPr>
        </w:r>
        <w:r w:rsidR="002609E8">
          <w:rPr>
            <w:noProof/>
            <w:webHidden/>
          </w:rPr>
          <w:fldChar w:fldCharType="separate"/>
        </w:r>
        <w:r w:rsidR="007C2E4E">
          <w:rPr>
            <w:noProof/>
            <w:webHidden/>
          </w:rPr>
          <w:t>93</w:t>
        </w:r>
        <w:r w:rsidR="002609E8">
          <w:rPr>
            <w:noProof/>
            <w:webHidden/>
          </w:rPr>
          <w:fldChar w:fldCharType="end"/>
        </w:r>
      </w:hyperlink>
    </w:p>
    <w:p w14:paraId="760797CF" w14:textId="04CE21D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7" w:history="1">
        <w:r w:rsidR="002609E8" w:rsidRPr="00BE3C4D">
          <w:rPr>
            <w:rStyle w:val="Lienhypertexte"/>
            <w:b/>
            <w:noProof/>
          </w:rPr>
          <w:t xml:space="preserve">Tableau 70 </w:t>
        </w:r>
        <w:r w:rsidR="002609E8" w:rsidRPr="00BE3C4D">
          <w:rPr>
            <w:rStyle w:val="Lienhypertexte"/>
            <w:noProof/>
          </w:rPr>
          <w:t>: situation des indicateurs de produits de l’action 03084 au 31 décembre 2023</w:t>
        </w:r>
        <w:r w:rsidR="002609E8">
          <w:rPr>
            <w:noProof/>
            <w:webHidden/>
          </w:rPr>
          <w:tab/>
        </w:r>
        <w:r w:rsidR="002609E8">
          <w:rPr>
            <w:noProof/>
            <w:webHidden/>
          </w:rPr>
          <w:fldChar w:fldCharType="begin"/>
        </w:r>
        <w:r w:rsidR="002609E8">
          <w:rPr>
            <w:noProof/>
            <w:webHidden/>
          </w:rPr>
          <w:instrText xml:space="preserve"> PAGEREF _Toc164503657 \h </w:instrText>
        </w:r>
        <w:r w:rsidR="002609E8">
          <w:rPr>
            <w:noProof/>
            <w:webHidden/>
          </w:rPr>
        </w:r>
        <w:r w:rsidR="002609E8">
          <w:rPr>
            <w:noProof/>
            <w:webHidden/>
          </w:rPr>
          <w:fldChar w:fldCharType="separate"/>
        </w:r>
        <w:r w:rsidR="007C2E4E">
          <w:rPr>
            <w:noProof/>
            <w:webHidden/>
          </w:rPr>
          <w:t>95</w:t>
        </w:r>
        <w:r w:rsidR="002609E8">
          <w:rPr>
            <w:noProof/>
            <w:webHidden/>
          </w:rPr>
          <w:fldChar w:fldCharType="end"/>
        </w:r>
      </w:hyperlink>
    </w:p>
    <w:p w14:paraId="1C57CB6D" w14:textId="343B9F77"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8" w:history="1">
        <w:r w:rsidR="002609E8" w:rsidRPr="00BE3C4D">
          <w:rPr>
            <w:rStyle w:val="Lienhypertexte"/>
            <w:b/>
            <w:noProof/>
          </w:rPr>
          <w:t>Tableau 71</w:t>
        </w:r>
        <w:r w:rsidR="002609E8" w:rsidRPr="00BE3C4D">
          <w:rPr>
            <w:rStyle w:val="Lienhypertexte"/>
            <w:noProof/>
          </w:rPr>
          <w:t>: situation des indicateurs de produits de l’action 03085 au 31 décembre 2023</w:t>
        </w:r>
        <w:r w:rsidR="002609E8">
          <w:rPr>
            <w:noProof/>
            <w:webHidden/>
          </w:rPr>
          <w:tab/>
        </w:r>
        <w:r w:rsidR="002609E8">
          <w:rPr>
            <w:noProof/>
            <w:webHidden/>
          </w:rPr>
          <w:fldChar w:fldCharType="begin"/>
        </w:r>
        <w:r w:rsidR="002609E8">
          <w:rPr>
            <w:noProof/>
            <w:webHidden/>
          </w:rPr>
          <w:instrText xml:space="preserve"> PAGEREF _Toc164503658 \h </w:instrText>
        </w:r>
        <w:r w:rsidR="002609E8">
          <w:rPr>
            <w:noProof/>
            <w:webHidden/>
          </w:rPr>
        </w:r>
        <w:r w:rsidR="002609E8">
          <w:rPr>
            <w:noProof/>
            <w:webHidden/>
          </w:rPr>
          <w:fldChar w:fldCharType="separate"/>
        </w:r>
        <w:r w:rsidR="007C2E4E">
          <w:rPr>
            <w:noProof/>
            <w:webHidden/>
          </w:rPr>
          <w:t>96</w:t>
        </w:r>
        <w:r w:rsidR="002609E8">
          <w:rPr>
            <w:noProof/>
            <w:webHidden/>
          </w:rPr>
          <w:fldChar w:fldCharType="end"/>
        </w:r>
      </w:hyperlink>
    </w:p>
    <w:p w14:paraId="6F23C560" w14:textId="2706A06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59" w:history="1">
        <w:r w:rsidR="002609E8" w:rsidRPr="00BE3C4D">
          <w:rPr>
            <w:rStyle w:val="Lienhypertexte"/>
            <w:b/>
            <w:noProof/>
          </w:rPr>
          <w:t>Tableau 72</w:t>
        </w:r>
        <w:r w:rsidR="002609E8" w:rsidRPr="00BE3C4D">
          <w:rPr>
            <w:rStyle w:val="Lienhypertexte"/>
            <w:noProof/>
          </w:rPr>
          <w:t>: situation des indicateurs de produits de l’action 03086 au 31 décembre 2023</w:t>
        </w:r>
        <w:r w:rsidR="002609E8">
          <w:rPr>
            <w:noProof/>
            <w:webHidden/>
          </w:rPr>
          <w:tab/>
        </w:r>
        <w:r w:rsidR="002609E8">
          <w:rPr>
            <w:noProof/>
            <w:webHidden/>
          </w:rPr>
          <w:fldChar w:fldCharType="begin"/>
        </w:r>
        <w:r w:rsidR="002609E8">
          <w:rPr>
            <w:noProof/>
            <w:webHidden/>
          </w:rPr>
          <w:instrText xml:space="preserve"> PAGEREF _Toc164503659 \h </w:instrText>
        </w:r>
        <w:r w:rsidR="002609E8">
          <w:rPr>
            <w:noProof/>
            <w:webHidden/>
          </w:rPr>
        </w:r>
        <w:r w:rsidR="002609E8">
          <w:rPr>
            <w:noProof/>
            <w:webHidden/>
          </w:rPr>
          <w:fldChar w:fldCharType="separate"/>
        </w:r>
        <w:r w:rsidR="007C2E4E">
          <w:rPr>
            <w:noProof/>
            <w:webHidden/>
          </w:rPr>
          <w:t>97</w:t>
        </w:r>
        <w:r w:rsidR="002609E8">
          <w:rPr>
            <w:noProof/>
            <w:webHidden/>
          </w:rPr>
          <w:fldChar w:fldCharType="end"/>
        </w:r>
      </w:hyperlink>
    </w:p>
    <w:p w14:paraId="4A57D73B" w14:textId="7C64B70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0" w:history="1">
        <w:r w:rsidR="002609E8" w:rsidRPr="00BE3C4D">
          <w:rPr>
            <w:rStyle w:val="Lienhypertexte"/>
            <w:b/>
            <w:noProof/>
          </w:rPr>
          <w:t>Tableau 73</w:t>
        </w:r>
        <w:r w:rsidR="002609E8" w:rsidRPr="00BE3C4D">
          <w:rPr>
            <w:rStyle w:val="Lienhypertexte"/>
            <w:noProof/>
          </w:rPr>
          <w:t>: situation des indicateurs de produits de l’action 03090 au 31 décembre 2023</w:t>
        </w:r>
        <w:r w:rsidR="002609E8">
          <w:rPr>
            <w:noProof/>
            <w:webHidden/>
          </w:rPr>
          <w:tab/>
        </w:r>
        <w:r w:rsidR="002609E8">
          <w:rPr>
            <w:noProof/>
            <w:webHidden/>
          </w:rPr>
          <w:fldChar w:fldCharType="begin"/>
        </w:r>
        <w:r w:rsidR="002609E8">
          <w:rPr>
            <w:noProof/>
            <w:webHidden/>
          </w:rPr>
          <w:instrText xml:space="preserve"> PAGEREF _Toc164503660 \h </w:instrText>
        </w:r>
        <w:r w:rsidR="002609E8">
          <w:rPr>
            <w:noProof/>
            <w:webHidden/>
          </w:rPr>
        </w:r>
        <w:r w:rsidR="002609E8">
          <w:rPr>
            <w:noProof/>
            <w:webHidden/>
          </w:rPr>
          <w:fldChar w:fldCharType="separate"/>
        </w:r>
        <w:r w:rsidR="007C2E4E">
          <w:rPr>
            <w:noProof/>
            <w:webHidden/>
          </w:rPr>
          <w:t>98</w:t>
        </w:r>
        <w:r w:rsidR="002609E8">
          <w:rPr>
            <w:noProof/>
            <w:webHidden/>
          </w:rPr>
          <w:fldChar w:fldCharType="end"/>
        </w:r>
      </w:hyperlink>
    </w:p>
    <w:p w14:paraId="26E8C6E1" w14:textId="032F007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1" w:history="1">
        <w:r w:rsidR="002609E8" w:rsidRPr="00BE3C4D">
          <w:rPr>
            <w:rStyle w:val="Lienhypertexte"/>
            <w:b/>
            <w:noProof/>
          </w:rPr>
          <w:t>Tableau 74</w:t>
        </w:r>
        <w:r w:rsidR="002609E8" w:rsidRPr="00BE3C4D">
          <w:rPr>
            <w:rStyle w:val="Lienhypertexte"/>
            <w:noProof/>
          </w:rPr>
          <w:t>: situation des indicateurs de produits de l’action 03095 au 31 décembre 2023</w:t>
        </w:r>
        <w:r w:rsidR="002609E8">
          <w:rPr>
            <w:noProof/>
            <w:webHidden/>
          </w:rPr>
          <w:tab/>
        </w:r>
        <w:r w:rsidR="002609E8">
          <w:rPr>
            <w:noProof/>
            <w:webHidden/>
          </w:rPr>
          <w:fldChar w:fldCharType="begin"/>
        </w:r>
        <w:r w:rsidR="002609E8">
          <w:rPr>
            <w:noProof/>
            <w:webHidden/>
          </w:rPr>
          <w:instrText xml:space="preserve"> PAGEREF _Toc164503661 \h </w:instrText>
        </w:r>
        <w:r w:rsidR="002609E8">
          <w:rPr>
            <w:noProof/>
            <w:webHidden/>
          </w:rPr>
        </w:r>
        <w:r w:rsidR="002609E8">
          <w:rPr>
            <w:noProof/>
            <w:webHidden/>
          </w:rPr>
          <w:fldChar w:fldCharType="separate"/>
        </w:r>
        <w:r w:rsidR="007C2E4E">
          <w:rPr>
            <w:noProof/>
            <w:webHidden/>
          </w:rPr>
          <w:t>100</w:t>
        </w:r>
        <w:r w:rsidR="002609E8">
          <w:rPr>
            <w:noProof/>
            <w:webHidden/>
          </w:rPr>
          <w:fldChar w:fldCharType="end"/>
        </w:r>
      </w:hyperlink>
    </w:p>
    <w:p w14:paraId="4B22746A" w14:textId="2072F06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2" w:history="1">
        <w:r w:rsidR="002609E8" w:rsidRPr="00BE3C4D">
          <w:rPr>
            <w:rStyle w:val="Lienhypertexte"/>
            <w:b/>
            <w:noProof/>
          </w:rPr>
          <w:t>Tableau 75</w:t>
        </w:r>
        <w:r w:rsidR="002609E8" w:rsidRPr="00BE3C4D">
          <w:rPr>
            <w:rStyle w:val="Lienhypertexte"/>
            <w:noProof/>
          </w:rPr>
          <w:t>: situation des indicateurs de produits des actions relatives aux industries culturelles, touristiques et sportives au 31 décembre 2023</w:t>
        </w:r>
        <w:r w:rsidR="002609E8">
          <w:rPr>
            <w:noProof/>
            <w:webHidden/>
          </w:rPr>
          <w:tab/>
        </w:r>
        <w:r w:rsidR="002609E8">
          <w:rPr>
            <w:noProof/>
            <w:webHidden/>
          </w:rPr>
          <w:fldChar w:fldCharType="begin"/>
        </w:r>
        <w:r w:rsidR="002609E8">
          <w:rPr>
            <w:noProof/>
            <w:webHidden/>
          </w:rPr>
          <w:instrText xml:space="preserve"> PAGEREF _Toc164503662 \h </w:instrText>
        </w:r>
        <w:r w:rsidR="002609E8">
          <w:rPr>
            <w:noProof/>
            <w:webHidden/>
          </w:rPr>
        </w:r>
        <w:r w:rsidR="002609E8">
          <w:rPr>
            <w:noProof/>
            <w:webHidden/>
          </w:rPr>
          <w:fldChar w:fldCharType="separate"/>
        </w:r>
        <w:r w:rsidR="007C2E4E">
          <w:rPr>
            <w:noProof/>
            <w:webHidden/>
          </w:rPr>
          <w:t>101</w:t>
        </w:r>
        <w:r w:rsidR="002609E8">
          <w:rPr>
            <w:noProof/>
            <w:webHidden/>
          </w:rPr>
          <w:fldChar w:fldCharType="end"/>
        </w:r>
      </w:hyperlink>
    </w:p>
    <w:p w14:paraId="03D8D5B6" w14:textId="2CC47885"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3" w:history="1">
        <w:r w:rsidR="002609E8" w:rsidRPr="00BE3C4D">
          <w:rPr>
            <w:rStyle w:val="Lienhypertexte"/>
            <w:b/>
            <w:noProof/>
          </w:rPr>
          <w:t>Tableau 76</w:t>
        </w:r>
        <w:r w:rsidR="002609E8" w:rsidRPr="00BE3C4D">
          <w:rPr>
            <w:rStyle w:val="Lienhypertexte"/>
            <w:noProof/>
          </w:rPr>
          <w:t>: situation des indicateurs de produits de l’action 03100 au 31 décembre 2023</w:t>
        </w:r>
        <w:r w:rsidR="002609E8">
          <w:rPr>
            <w:noProof/>
            <w:webHidden/>
          </w:rPr>
          <w:tab/>
        </w:r>
        <w:r w:rsidR="002609E8">
          <w:rPr>
            <w:noProof/>
            <w:webHidden/>
          </w:rPr>
          <w:fldChar w:fldCharType="begin"/>
        </w:r>
        <w:r w:rsidR="002609E8">
          <w:rPr>
            <w:noProof/>
            <w:webHidden/>
          </w:rPr>
          <w:instrText xml:space="preserve"> PAGEREF _Toc164503663 \h </w:instrText>
        </w:r>
        <w:r w:rsidR="002609E8">
          <w:rPr>
            <w:noProof/>
            <w:webHidden/>
          </w:rPr>
        </w:r>
        <w:r w:rsidR="002609E8">
          <w:rPr>
            <w:noProof/>
            <w:webHidden/>
          </w:rPr>
          <w:fldChar w:fldCharType="separate"/>
        </w:r>
        <w:r w:rsidR="007C2E4E">
          <w:rPr>
            <w:noProof/>
            <w:webHidden/>
          </w:rPr>
          <w:t>103</w:t>
        </w:r>
        <w:r w:rsidR="002609E8">
          <w:rPr>
            <w:noProof/>
            <w:webHidden/>
          </w:rPr>
          <w:fldChar w:fldCharType="end"/>
        </w:r>
      </w:hyperlink>
    </w:p>
    <w:p w14:paraId="308B5A5F" w14:textId="0BEACE3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4" w:history="1">
        <w:r w:rsidR="002609E8" w:rsidRPr="00BE3C4D">
          <w:rPr>
            <w:rStyle w:val="Lienhypertexte"/>
            <w:b/>
            <w:noProof/>
          </w:rPr>
          <w:t>Tableau 77</w:t>
        </w:r>
        <w:r w:rsidR="002609E8" w:rsidRPr="00BE3C4D">
          <w:rPr>
            <w:rStyle w:val="Lienhypertexte"/>
            <w:noProof/>
          </w:rPr>
          <w:t>: situation des indicateurs de produits de l’action 03102 au 31 décembre 2023</w:t>
        </w:r>
        <w:r w:rsidR="002609E8">
          <w:rPr>
            <w:noProof/>
            <w:webHidden/>
          </w:rPr>
          <w:tab/>
        </w:r>
        <w:r w:rsidR="002609E8">
          <w:rPr>
            <w:noProof/>
            <w:webHidden/>
          </w:rPr>
          <w:fldChar w:fldCharType="begin"/>
        </w:r>
        <w:r w:rsidR="002609E8">
          <w:rPr>
            <w:noProof/>
            <w:webHidden/>
          </w:rPr>
          <w:instrText xml:space="preserve"> PAGEREF _Toc164503664 \h </w:instrText>
        </w:r>
        <w:r w:rsidR="002609E8">
          <w:rPr>
            <w:noProof/>
            <w:webHidden/>
          </w:rPr>
        </w:r>
        <w:r w:rsidR="002609E8">
          <w:rPr>
            <w:noProof/>
            <w:webHidden/>
          </w:rPr>
          <w:fldChar w:fldCharType="separate"/>
        </w:r>
        <w:r w:rsidR="007C2E4E">
          <w:rPr>
            <w:noProof/>
            <w:webHidden/>
          </w:rPr>
          <w:t>104</w:t>
        </w:r>
        <w:r w:rsidR="002609E8">
          <w:rPr>
            <w:noProof/>
            <w:webHidden/>
          </w:rPr>
          <w:fldChar w:fldCharType="end"/>
        </w:r>
      </w:hyperlink>
    </w:p>
    <w:p w14:paraId="6D16AB47" w14:textId="6EADAD5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5" w:history="1">
        <w:r w:rsidR="002609E8" w:rsidRPr="00BE3C4D">
          <w:rPr>
            <w:rStyle w:val="Lienhypertexte"/>
            <w:b/>
            <w:noProof/>
          </w:rPr>
          <w:t>Tableau 78</w:t>
        </w:r>
        <w:r w:rsidR="002609E8" w:rsidRPr="00BE3C4D">
          <w:rPr>
            <w:rStyle w:val="Lienhypertexte"/>
            <w:noProof/>
          </w:rPr>
          <w:t xml:space="preserve"> : situation des indicateurs de produits de la promotion de l’inclusion financière au 31 décembre 2023</w:t>
        </w:r>
        <w:r w:rsidR="002609E8">
          <w:rPr>
            <w:noProof/>
            <w:webHidden/>
          </w:rPr>
          <w:tab/>
        </w:r>
        <w:r w:rsidR="002609E8">
          <w:rPr>
            <w:noProof/>
            <w:webHidden/>
          </w:rPr>
          <w:fldChar w:fldCharType="begin"/>
        </w:r>
        <w:r w:rsidR="002609E8">
          <w:rPr>
            <w:noProof/>
            <w:webHidden/>
          </w:rPr>
          <w:instrText xml:space="preserve"> PAGEREF _Toc164503665 \h </w:instrText>
        </w:r>
        <w:r w:rsidR="002609E8">
          <w:rPr>
            <w:noProof/>
            <w:webHidden/>
          </w:rPr>
        </w:r>
        <w:r w:rsidR="002609E8">
          <w:rPr>
            <w:noProof/>
            <w:webHidden/>
          </w:rPr>
          <w:fldChar w:fldCharType="separate"/>
        </w:r>
        <w:r w:rsidR="007C2E4E">
          <w:rPr>
            <w:noProof/>
            <w:webHidden/>
          </w:rPr>
          <w:t>105</w:t>
        </w:r>
        <w:r w:rsidR="002609E8">
          <w:rPr>
            <w:noProof/>
            <w:webHidden/>
          </w:rPr>
          <w:fldChar w:fldCharType="end"/>
        </w:r>
      </w:hyperlink>
    </w:p>
    <w:p w14:paraId="19B5A88C" w14:textId="7CE5B7D0"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6" w:history="1">
        <w:r w:rsidR="002609E8" w:rsidRPr="00BE3C4D">
          <w:rPr>
            <w:rStyle w:val="Lienhypertexte"/>
            <w:b/>
            <w:noProof/>
          </w:rPr>
          <w:t>Tableau 79</w:t>
        </w:r>
        <w:r w:rsidR="002609E8" w:rsidRPr="00BE3C4D">
          <w:rPr>
            <w:rStyle w:val="Lienhypertexte"/>
            <w:noProof/>
          </w:rPr>
          <w:t>: situation des indicateurs des actions du domaine des infrastructures hydrauliques</w:t>
        </w:r>
        <w:r w:rsidR="002609E8">
          <w:rPr>
            <w:noProof/>
            <w:webHidden/>
          </w:rPr>
          <w:tab/>
        </w:r>
        <w:r w:rsidR="002609E8">
          <w:rPr>
            <w:noProof/>
            <w:webHidden/>
          </w:rPr>
          <w:fldChar w:fldCharType="begin"/>
        </w:r>
        <w:r w:rsidR="002609E8">
          <w:rPr>
            <w:noProof/>
            <w:webHidden/>
          </w:rPr>
          <w:instrText xml:space="preserve"> PAGEREF _Toc164503666 \h </w:instrText>
        </w:r>
        <w:r w:rsidR="002609E8">
          <w:rPr>
            <w:noProof/>
            <w:webHidden/>
          </w:rPr>
        </w:r>
        <w:r w:rsidR="002609E8">
          <w:rPr>
            <w:noProof/>
            <w:webHidden/>
          </w:rPr>
          <w:fldChar w:fldCharType="separate"/>
        </w:r>
        <w:r w:rsidR="007C2E4E">
          <w:rPr>
            <w:noProof/>
            <w:webHidden/>
          </w:rPr>
          <w:t>106</w:t>
        </w:r>
        <w:r w:rsidR="002609E8">
          <w:rPr>
            <w:noProof/>
            <w:webHidden/>
          </w:rPr>
          <w:fldChar w:fldCharType="end"/>
        </w:r>
      </w:hyperlink>
    </w:p>
    <w:p w14:paraId="690FD01C" w14:textId="3A461C9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7" w:history="1">
        <w:r w:rsidR="002609E8" w:rsidRPr="00BE3C4D">
          <w:rPr>
            <w:rStyle w:val="Lienhypertexte"/>
            <w:b/>
            <w:noProof/>
          </w:rPr>
          <w:t>Tableau 80</w:t>
        </w:r>
        <w:r w:rsidR="002609E8" w:rsidRPr="00BE3C4D">
          <w:rPr>
            <w:rStyle w:val="Lienhypertexte"/>
            <w:noProof/>
          </w:rPr>
          <w:t>: situation des indicateurs de produits en lien avec le domaine des infrastructures hydrauliques</w:t>
        </w:r>
        <w:r w:rsidR="002609E8">
          <w:rPr>
            <w:noProof/>
            <w:webHidden/>
          </w:rPr>
          <w:tab/>
        </w:r>
        <w:r w:rsidR="002609E8">
          <w:rPr>
            <w:noProof/>
            <w:webHidden/>
          </w:rPr>
          <w:fldChar w:fldCharType="begin"/>
        </w:r>
        <w:r w:rsidR="002609E8">
          <w:rPr>
            <w:noProof/>
            <w:webHidden/>
          </w:rPr>
          <w:instrText xml:space="preserve"> PAGEREF _Toc164503667 \h </w:instrText>
        </w:r>
        <w:r w:rsidR="002609E8">
          <w:rPr>
            <w:noProof/>
            <w:webHidden/>
          </w:rPr>
        </w:r>
        <w:r w:rsidR="002609E8">
          <w:rPr>
            <w:noProof/>
            <w:webHidden/>
          </w:rPr>
          <w:fldChar w:fldCharType="separate"/>
        </w:r>
        <w:r w:rsidR="007C2E4E">
          <w:rPr>
            <w:noProof/>
            <w:webHidden/>
          </w:rPr>
          <w:t>106</w:t>
        </w:r>
        <w:r w:rsidR="002609E8">
          <w:rPr>
            <w:noProof/>
            <w:webHidden/>
          </w:rPr>
          <w:fldChar w:fldCharType="end"/>
        </w:r>
      </w:hyperlink>
    </w:p>
    <w:p w14:paraId="1EAFA66E" w14:textId="02296511"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8" w:history="1">
        <w:r w:rsidR="002609E8" w:rsidRPr="00BE3C4D">
          <w:rPr>
            <w:rStyle w:val="Lienhypertexte"/>
            <w:b/>
            <w:noProof/>
          </w:rPr>
          <w:t>Tableau 81</w:t>
        </w:r>
        <w:r w:rsidR="002609E8" w:rsidRPr="00BE3C4D">
          <w:rPr>
            <w:rStyle w:val="Lienhypertexte"/>
            <w:noProof/>
          </w:rPr>
          <w:t>: situation des indicateurs des actions du domaine des infrastructures routières au 31 décembre 2023</w:t>
        </w:r>
        <w:r w:rsidR="002609E8">
          <w:rPr>
            <w:noProof/>
            <w:webHidden/>
          </w:rPr>
          <w:tab/>
        </w:r>
        <w:r w:rsidR="002609E8">
          <w:rPr>
            <w:noProof/>
            <w:webHidden/>
          </w:rPr>
          <w:fldChar w:fldCharType="begin"/>
        </w:r>
        <w:r w:rsidR="002609E8">
          <w:rPr>
            <w:noProof/>
            <w:webHidden/>
          </w:rPr>
          <w:instrText xml:space="preserve"> PAGEREF _Toc164503668 \h </w:instrText>
        </w:r>
        <w:r w:rsidR="002609E8">
          <w:rPr>
            <w:noProof/>
            <w:webHidden/>
          </w:rPr>
        </w:r>
        <w:r w:rsidR="002609E8">
          <w:rPr>
            <w:noProof/>
            <w:webHidden/>
          </w:rPr>
          <w:fldChar w:fldCharType="separate"/>
        </w:r>
        <w:r w:rsidR="007C2E4E">
          <w:rPr>
            <w:noProof/>
            <w:webHidden/>
          </w:rPr>
          <w:t>108</w:t>
        </w:r>
        <w:r w:rsidR="002609E8">
          <w:rPr>
            <w:noProof/>
            <w:webHidden/>
          </w:rPr>
          <w:fldChar w:fldCharType="end"/>
        </w:r>
      </w:hyperlink>
    </w:p>
    <w:p w14:paraId="53907EC9" w14:textId="4F93EE6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69" w:history="1">
        <w:r w:rsidR="002609E8" w:rsidRPr="00BE3C4D">
          <w:rPr>
            <w:rStyle w:val="Lienhypertexte"/>
            <w:b/>
            <w:noProof/>
          </w:rPr>
          <w:t>Tableau 82</w:t>
        </w:r>
        <w:r w:rsidR="002609E8" w:rsidRPr="00BE3C4D">
          <w:rPr>
            <w:rStyle w:val="Lienhypertexte"/>
            <w:noProof/>
          </w:rPr>
          <w:t>: situation des indicateurs de produits de l’action 03104 au 31 décembre 2023</w:t>
        </w:r>
        <w:r w:rsidR="002609E8">
          <w:rPr>
            <w:noProof/>
            <w:webHidden/>
          </w:rPr>
          <w:tab/>
        </w:r>
        <w:r w:rsidR="002609E8">
          <w:rPr>
            <w:noProof/>
            <w:webHidden/>
          </w:rPr>
          <w:fldChar w:fldCharType="begin"/>
        </w:r>
        <w:r w:rsidR="002609E8">
          <w:rPr>
            <w:noProof/>
            <w:webHidden/>
          </w:rPr>
          <w:instrText xml:space="preserve"> PAGEREF _Toc164503669 \h </w:instrText>
        </w:r>
        <w:r w:rsidR="002609E8">
          <w:rPr>
            <w:noProof/>
            <w:webHidden/>
          </w:rPr>
        </w:r>
        <w:r w:rsidR="002609E8">
          <w:rPr>
            <w:noProof/>
            <w:webHidden/>
          </w:rPr>
          <w:fldChar w:fldCharType="separate"/>
        </w:r>
        <w:r w:rsidR="007C2E4E">
          <w:rPr>
            <w:noProof/>
            <w:webHidden/>
          </w:rPr>
          <w:t>108</w:t>
        </w:r>
        <w:r w:rsidR="002609E8">
          <w:rPr>
            <w:noProof/>
            <w:webHidden/>
          </w:rPr>
          <w:fldChar w:fldCharType="end"/>
        </w:r>
      </w:hyperlink>
    </w:p>
    <w:p w14:paraId="695CC107" w14:textId="05B6C99F"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0" w:history="1">
        <w:r w:rsidR="002609E8" w:rsidRPr="00BE3C4D">
          <w:rPr>
            <w:rStyle w:val="Lienhypertexte"/>
            <w:b/>
            <w:noProof/>
          </w:rPr>
          <w:t>Tableau 83</w:t>
        </w:r>
        <w:r w:rsidR="002609E8" w:rsidRPr="00BE3C4D">
          <w:rPr>
            <w:rStyle w:val="Lienhypertexte"/>
            <w:noProof/>
          </w:rPr>
          <w:t xml:space="preserve"> : situation des indicateurs de produits de l’action 03105 au 31 décembre 2023</w:t>
        </w:r>
        <w:r w:rsidR="002609E8">
          <w:rPr>
            <w:noProof/>
            <w:webHidden/>
          </w:rPr>
          <w:tab/>
        </w:r>
        <w:r w:rsidR="002609E8">
          <w:rPr>
            <w:noProof/>
            <w:webHidden/>
          </w:rPr>
          <w:fldChar w:fldCharType="begin"/>
        </w:r>
        <w:r w:rsidR="002609E8">
          <w:rPr>
            <w:noProof/>
            <w:webHidden/>
          </w:rPr>
          <w:instrText xml:space="preserve"> PAGEREF _Toc164503670 \h </w:instrText>
        </w:r>
        <w:r w:rsidR="002609E8">
          <w:rPr>
            <w:noProof/>
            <w:webHidden/>
          </w:rPr>
        </w:r>
        <w:r w:rsidR="002609E8">
          <w:rPr>
            <w:noProof/>
            <w:webHidden/>
          </w:rPr>
          <w:fldChar w:fldCharType="separate"/>
        </w:r>
        <w:r w:rsidR="007C2E4E">
          <w:rPr>
            <w:noProof/>
            <w:webHidden/>
          </w:rPr>
          <w:t>109</w:t>
        </w:r>
        <w:r w:rsidR="002609E8">
          <w:rPr>
            <w:noProof/>
            <w:webHidden/>
          </w:rPr>
          <w:fldChar w:fldCharType="end"/>
        </w:r>
      </w:hyperlink>
    </w:p>
    <w:p w14:paraId="26662BD8" w14:textId="48CF578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1" w:history="1">
        <w:r w:rsidR="002609E8" w:rsidRPr="00BE3C4D">
          <w:rPr>
            <w:rStyle w:val="Lienhypertexte"/>
            <w:b/>
            <w:noProof/>
          </w:rPr>
          <w:t xml:space="preserve">Tableau 84 </w:t>
        </w:r>
        <w:r w:rsidR="002609E8" w:rsidRPr="00BE3C4D">
          <w:rPr>
            <w:rStyle w:val="Lienhypertexte"/>
            <w:noProof/>
          </w:rPr>
          <w:t>: situation des indicateurs de produits de l’action 03106 au 31 décembre 2023</w:t>
        </w:r>
        <w:r w:rsidR="002609E8">
          <w:rPr>
            <w:noProof/>
            <w:webHidden/>
          </w:rPr>
          <w:tab/>
        </w:r>
        <w:r w:rsidR="002609E8">
          <w:rPr>
            <w:noProof/>
            <w:webHidden/>
          </w:rPr>
          <w:fldChar w:fldCharType="begin"/>
        </w:r>
        <w:r w:rsidR="002609E8">
          <w:rPr>
            <w:noProof/>
            <w:webHidden/>
          </w:rPr>
          <w:instrText xml:space="preserve"> PAGEREF _Toc164503671 \h </w:instrText>
        </w:r>
        <w:r w:rsidR="002609E8">
          <w:rPr>
            <w:noProof/>
            <w:webHidden/>
          </w:rPr>
        </w:r>
        <w:r w:rsidR="002609E8">
          <w:rPr>
            <w:noProof/>
            <w:webHidden/>
          </w:rPr>
          <w:fldChar w:fldCharType="separate"/>
        </w:r>
        <w:r w:rsidR="007C2E4E">
          <w:rPr>
            <w:noProof/>
            <w:webHidden/>
          </w:rPr>
          <w:t>111</w:t>
        </w:r>
        <w:r w:rsidR="002609E8">
          <w:rPr>
            <w:noProof/>
            <w:webHidden/>
          </w:rPr>
          <w:fldChar w:fldCharType="end"/>
        </w:r>
      </w:hyperlink>
    </w:p>
    <w:p w14:paraId="38ACD270" w14:textId="7ECDD7D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2" w:history="1">
        <w:r w:rsidR="002609E8" w:rsidRPr="00BE3C4D">
          <w:rPr>
            <w:rStyle w:val="Lienhypertexte"/>
            <w:b/>
            <w:noProof/>
          </w:rPr>
          <w:t>Tableau 85</w:t>
        </w:r>
        <w:r w:rsidR="002609E8" w:rsidRPr="00BE3C4D">
          <w:rPr>
            <w:rStyle w:val="Lienhypertexte"/>
            <w:noProof/>
          </w:rPr>
          <w:t>: situation des indicateurs de produits des actions 03112 et 03113 au 31 décembre 2023</w:t>
        </w:r>
        <w:r w:rsidR="002609E8">
          <w:rPr>
            <w:noProof/>
            <w:webHidden/>
          </w:rPr>
          <w:tab/>
        </w:r>
        <w:r w:rsidR="002609E8">
          <w:rPr>
            <w:noProof/>
            <w:webHidden/>
          </w:rPr>
          <w:fldChar w:fldCharType="begin"/>
        </w:r>
        <w:r w:rsidR="002609E8">
          <w:rPr>
            <w:noProof/>
            <w:webHidden/>
          </w:rPr>
          <w:instrText xml:space="preserve"> PAGEREF _Toc164503672 \h </w:instrText>
        </w:r>
        <w:r w:rsidR="002609E8">
          <w:rPr>
            <w:noProof/>
            <w:webHidden/>
          </w:rPr>
        </w:r>
        <w:r w:rsidR="002609E8">
          <w:rPr>
            <w:noProof/>
            <w:webHidden/>
          </w:rPr>
          <w:fldChar w:fldCharType="separate"/>
        </w:r>
        <w:r w:rsidR="007C2E4E">
          <w:rPr>
            <w:noProof/>
            <w:webHidden/>
          </w:rPr>
          <w:t>112</w:t>
        </w:r>
        <w:r w:rsidR="002609E8">
          <w:rPr>
            <w:noProof/>
            <w:webHidden/>
          </w:rPr>
          <w:fldChar w:fldCharType="end"/>
        </w:r>
      </w:hyperlink>
    </w:p>
    <w:p w14:paraId="5911EBC7" w14:textId="478A15AB"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3" w:history="1">
        <w:r w:rsidR="002609E8" w:rsidRPr="00BE3C4D">
          <w:rPr>
            <w:rStyle w:val="Lienhypertexte"/>
            <w:b/>
            <w:noProof/>
          </w:rPr>
          <w:t xml:space="preserve">Tableau 86 </w:t>
        </w:r>
        <w:r w:rsidR="002609E8" w:rsidRPr="00BE3C4D">
          <w:rPr>
            <w:rStyle w:val="Lienhypertexte"/>
            <w:noProof/>
          </w:rPr>
          <w:t>: situation des indicateurs de produits au 31 décembre de l’action « prévention et gestion des conflits communautaires et intercommunautaires »</w:t>
        </w:r>
        <w:r w:rsidR="002609E8">
          <w:rPr>
            <w:noProof/>
            <w:webHidden/>
          </w:rPr>
          <w:tab/>
        </w:r>
        <w:r w:rsidR="002609E8">
          <w:rPr>
            <w:noProof/>
            <w:webHidden/>
          </w:rPr>
          <w:fldChar w:fldCharType="begin"/>
        </w:r>
        <w:r w:rsidR="002609E8">
          <w:rPr>
            <w:noProof/>
            <w:webHidden/>
          </w:rPr>
          <w:instrText xml:space="preserve"> PAGEREF _Toc164503673 \h </w:instrText>
        </w:r>
        <w:r w:rsidR="002609E8">
          <w:rPr>
            <w:noProof/>
            <w:webHidden/>
          </w:rPr>
        </w:r>
        <w:r w:rsidR="002609E8">
          <w:rPr>
            <w:noProof/>
            <w:webHidden/>
          </w:rPr>
          <w:fldChar w:fldCharType="separate"/>
        </w:r>
        <w:r w:rsidR="007C2E4E">
          <w:rPr>
            <w:noProof/>
            <w:webHidden/>
          </w:rPr>
          <w:t>118</w:t>
        </w:r>
        <w:r w:rsidR="002609E8">
          <w:rPr>
            <w:noProof/>
            <w:webHidden/>
          </w:rPr>
          <w:fldChar w:fldCharType="end"/>
        </w:r>
      </w:hyperlink>
    </w:p>
    <w:p w14:paraId="1F8F0A03" w14:textId="774C32A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4" w:history="1">
        <w:r w:rsidR="002609E8" w:rsidRPr="00BE3C4D">
          <w:rPr>
            <w:rStyle w:val="Lienhypertexte"/>
            <w:b/>
            <w:noProof/>
          </w:rPr>
          <w:t>Tableau 87</w:t>
        </w:r>
        <w:r w:rsidR="002609E8" w:rsidRPr="00BE3C4D">
          <w:rPr>
            <w:rStyle w:val="Lienhypertexte"/>
            <w:noProof/>
          </w:rPr>
          <w:t>: situation des indicateurs de produits de l'action « finalisation et mise en œuvre de la stratégie de communication gouvernementale en temps de crise » au 31 décembre 2023</w:t>
        </w:r>
        <w:r w:rsidR="002609E8">
          <w:rPr>
            <w:noProof/>
            <w:webHidden/>
          </w:rPr>
          <w:tab/>
        </w:r>
        <w:r w:rsidR="002609E8">
          <w:rPr>
            <w:noProof/>
            <w:webHidden/>
          </w:rPr>
          <w:fldChar w:fldCharType="begin"/>
        </w:r>
        <w:r w:rsidR="002609E8">
          <w:rPr>
            <w:noProof/>
            <w:webHidden/>
          </w:rPr>
          <w:instrText xml:space="preserve"> PAGEREF _Toc164503674 \h </w:instrText>
        </w:r>
        <w:r w:rsidR="002609E8">
          <w:rPr>
            <w:noProof/>
            <w:webHidden/>
          </w:rPr>
        </w:r>
        <w:r w:rsidR="002609E8">
          <w:rPr>
            <w:noProof/>
            <w:webHidden/>
          </w:rPr>
          <w:fldChar w:fldCharType="separate"/>
        </w:r>
        <w:r w:rsidR="007C2E4E">
          <w:rPr>
            <w:noProof/>
            <w:webHidden/>
          </w:rPr>
          <w:t>119</w:t>
        </w:r>
        <w:r w:rsidR="002609E8">
          <w:rPr>
            <w:noProof/>
            <w:webHidden/>
          </w:rPr>
          <w:fldChar w:fldCharType="end"/>
        </w:r>
      </w:hyperlink>
    </w:p>
    <w:p w14:paraId="4D7FCAF6" w14:textId="7F3CB8E9"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5" w:history="1">
        <w:r w:rsidR="002609E8" w:rsidRPr="00BE3C4D">
          <w:rPr>
            <w:rStyle w:val="Lienhypertexte"/>
            <w:b/>
            <w:noProof/>
          </w:rPr>
          <w:t>Tableau 88</w:t>
        </w:r>
        <w:r w:rsidR="002609E8" w:rsidRPr="00BE3C4D">
          <w:rPr>
            <w:rStyle w:val="Lienhypertexte"/>
            <w:noProof/>
          </w:rPr>
          <w:t>: situation des indicateurs de produits au 31 décembre de l’action « renforcement de la citoyenneté et l'insertion socio-économique des jeunes et des femmes exposés au risque de basculement dans l'extrémisme violent dans les zones à fort défi sécuritaire »</w:t>
        </w:r>
        <w:r w:rsidR="002609E8">
          <w:rPr>
            <w:noProof/>
            <w:webHidden/>
          </w:rPr>
          <w:tab/>
        </w:r>
        <w:r w:rsidR="002609E8">
          <w:rPr>
            <w:noProof/>
            <w:webHidden/>
          </w:rPr>
          <w:fldChar w:fldCharType="begin"/>
        </w:r>
        <w:r w:rsidR="002609E8">
          <w:rPr>
            <w:noProof/>
            <w:webHidden/>
          </w:rPr>
          <w:instrText xml:space="preserve"> PAGEREF _Toc164503675 \h </w:instrText>
        </w:r>
        <w:r w:rsidR="002609E8">
          <w:rPr>
            <w:noProof/>
            <w:webHidden/>
          </w:rPr>
        </w:r>
        <w:r w:rsidR="002609E8">
          <w:rPr>
            <w:noProof/>
            <w:webHidden/>
          </w:rPr>
          <w:fldChar w:fldCharType="separate"/>
        </w:r>
        <w:r w:rsidR="007C2E4E">
          <w:rPr>
            <w:noProof/>
            <w:webHidden/>
          </w:rPr>
          <w:t>120</w:t>
        </w:r>
        <w:r w:rsidR="002609E8">
          <w:rPr>
            <w:noProof/>
            <w:webHidden/>
          </w:rPr>
          <w:fldChar w:fldCharType="end"/>
        </w:r>
      </w:hyperlink>
    </w:p>
    <w:p w14:paraId="3A9A3036" w14:textId="17A29584"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6" w:history="1">
        <w:r w:rsidR="002609E8" w:rsidRPr="00BE3C4D">
          <w:rPr>
            <w:rStyle w:val="Lienhypertexte"/>
            <w:b/>
            <w:noProof/>
          </w:rPr>
          <w:t>Tableau 89</w:t>
        </w:r>
        <w:r w:rsidR="002609E8" w:rsidRPr="00BE3C4D">
          <w:rPr>
            <w:rStyle w:val="Lienhypertexte"/>
            <w:noProof/>
          </w:rPr>
          <w:t>: situation des indicateurs de produits de l’action « accélération du traitement des dossiers pendants en justice » au 31 décembre 2023</w:t>
        </w:r>
        <w:r w:rsidR="002609E8">
          <w:rPr>
            <w:noProof/>
            <w:webHidden/>
          </w:rPr>
          <w:tab/>
        </w:r>
        <w:r w:rsidR="002609E8">
          <w:rPr>
            <w:noProof/>
            <w:webHidden/>
          </w:rPr>
          <w:fldChar w:fldCharType="begin"/>
        </w:r>
        <w:r w:rsidR="002609E8">
          <w:rPr>
            <w:noProof/>
            <w:webHidden/>
          </w:rPr>
          <w:instrText xml:space="preserve"> PAGEREF _Toc164503676 \h </w:instrText>
        </w:r>
        <w:r w:rsidR="002609E8">
          <w:rPr>
            <w:noProof/>
            <w:webHidden/>
          </w:rPr>
        </w:r>
        <w:r w:rsidR="002609E8">
          <w:rPr>
            <w:noProof/>
            <w:webHidden/>
          </w:rPr>
          <w:fldChar w:fldCharType="separate"/>
        </w:r>
        <w:r w:rsidR="007C2E4E">
          <w:rPr>
            <w:noProof/>
            <w:webHidden/>
          </w:rPr>
          <w:t>122</w:t>
        </w:r>
        <w:r w:rsidR="002609E8">
          <w:rPr>
            <w:noProof/>
            <w:webHidden/>
          </w:rPr>
          <w:fldChar w:fldCharType="end"/>
        </w:r>
      </w:hyperlink>
    </w:p>
    <w:p w14:paraId="48385039" w14:textId="09A31BD6"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7" w:history="1">
        <w:r w:rsidR="002609E8" w:rsidRPr="00BE3C4D">
          <w:rPr>
            <w:rStyle w:val="Lienhypertexte"/>
            <w:b/>
            <w:noProof/>
          </w:rPr>
          <w:t>Tableau 90:</w:t>
        </w:r>
        <w:r w:rsidR="002609E8" w:rsidRPr="00BE3C4D">
          <w:rPr>
            <w:rStyle w:val="Lienhypertexte"/>
            <w:noProof/>
          </w:rPr>
          <w:t xml:space="preserve"> situation des exécutions physiques des PA-SD régionaux en 2023</w:t>
        </w:r>
        <w:r w:rsidR="002609E8">
          <w:rPr>
            <w:noProof/>
            <w:webHidden/>
          </w:rPr>
          <w:tab/>
        </w:r>
        <w:r w:rsidR="002609E8">
          <w:rPr>
            <w:noProof/>
            <w:webHidden/>
          </w:rPr>
          <w:fldChar w:fldCharType="begin"/>
        </w:r>
        <w:r w:rsidR="002609E8">
          <w:rPr>
            <w:noProof/>
            <w:webHidden/>
          </w:rPr>
          <w:instrText xml:space="preserve"> PAGEREF _Toc164503677 \h </w:instrText>
        </w:r>
        <w:r w:rsidR="002609E8">
          <w:rPr>
            <w:noProof/>
            <w:webHidden/>
          </w:rPr>
        </w:r>
        <w:r w:rsidR="002609E8">
          <w:rPr>
            <w:noProof/>
            <w:webHidden/>
          </w:rPr>
          <w:fldChar w:fldCharType="separate"/>
        </w:r>
        <w:r w:rsidR="007C2E4E">
          <w:rPr>
            <w:noProof/>
            <w:webHidden/>
          </w:rPr>
          <w:t>123</w:t>
        </w:r>
        <w:r w:rsidR="002609E8">
          <w:rPr>
            <w:noProof/>
            <w:webHidden/>
          </w:rPr>
          <w:fldChar w:fldCharType="end"/>
        </w:r>
      </w:hyperlink>
    </w:p>
    <w:p w14:paraId="336A74EC" w14:textId="3F84E64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8" w:history="1">
        <w:r w:rsidR="002609E8" w:rsidRPr="00BE3C4D">
          <w:rPr>
            <w:rStyle w:val="Lienhypertexte"/>
            <w:b/>
            <w:noProof/>
          </w:rPr>
          <w:t>Tableau 91</w:t>
        </w:r>
        <w:r w:rsidR="002609E8" w:rsidRPr="00BE3C4D">
          <w:rPr>
            <w:rStyle w:val="Lienhypertexte"/>
            <w:noProof/>
          </w:rPr>
          <w:t>: état du fonctionnement des CSD en 2023</w:t>
        </w:r>
        <w:r w:rsidR="002609E8">
          <w:rPr>
            <w:noProof/>
            <w:webHidden/>
          </w:rPr>
          <w:tab/>
        </w:r>
        <w:r w:rsidR="002609E8">
          <w:rPr>
            <w:noProof/>
            <w:webHidden/>
          </w:rPr>
          <w:fldChar w:fldCharType="begin"/>
        </w:r>
        <w:r w:rsidR="002609E8">
          <w:rPr>
            <w:noProof/>
            <w:webHidden/>
          </w:rPr>
          <w:instrText xml:space="preserve"> PAGEREF _Toc164503678 \h </w:instrText>
        </w:r>
        <w:r w:rsidR="002609E8">
          <w:rPr>
            <w:noProof/>
            <w:webHidden/>
          </w:rPr>
        </w:r>
        <w:r w:rsidR="002609E8">
          <w:rPr>
            <w:noProof/>
            <w:webHidden/>
          </w:rPr>
          <w:fldChar w:fldCharType="separate"/>
        </w:r>
        <w:r w:rsidR="007C2E4E">
          <w:rPr>
            <w:noProof/>
            <w:webHidden/>
          </w:rPr>
          <w:t>126</w:t>
        </w:r>
        <w:r w:rsidR="002609E8">
          <w:rPr>
            <w:noProof/>
            <w:webHidden/>
          </w:rPr>
          <w:fldChar w:fldCharType="end"/>
        </w:r>
      </w:hyperlink>
    </w:p>
    <w:p w14:paraId="16144FE3" w14:textId="29FD1D6F"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79" w:history="1">
        <w:r w:rsidR="002609E8" w:rsidRPr="00BE3C4D">
          <w:rPr>
            <w:rStyle w:val="Lienhypertexte"/>
            <w:b/>
            <w:noProof/>
          </w:rPr>
          <w:t>Tableau 92</w:t>
        </w:r>
        <w:r w:rsidR="002609E8" w:rsidRPr="00BE3C4D">
          <w:rPr>
            <w:rStyle w:val="Lienhypertexte"/>
            <w:noProof/>
          </w:rPr>
          <w:t xml:space="preserve"> : état du fonctionnement des CRD en 2023</w:t>
        </w:r>
        <w:r w:rsidR="002609E8">
          <w:rPr>
            <w:noProof/>
            <w:webHidden/>
          </w:rPr>
          <w:tab/>
        </w:r>
        <w:r w:rsidR="002609E8">
          <w:rPr>
            <w:noProof/>
            <w:webHidden/>
          </w:rPr>
          <w:fldChar w:fldCharType="begin"/>
        </w:r>
        <w:r w:rsidR="002609E8">
          <w:rPr>
            <w:noProof/>
            <w:webHidden/>
          </w:rPr>
          <w:instrText xml:space="preserve"> PAGEREF _Toc164503679 \h </w:instrText>
        </w:r>
        <w:r w:rsidR="002609E8">
          <w:rPr>
            <w:noProof/>
            <w:webHidden/>
          </w:rPr>
        </w:r>
        <w:r w:rsidR="002609E8">
          <w:rPr>
            <w:noProof/>
            <w:webHidden/>
          </w:rPr>
          <w:fldChar w:fldCharType="separate"/>
        </w:r>
        <w:r w:rsidR="007C2E4E">
          <w:rPr>
            <w:noProof/>
            <w:webHidden/>
          </w:rPr>
          <w:t>127</w:t>
        </w:r>
        <w:r w:rsidR="002609E8">
          <w:rPr>
            <w:noProof/>
            <w:webHidden/>
          </w:rPr>
          <w:fldChar w:fldCharType="end"/>
        </w:r>
      </w:hyperlink>
    </w:p>
    <w:p w14:paraId="24497C40" w14:textId="4A9E78BC"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80" w:history="1">
        <w:r w:rsidR="002609E8" w:rsidRPr="00BE3C4D">
          <w:rPr>
            <w:rStyle w:val="Lienhypertexte"/>
            <w:b/>
            <w:noProof/>
          </w:rPr>
          <w:t>Tableau 93</w:t>
        </w:r>
        <w:r w:rsidR="002609E8" w:rsidRPr="00BE3C4D">
          <w:rPr>
            <w:rStyle w:val="Lienhypertexte"/>
            <w:noProof/>
          </w:rPr>
          <w:t>: décaissement et exécution des ressources budgétaires au 31 décembre 2023</w:t>
        </w:r>
        <w:r w:rsidR="002609E8">
          <w:rPr>
            <w:noProof/>
            <w:webHidden/>
          </w:rPr>
          <w:tab/>
        </w:r>
        <w:r w:rsidR="002609E8">
          <w:rPr>
            <w:noProof/>
            <w:webHidden/>
          </w:rPr>
          <w:fldChar w:fldCharType="begin"/>
        </w:r>
        <w:r w:rsidR="002609E8">
          <w:rPr>
            <w:noProof/>
            <w:webHidden/>
          </w:rPr>
          <w:instrText xml:space="preserve"> PAGEREF _Toc164503680 \h </w:instrText>
        </w:r>
        <w:r w:rsidR="002609E8">
          <w:rPr>
            <w:noProof/>
            <w:webHidden/>
          </w:rPr>
        </w:r>
        <w:r w:rsidR="002609E8">
          <w:rPr>
            <w:noProof/>
            <w:webHidden/>
          </w:rPr>
          <w:fldChar w:fldCharType="separate"/>
        </w:r>
        <w:r w:rsidR="007C2E4E">
          <w:rPr>
            <w:noProof/>
            <w:webHidden/>
          </w:rPr>
          <w:t>128</w:t>
        </w:r>
        <w:r w:rsidR="002609E8">
          <w:rPr>
            <w:noProof/>
            <w:webHidden/>
          </w:rPr>
          <w:fldChar w:fldCharType="end"/>
        </w:r>
      </w:hyperlink>
    </w:p>
    <w:p w14:paraId="32307359" w14:textId="3006522D"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81" w:history="1">
        <w:r w:rsidR="002609E8" w:rsidRPr="00BE3C4D">
          <w:rPr>
            <w:rStyle w:val="Lienhypertexte"/>
            <w:b/>
            <w:noProof/>
          </w:rPr>
          <w:t>Tableau 94</w:t>
        </w:r>
        <w:r w:rsidR="002609E8" w:rsidRPr="00BE3C4D">
          <w:rPr>
            <w:rStyle w:val="Lienhypertexte"/>
            <w:noProof/>
          </w:rPr>
          <w:t>: décaissement et exécution des ressources des projets et programmes en 2023</w:t>
        </w:r>
        <w:r w:rsidR="002609E8">
          <w:rPr>
            <w:noProof/>
            <w:webHidden/>
          </w:rPr>
          <w:tab/>
        </w:r>
        <w:r w:rsidR="002609E8">
          <w:rPr>
            <w:noProof/>
            <w:webHidden/>
          </w:rPr>
          <w:fldChar w:fldCharType="begin"/>
        </w:r>
        <w:r w:rsidR="002609E8">
          <w:rPr>
            <w:noProof/>
            <w:webHidden/>
          </w:rPr>
          <w:instrText xml:space="preserve"> PAGEREF _Toc164503681 \h </w:instrText>
        </w:r>
        <w:r w:rsidR="002609E8">
          <w:rPr>
            <w:noProof/>
            <w:webHidden/>
          </w:rPr>
        </w:r>
        <w:r w:rsidR="002609E8">
          <w:rPr>
            <w:noProof/>
            <w:webHidden/>
          </w:rPr>
          <w:fldChar w:fldCharType="separate"/>
        </w:r>
        <w:r w:rsidR="007C2E4E">
          <w:rPr>
            <w:noProof/>
            <w:webHidden/>
          </w:rPr>
          <w:t>129</w:t>
        </w:r>
        <w:r w:rsidR="002609E8">
          <w:rPr>
            <w:noProof/>
            <w:webHidden/>
          </w:rPr>
          <w:fldChar w:fldCharType="end"/>
        </w:r>
      </w:hyperlink>
    </w:p>
    <w:p w14:paraId="07C5FDD8" w14:textId="66BE630E" w:rsidR="002609E8" w:rsidRDefault="00183DC5">
      <w:pPr>
        <w:pStyle w:val="Tabledesillustrations"/>
        <w:tabs>
          <w:tab w:val="right" w:leader="dot" w:pos="9016"/>
        </w:tabs>
        <w:rPr>
          <w:rFonts w:asciiTheme="minorHAnsi" w:eastAsiaTheme="minorEastAsia" w:hAnsiTheme="minorHAnsi" w:cstheme="minorBidi"/>
          <w:noProof/>
          <w:sz w:val="22"/>
          <w:lang w:eastAsia="fr-FR"/>
        </w:rPr>
      </w:pPr>
      <w:hyperlink w:anchor="_Toc164503682" w:history="1">
        <w:r w:rsidR="002609E8" w:rsidRPr="00BE3C4D">
          <w:rPr>
            <w:rStyle w:val="Lienhypertexte"/>
            <w:b/>
            <w:noProof/>
          </w:rPr>
          <w:t>Tableau 95</w:t>
        </w:r>
        <w:r w:rsidR="002609E8" w:rsidRPr="00BE3C4D">
          <w:rPr>
            <w:rStyle w:val="Lienhypertexte"/>
            <w:noProof/>
          </w:rPr>
          <w:t>: contribution financière des CT au développement en 2023</w:t>
        </w:r>
        <w:r w:rsidR="002609E8">
          <w:rPr>
            <w:noProof/>
            <w:webHidden/>
          </w:rPr>
          <w:tab/>
        </w:r>
        <w:r w:rsidR="002609E8">
          <w:rPr>
            <w:noProof/>
            <w:webHidden/>
          </w:rPr>
          <w:fldChar w:fldCharType="begin"/>
        </w:r>
        <w:r w:rsidR="002609E8">
          <w:rPr>
            <w:noProof/>
            <w:webHidden/>
          </w:rPr>
          <w:instrText xml:space="preserve"> PAGEREF _Toc164503682 \h </w:instrText>
        </w:r>
        <w:r w:rsidR="002609E8">
          <w:rPr>
            <w:noProof/>
            <w:webHidden/>
          </w:rPr>
        </w:r>
        <w:r w:rsidR="002609E8">
          <w:rPr>
            <w:noProof/>
            <w:webHidden/>
          </w:rPr>
          <w:fldChar w:fldCharType="separate"/>
        </w:r>
        <w:r w:rsidR="007C2E4E">
          <w:rPr>
            <w:noProof/>
            <w:webHidden/>
          </w:rPr>
          <w:t>130</w:t>
        </w:r>
        <w:r w:rsidR="002609E8">
          <w:rPr>
            <w:noProof/>
            <w:webHidden/>
          </w:rPr>
          <w:fldChar w:fldCharType="end"/>
        </w:r>
      </w:hyperlink>
    </w:p>
    <w:p w14:paraId="2599DBD2" w14:textId="78972009" w:rsidR="00132F53" w:rsidRPr="008D2129" w:rsidRDefault="00132F53" w:rsidP="008C1B80">
      <w:r w:rsidRPr="008D2129">
        <w:fldChar w:fldCharType="end"/>
      </w:r>
      <w:r w:rsidRPr="008D2129">
        <w:rPr>
          <w:sz w:val="36"/>
          <w:szCs w:val="36"/>
        </w:rPr>
        <w:br w:type="page"/>
      </w:r>
    </w:p>
    <w:p w14:paraId="51ECD972" w14:textId="68E72D78" w:rsidR="005559E9" w:rsidRPr="00F175A7" w:rsidRDefault="005559E9" w:rsidP="00EB703A">
      <w:pPr>
        <w:pStyle w:val="Titre1"/>
        <w:rPr>
          <w:szCs w:val="28"/>
        </w:rPr>
      </w:pPr>
      <w:bookmarkStart w:id="6" w:name="_Toc163141200"/>
      <w:bookmarkStart w:id="7" w:name="_Toc164692881"/>
      <w:r w:rsidRPr="00F175A7">
        <w:rPr>
          <w:szCs w:val="28"/>
        </w:rPr>
        <w:lastRenderedPageBreak/>
        <w:t xml:space="preserve">Sigles et </w:t>
      </w:r>
      <w:bookmarkEnd w:id="2"/>
      <w:bookmarkEnd w:id="3"/>
      <w:r w:rsidRPr="00F175A7">
        <w:rPr>
          <w:szCs w:val="28"/>
        </w:rPr>
        <w:t>abréviations</w:t>
      </w:r>
      <w:bookmarkEnd w:id="6"/>
      <w:bookmarkEnd w:id="7"/>
    </w:p>
    <w:tbl>
      <w:tblPr>
        <w:tblStyle w:val="TableauGrille2-Accentuation11"/>
        <w:tblW w:w="9026" w:type="dxa"/>
        <w:tblLayout w:type="fixed"/>
        <w:tblLook w:val="04A0" w:firstRow="1" w:lastRow="0" w:firstColumn="1" w:lastColumn="0" w:noHBand="0" w:noVBand="1"/>
      </w:tblPr>
      <w:tblGrid>
        <w:gridCol w:w="2120"/>
        <w:gridCol w:w="276"/>
        <w:gridCol w:w="6630"/>
      </w:tblGrid>
      <w:tr w:rsidR="00EB703A" w:rsidRPr="00EB703A" w14:paraId="0DD2E40C" w14:textId="77777777" w:rsidTr="00EB703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0" w:type="dxa"/>
            <w:tcBorders>
              <w:top w:val="single" w:sz="4" w:space="0" w:color="auto"/>
              <w:left w:val="single" w:sz="4" w:space="0" w:color="auto"/>
            </w:tcBorders>
            <w:vAlign w:val="center"/>
          </w:tcPr>
          <w:p w14:paraId="4EACA68F" w14:textId="77777777" w:rsidR="00EB703A" w:rsidRPr="00EB703A" w:rsidRDefault="00EB703A" w:rsidP="00EB703A">
            <w:pPr>
              <w:spacing w:after="0" w:line="240" w:lineRule="auto"/>
              <w:rPr>
                <w:rFonts w:eastAsia="Merriweather"/>
              </w:rPr>
            </w:pPr>
            <w:r w:rsidRPr="00EB703A">
              <w:rPr>
                <w:rFonts w:eastAsia="Merriweather"/>
              </w:rPr>
              <w:t>Sigle</w:t>
            </w:r>
          </w:p>
        </w:tc>
        <w:tc>
          <w:tcPr>
            <w:tcW w:w="276" w:type="dxa"/>
            <w:tcBorders>
              <w:top w:val="single" w:sz="4" w:space="0" w:color="auto"/>
            </w:tcBorders>
            <w:vAlign w:val="center"/>
          </w:tcPr>
          <w:p w14:paraId="507E9FAE" w14:textId="77777777" w:rsidR="00EB703A" w:rsidRPr="00EB703A" w:rsidRDefault="00EB703A" w:rsidP="00EB703A">
            <w:pPr>
              <w:spacing w:after="0" w:line="240" w:lineRule="auto"/>
              <w:cnfStyle w:val="100000000000" w:firstRow="1" w:lastRow="0" w:firstColumn="0" w:lastColumn="0" w:oddVBand="0" w:evenVBand="0" w:oddHBand="0" w:evenHBand="0" w:firstRowFirstColumn="0" w:firstRowLastColumn="0" w:lastRowFirstColumn="0" w:lastRowLastColumn="0"/>
              <w:rPr>
                <w:rFonts w:eastAsia="Merriweather"/>
              </w:rPr>
            </w:pPr>
            <w:r w:rsidRPr="00EB703A">
              <w:rPr>
                <w:rFonts w:eastAsia="Merriweather"/>
              </w:rPr>
              <w:t>:</w:t>
            </w:r>
          </w:p>
        </w:tc>
        <w:tc>
          <w:tcPr>
            <w:tcW w:w="6630" w:type="dxa"/>
            <w:tcBorders>
              <w:top w:val="single" w:sz="4" w:space="0" w:color="auto"/>
              <w:right w:val="single" w:sz="4" w:space="0" w:color="auto"/>
            </w:tcBorders>
            <w:vAlign w:val="center"/>
          </w:tcPr>
          <w:p w14:paraId="24C0A6FC" w14:textId="77777777" w:rsidR="00EB703A" w:rsidRPr="00EB703A" w:rsidRDefault="00EB703A" w:rsidP="00EB703A">
            <w:pPr>
              <w:spacing w:after="0" w:line="240" w:lineRule="auto"/>
              <w:cnfStyle w:val="100000000000" w:firstRow="1" w:lastRow="0" w:firstColumn="0" w:lastColumn="0" w:oddVBand="0" w:evenVBand="0" w:oddHBand="0" w:evenHBand="0" w:firstRowFirstColumn="0" w:firstRowLastColumn="0" w:lastRowFirstColumn="0" w:lastRowLastColumn="0"/>
              <w:rPr>
                <w:rFonts w:eastAsia="Merriweather"/>
              </w:rPr>
            </w:pPr>
            <w:r w:rsidRPr="00EB703A">
              <w:rPr>
                <w:rFonts w:eastAsia="Merriweather"/>
              </w:rPr>
              <w:t>Signification</w:t>
            </w:r>
          </w:p>
        </w:tc>
      </w:tr>
      <w:tr w:rsidR="00EB703A" w:rsidRPr="00EB703A" w14:paraId="228BBD3C"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E83534F" w14:textId="77777777" w:rsidR="00EB703A" w:rsidRPr="00EB703A" w:rsidRDefault="00EB703A" w:rsidP="00EB703A">
            <w:pPr>
              <w:spacing w:after="0" w:line="240" w:lineRule="auto"/>
              <w:rPr>
                <w:rFonts w:eastAsia="Merriweather"/>
              </w:rPr>
            </w:pPr>
            <w:r w:rsidRPr="00EB703A">
              <w:rPr>
                <w:rFonts w:eastAsia="Merriweather" w:cs="Calibri"/>
                <w:color w:val="000000"/>
              </w:rPr>
              <w:t>AEPS</w:t>
            </w:r>
          </w:p>
        </w:tc>
        <w:tc>
          <w:tcPr>
            <w:tcW w:w="276" w:type="dxa"/>
            <w:vAlign w:val="center"/>
          </w:tcPr>
          <w:p w14:paraId="3F1FEB52"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69378BD"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Adduction d’eau potable simplifiée</w:t>
            </w:r>
          </w:p>
        </w:tc>
      </w:tr>
      <w:tr w:rsidR="00EB703A" w:rsidRPr="00EB703A" w14:paraId="5D8DA07B"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5E760B7" w14:textId="77777777" w:rsidR="00EB703A" w:rsidRPr="00EB703A" w:rsidRDefault="00EB703A" w:rsidP="00EB703A">
            <w:pPr>
              <w:spacing w:after="0" w:line="240" w:lineRule="auto"/>
              <w:rPr>
                <w:rFonts w:eastAsia="Merriweather"/>
                <w:color w:val="000000"/>
              </w:rPr>
            </w:pPr>
            <w:r w:rsidRPr="00EB703A">
              <w:rPr>
                <w:rFonts w:eastAsia="Merriweather" w:cs="Cambria"/>
                <w:color w:val="000000"/>
              </w:rPr>
              <w:t>AFP-PME</w:t>
            </w:r>
          </w:p>
        </w:tc>
        <w:tc>
          <w:tcPr>
            <w:tcW w:w="276" w:type="dxa"/>
            <w:vAlign w:val="center"/>
          </w:tcPr>
          <w:p w14:paraId="787635F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mbria"/>
                <w:color w:val="000000"/>
              </w:rPr>
              <w:t>:</w:t>
            </w:r>
          </w:p>
        </w:tc>
        <w:tc>
          <w:tcPr>
            <w:tcW w:w="6630" w:type="dxa"/>
            <w:tcBorders>
              <w:right w:val="single" w:sz="4" w:space="0" w:color="auto"/>
            </w:tcBorders>
            <w:vAlign w:val="center"/>
          </w:tcPr>
          <w:p w14:paraId="6A01AE6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mbria"/>
                <w:color w:val="000000"/>
              </w:rPr>
              <w:t>Agence de finance des promoteurs des petites et moyennes entreprises</w:t>
            </w:r>
          </w:p>
        </w:tc>
      </w:tr>
      <w:tr w:rsidR="00EB703A" w:rsidRPr="00EB703A" w14:paraId="31AB1DE8"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D526574" w14:textId="77777777" w:rsidR="00EB703A" w:rsidRPr="00EB703A" w:rsidRDefault="00EB703A" w:rsidP="00EB703A">
            <w:pPr>
              <w:spacing w:after="0" w:line="240" w:lineRule="auto"/>
              <w:rPr>
                <w:rFonts w:eastAsia="Merriweather"/>
              </w:rPr>
            </w:pPr>
            <w:r w:rsidRPr="00EB703A">
              <w:rPr>
                <w:rFonts w:eastAsia="Merriweather" w:cs="Arial"/>
                <w:color w:val="000000"/>
              </w:rPr>
              <w:t>AGR</w:t>
            </w:r>
          </w:p>
        </w:tc>
        <w:tc>
          <w:tcPr>
            <w:tcW w:w="276" w:type="dxa"/>
            <w:vAlign w:val="center"/>
          </w:tcPr>
          <w:p w14:paraId="7D0AD3A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3669692" w14:textId="2C85FC3B"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Activité génératrice de revenus</w:t>
            </w:r>
          </w:p>
        </w:tc>
      </w:tr>
      <w:tr w:rsidR="00EB703A" w:rsidRPr="00EB703A" w14:paraId="6371688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CA70FF9" w14:textId="77777777" w:rsidR="00EB703A" w:rsidRPr="00EB703A" w:rsidRDefault="00EB703A" w:rsidP="00EB703A">
            <w:pPr>
              <w:spacing w:after="0" w:line="240" w:lineRule="auto"/>
              <w:rPr>
                <w:rFonts w:eastAsia="Merriweather"/>
              </w:rPr>
            </w:pPr>
            <w:r w:rsidRPr="00EB703A">
              <w:rPr>
                <w:rFonts w:eastAsia="Merriweather" w:cs="Cambria"/>
                <w:color w:val="000000"/>
              </w:rPr>
              <w:t>AIRP</w:t>
            </w:r>
          </w:p>
        </w:tc>
        <w:tc>
          <w:tcPr>
            <w:tcW w:w="276" w:type="dxa"/>
            <w:vAlign w:val="center"/>
          </w:tcPr>
          <w:p w14:paraId="001C69E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D1756F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Agricoles innovants, résilients et performants</w:t>
            </w:r>
          </w:p>
        </w:tc>
      </w:tr>
      <w:tr w:rsidR="00EB703A" w:rsidRPr="00EB703A" w14:paraId="5E8961A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0C4D160" w14:textId="77777777" w:rsidR="00EB703A" w:rsidRPr="00EB703A" w:rsidRDefault="00EB703A" w:rsidP="00EB703A">
            <w:pPr>
              <w:spacing w:after="0" w:line="240" w:lineRule="auto"/>
              <w:rPr>
                <w:rFonts w:eastAsia="Merriweather"/>
              </w:rPr>
            </w:pPr>
            <w:r w:rsidRPr="00EB703A">
              <w:rPr>
                <w:rFonts w:eastAsia="Merriweather" w:cs="Arial"/>
                <w:color w:val="000000"/>
              </w:rPr>
              <w:t>ALT</w:t>
            </w:r>
          </w:p>
        </w:tc>
        <w:tc>
          <w:tcPr>
            <w:tcW w:w="276" w:type="dxa"/>
            <w:vAlign w:val="center"/>
          </w:tcPr>
          <w:p w14:paraId="69A115C8"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63CD858D"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Assemblée législative de transition</w:t>
            </w:r>
          </w:p>
        </w:tc>
      </w:tr>
      <w:tr w:rsidR="00EB703A" w:rsidRPr="00EB703A" w14:paraId="0AF82209"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773AE3D" w14:textId="77777777" w:rsidR="00EB703A" w:rsidRPr="00EB703A" w:rsidRDefault="00EB703A" w:rsidP="00EB703A">
            <w:pPr>
              <w:spacing w:after="0" w:line="240" w:lineRule="auto"/>
              <w:rPr>
                <w:rFonts w:eastAsia="Merriweather"/>
              </w:rPr>
            </w:pPr>
            <w:r w:rsidRPr="00EB703A">
              <w:rPr>
                <w:rFonts w:eastAsia="Merriweather" w:cs="Calibri"/>
                <w:color w:val="000000"/>
              </w:rPr>
              <w:t>APS</w:t>
            </w:r>
          </w:p>
        </w:tc>
        <w:tc>
          <w:tcPr>
            <w:tcW w:w="276" w:type="dxa"/>
            <w:vAlign w:val="center"/>
          </w:tcPr>
          <w:p w14:paraId="0BF035F3"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1952725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 xml:space="preserve">Appui psychosocial </w:t>
            </w:r>
          </w:p>
        </w:tc>
      </w:tr>
      <w:tr w:rsidR="00EB703A" w:rsidRPr="00EB703A" w14:paraId="04A68023"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C3E64DF" w14:textId="77777777" w:rsidR="00EB703A" w:rsidRPr="00EB703A" w:rsidRDefault="00EB703A" w:rsidP="00EB703A">
            <w:pPr>
              <w:spacing w:after="0" w:line="240" w:lineRule="auto"/>
              <w:rPr>
                <w:rFonts w:eastAsia="Merriweather"/>
                <w:color w:val="000000"/>
              </w:rPr>
            </w:pPr>
            <w:r w:rsidRPr="00EB703A">
              <w:rPr>
                <w:rFonts w:eastAsia="Merriweather" w:cs="Cambria"/>
                <w:color w:val="000000"/>
              </w:rPr>
              <w:t>ASA</w:t>
            </w:r>
          </w:p>
        </w:tc>
        <w:tc>
          <w:tcPr>
            <w:tcW w:w="276" w:type="dxa"/>
            <w:vAlign w:val="center"/>
          </w:tcPr>
          <w:p w14:paraId="30B0A24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mbria"/>
                <w:color w:val="000000"/>
              </w:rPr>
              <w:t>:</w:t>
            </w:r>
          </w:p>
        </w:tc>
        <w:tc>
          <w:tcPr>
            <w:tcW w:w="6630" w:type="dxa"/>
            <w:tcBorders>
              <w:right w:val="single" w:sz="4" w:space="0" w:color="auto"/>
            </w:tcBorders>
            <w:vAlign w:val="center"/>
          </w:tcPr>
          <w:p w14:paraId="034EE4A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mbria"/>
                <w:color w:val="000000"/>
              </w:rPr>
              <w:t>Accords de services aériens</w:t>
            </w:r>
          </w:p>
        </w:tc>
      </w:tr>
      <w:tr w:rsidR="00EB703A" w:rsidRPr="00EB703A" w14:paraId="17CA321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28E6B4E"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ASBC</w:t>
            </w:r>
          </w:p>
        </w:tc>
        <w:tc>
          <w:tcPr>
            <w:tcW w:w="276" w:type="dxa"/>
            <w:vAlign w:val="center"/>
          </w:tcPr>
          <w:p w14:paraId="2CB7365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libri"/>
                <w:color w:val="000000"/>
              </w:rPr>
              <w:t> </w:t>
            </w:r>
          </w:p>
        </w:tc>
        <w:tc>
          <w:tcPr>
            <w:tcW w:w="6630" w:type="dxa"/>
            <w:tcBorders>
              <w:right w:val="single" w:sz="4" w:space="0" w:color="auto"/>
            </w:tcBorders>
            <w:vAlign w:val="center"/>
          </w:tcPr>
          <w:p w14:paraId="0BAD70B9"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libri"/>
                <w:color w:val="000000"/>
              </w:rPr>
              <w:t>Agent de santé à base communautaire</w:t>
            </w:r>
          </w:p>
        </w:tc>
      </w:tr>
      <w:tr w:rsidR="00EB703A" w:rsidRPr="00EB703A" w14:paraId="1AF0BE1B"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2F15242" w14:textId="77777777" w:rsidR="00EB703A" w:rsidRPr="00EB703A" w:rsidRDefault="00EB703A" w:rsidP="00EB703A">
            <w:pPr>
              <w:spacing w:after="0" w:line="240" w:lineRule="auto"/>
              <w:rPr>
                <w:rFonts w:eastAsia="Merriweather"/>
              </w:rPr>
            </w:pPr>
            <w:r w:rsidRPr="00EB703A">
              <w:rPr>
                <w:rFonts w:eastAsia="Merriweather" w:cs="Cambria"/>
                <w:color w:val="000000"/>
              </w:rPr>
              <w:t>ASPHF</w:t>
            </w:r>
          </w:p>
        </w:tc>
        <w:tc>
          <w:tcPr>
            <w:tcW w:w="276" w:type="dxa"/>
            <w:vAlign w:val="center"/>
          </w:tcPr>
          <w:p w14:paraId="3EED9202"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B071D03"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Agro-</w:t>
            </w:r>
            <w:proofErr w:type="spellStart"/>
            <w:r w:rsidRPr="00EB703A">
              <w:rPr>
                <w:rFonts w:eastAsia="Merriweather" w:cs="Cambria"/>
                <w:color w:val="000000"/>
              </w:rPr>
              <w:t>sylvo</w:t>
            </w:r>
            <w:proofErr w:type="spellEnd"/>
            <w:r w:rsidRPr="00EB703A">
              <w:rPr>
                <w:rFonts w:eastAsia="Merriweather" w:cs="Cambria"/>
                <w:color w:val="000000"/>
              </w:rPr>
              <w:t>-pastoral halieutique et faunique</w:t>
            </w:r>
          </w:p>
        </w:tc>
      </w:tr>
      <w:tr w:rsidR="00EB703A" w:rsidRPr="00EB703A" w14:paraId="4DFA30A9"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0B9C643" w14:textId="77777777" w:rsidR="00EB703A" w:rsidRPr="00EB703A" w:rsidRDefault="00EB703A" w:rsidP="00EB703A">
            <w:pPr>
              <w:spacing w:after="0" w:line="240" w:lineRule="auto"/>
              <w:rPr>
                <w:rFonts w:eastAsia="Merriweather"/>
              </w:rPr>
            </w:pPr>
            <w:r w:rsidRPr="00EB703A">
              <w:rPr>
                <w:rFonts w:eastAsia="Merriweather" w:cs="Cambria"/>
                <w:color w:val="000000"/>
              </w:rPr>
              <w:t>CAF</w:t>
            </w:r>
          </w:p>
        </w:tc>
        <w:tc>
          <w:tcPr>
            <w:tcW w:w="276" w:type="dxa"/>
            <w:vAlign w:val="center"/>
          </w:tcPr>
          <w:p w14:paraId="11F7B183"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661B8C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Chantiers d’aménagements forestiers</w:t>
            </w:r>
          </w:p>
        </w:tc>
      </w:tr>
      <w:tr w:rsidR="00EB703A" w:rsidRPr="00EB703A" w14:paraId="025AAB66"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229AE18" w14:textId="77777777" w:rsidR="00EB703A" w:rsidRPr="00EB703A" w:rsidRDefault="00EB703A" w:rsidP="00EB703A">
            <w:pPr>
              <w:spacing w:after="0" w:line="240" w:lineRule="auto"/>
              <w:rPr>
                <w:rFonts w:eastAsia="Merriweather"/>
                <w:color w:val="000000"/>
              </w:rPr>
            </w:pPr>
            <w:r w:rsidRPr="00EB703A">
              <w:rPr>
                <w:rFonts w:eastAsia="Merriweather" w:cs="Cambria"/>
                <w:color w:val="000000"/>
              </w:rPr>
              <w:t>CAIMA</w:t>
            </w:r>
          </w:p>
        </w:tc>
        <w:tc>
          <w:tcPr>
            <w:tcW w:w="276" w:type="dxa"/>
            <w:vAlign w:val="center"/>
          </w:tcPr>
          <w:p w14:paraId="64089B5E"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mbria"/>
                <w:color w:val="000000"/>
              </w:rPr>
              <w:t>:</w:t>
            </w:r>
          </w:p>
        </w:tc>
        <w:tc>
          <w:tcPr>
            <w:tcW w:w="6630" w:type="dxa"/>
            <w:tcBorders>
              <w:right w:val="single" w:sz="4" w:space="0" w:color="auto"/>
            </w:tcBorders>
            <w:vAlign w:val="center"/>
          </w:tcPr>
          <w:p w14:paraId="393D5E62"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mbria"/>
                <w:color w:val="000000"/>
              </w:rPr>
              <w:t>Centrale d’achat des intrants et de matériels agricoles</w:t>
            </w:r>
          </w:p>
        </w:tc>
      </w:tr>
      <w:tr w:rsidR="00EB703A" w:rsidRPr="00EB703A" w14:paraId="65190B65"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B6E1AB4"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CARFO</w:t>
            </w:r>
          </w:p>
        </w:tc>
        <w:tc>
          <w:tcPr>
            <w:tcW w:w="276" w:type="dxa"/>
            <w:vAlign w:val="center"/>
          </w:tcPr>
          <w:p w14:paraId="7A03638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6F0D1CDC"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Arial"/>
                <w:color w:val="000000"/>
              </w:rPr>
              <w:t>Caisse autonome de retraite des fonctionnaires</w:t>
            </w:r>
          </w:p>
        </w:tc>
      </w:tr>
      <w:tr w:rsidR="00EB703A" w:rsidRPr="00EB703A" w14:paraId="535A5D42"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CD71C0E"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CAST/FSDEB</w:t>
            </w:r>
          </w:p>
        </w:tc>
        <w:tc>
          <w:tcPr>
            <w:tcW w:w="276" w:type="dxa"/>
            <w:vAlign w:val="center"/>
          </w:tcPr>
          <w:p w14:paraId="335BE9F4" w14:textId="33D9F27B" w:rsidR="00EB703A" w:rsidRPr="00EB703A" w:rsidRDefault="00366512" w:rsidP="00366512">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82AF733"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libri"/>
                <w:color w:val="000000"/>
              </w:rPr>
              <w:t>Compte d’affectation spéciale du trésor/Fonds de soutien au développement de l’enseignement de base</w:t>
            </w:r>
          </w:p>
        </w:tc>
      </w:tr>
      <w:tr w:rsidR="00EB703A" w:rsidRPr="00EB703A" w14:paraId="0BC4F031"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CB87EDF"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CCNIT</w:t>
            </w:r>
          </w:p>
        </w:tc>
        <w:tc>
          <w:tcPr>
            <w:tcW w:w="276" w:type="dxa"/>
            <w:vAlign w:val="center"/>
          </w:tcPr>
          <w:p w14:paraId="5CE81F4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5005DB8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s="Merriweather"/>
                <w:b/>
                <w:sz w:val="36"/>
                <w:szCs w:val="36"/>
              </w:rPr>
            </w:pPr>
            <w:r w:rsidRPr="00EB703A">
              <w:rPr>
                <w:rFonts w:eastAsia="Merriweather" w:cs="Calibri"/>
                <w:color w:val="000000"/>
              </w:rPr>
              <w:t>Commission consultative sur les normes internationales du travail</w:t>
            </w:r>
          </w:p>
        </w:tc>
      </w:tr>
      <w:tr w:rsidR="00EB703A" w:rsidRPr="00EB703A" w14:paraId="63B021B3"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D3F4937"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CCT</w:t>
            </w:r>
          </w:p>
        </w:tc>
        <w:tc>
          <w:tcPr>
            <w:tcW w:w="276" w:type="dxa"/>
            <w:vAlign w:val="center"/>
          </w:tcPr>
          <w:p w14:paraId="1FE88C6A"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375F724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libri"/>
                <w:color w:val="000000"/>
              </w:rPr>
              <w:t>Commission consultative du travail</w:t>
            </w:r>
          </w:p>
        </w:tc>
      </w:tr>
      <w:tr w:rsidR="00EB703A" w:rsidRPr="00EB703A" w14:paraId="4F4E96E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709BF4B"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CEG</w:t>
            </w:r>
          </w:p>
        </w:tc>
        <w:tc>
          <w:tcPr>
            <w:tcW w:w="276" w:type="dxa"/>
            <w:vAlign w:val="center"/>
          </w:tcPr>
          <w:p w14:paraId="4BFC9655" w14:textId="5D2AB8B1" w:rsidR="00EB703A" w:rsidRPr="00EB703A" w:rsidRDefault="004D5D0F" w:rsidP="004D5D0F">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4201EE9"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libri"/>
                <w:color w:val="000000"/>
              </w:rPr>
              <w:t>Collège d’enseignement général</w:t>
            </w:r>
          </w:p>
        </w:tc>
      </w:tr>
      <w:tr w:rsidR="00EB703A" w:rsidRPr="00EB703A" w14:paraId="71A9CE9F"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500EA7A"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lang w:val="fr-BE"/>
              </w:rPr>
              <w:t>CEGECI</w:t>
            </w:r>
          </w:p>
        </w:tc>
        <w:tc>
          <w:tcPr>
            <w:tcW w:w="276" w:type="dxa"/>
            <w:vAlign w:val="center"/>
          </w:tcPr>
          <w:p w14:paraId="5F2FFEC5"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F4DAB1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libri"/>
                <w:color w:val="000000"/>
                <w:lang w:val="fr-BE"/>
              </w:rPr>
              <w:t xml:space="preserve">Centre de gestion des cités </w:t>
            </w:r>
          </w:p>
        </w:tc>
      </w:tr>
      <w:tr w:rsidR="00EB703A" w:rsidRPr="00EB703A" w14:paraId="0F08BD1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A68A339" w14:textId="77777777" w:rsidR="00EB703A" w:rsidRPr="00EB703A" w:rsidRDefault="00EB703A" w:rsidP="00EB703A">
            <w:pPr>
              <w:spacing w:after="0" w:line="240" w:lineRule="auto"/>
              <w:rPr>
                <w:rFonts w:eastAsia="Merriweather"/>
                <w:color w:val="000000"/>
              </w:rPr>
            </w:pPr>
            <w:r w:rsidRPr="00EB703A">
              <w:rPr>
                <w:rFonts w:eastAsia="Merriweather" w:cs="Cambria"/>
                <w:color w:val="000000"/>
              </w:rPr>
              <w:t>Cf.</w:t>
            </w:r>
          </w:p>
        </w:tc>
        <w:tc>
          <w:tcPr>
            <w:tcW w:w="276" w:type="dxa"/>
            <w:vAlign w:val="center"/>
          </w:tcPr>
          <w:p w14:paraId="3B4A861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5080085"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mbria"/>
                <w:color w:val="000000"/>
              </w:rPr>
              <w:t>Confer</w:t>
            </w:r>
          </w:p>
        </w:tc>
      </w:tr>
      <w:tr w:rsidR="00EB703A" w:rsidRPr="00EB703A" w14:paraId="730B4CBD"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D4A0B58"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CHR</w:t>
            </w:r>
          </w:p>
        </w:tc>
        <w:tc>
          <w:tcPr>
            <w:tcW w:w="276" w:type="dxa"/>
            <w:vAlign w:val="center"/>
          </w:tcPr>
          <w:p w14:paraId="7CA20475" w14:textId="12192C1E" w:rsidR="00EB703A" w:rsidRPr="00EB703A" w:rsidRDefault="004D5D0F" w:rsidP="004D5D0F">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E92065F"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libri"/>
                <w:color w:val="000000"/>
              </w:rPr>
              <w:t>Centre hospitalier régional</w:t>
            </w:r>
          </w:p>
        </w:tc>
      </w:tr>
      <w:tr w:rsidR="00EB703A" w:rsidRPr="00EB703A" w14:paraId="153845C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38BF3F6"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CHU</w:t>
            </w:r>
          </w:p>
        </w:tc>
        <w:tc>
          <w:tcPr>
            <w:tcW w:w="276" w:type="dxa"/>
            <w:vAlign w:val="center"/>
          </w:tcPr>
          <w:p w14:paraId="7B1ADD3C" w14:textId="0DA9B11C" w:rsidR="00EB703A" w:rsidRPr="00EB703A" w:rsidRDefault="004D5D0F" w:rsidP="004D5D0F">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0A641D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libri"/>
                <w:color w:val="000000"/>
              </w:rPr>
              <w:t>Centre hospitalier universitaire</w:t>
            </w:r>
          </w:p>
        </w:tc>
      </w:tr>
      <w:tr w:rsidR="00EB703A" w:rsidRPr="00EB703A" w14:paraId="6F215632"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AD88129" w14:textId="77777777" w:rsidR="00EB703A" w:rsidRPr="00EB703A" w:rsidRDefault="00EB703A" w:rsidP="00EB703A">
            <w:pPr>
              <w:spacing w:after="0" w:line="240" w:lineRule="auto"/>
              <w:rPr>
                <w:rFonts w:eastAsia="Merriweather"/>
                <w:color w:val="000000"/>
              </w:rPr>
            </w:pPr>
            <w:r w:rsidRPr="00EB703A">
              <w:rPr>
                <w:rFonts w:eastAsia="Merriweather" w:cs="Cambria"/>
                <w:color w:val="000000"/>
              </w:rPr>
              <w:t>CIM</w:t>
            </w:r>
          </w:p>
        </w:tc>
        <w:tc>
          <w:tcPr>
            <w:tcW w:w="276" w:type="dxa"/>
            <w:vAlign w:val="center"/>
          </w:tcPr>
          <w:p w14:paraId="4EDFD464"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BE3D9A4"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Cambria"/>
                <w:color w:val="000000"/>
              </w:rPr>
              <w:t>Circuit intégré des missions</w:t>
            </w:r>
          </w:p>
        </w:tc>
      </w:tr>
      <w:tr w:rsidR="00EB703A" w:rsidRPr="00EB703A" w14:paraId="0E88487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CF4B279"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CIS</w:t>
            </w:r>
          </w:p>
        </w:tc>
        <w:tc>
          <w:tcPr>
            <w:tcW w:w="276" w:type="dxa"/>
            <w:vAlign w:val="center"/>
          </w:tcPr>
          <w:p w14:paraId="026FC4F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14E41F0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libri"/>
                <w:color w:val="000000"/>
              </w:rPr>
              <w:t xml:space="preserve">Carte d'identité scolaire </w:t>
            </w:r>
          </w:p>
        </w:tc>
      </w:tr>
      <w:tr w:rsidR="00EB703A" w:rsidRPr="00EB703A" w14:paraId="110EAA95"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D4FADD5" w14:textId="77777777" w:rsidR="00EB703A" w:rsidRPr="00EB703A" w:rsidRDefault="00EB703A" w:rsidP="00EB703A">
            <w:pPr>
              <w:spacing w:after="0" w:line="240" w:lineRule="auto"/>
              <w:rPr>
                <w:rFonts w:eastAsia="Merriweather"/>
                <w:color w:val="000000"/>
              </w:rPr>
            </w:pPr>
            <w:r w:rsidRPr="00EB703A">
              <w:rPr>
                <w:rFonts w:eastAsia="Merriweather" w:cstheme="minorHAnsi"/>
                <w:color w:val="000000"/>
              </w:rPr>
              <w:t>CM</w:t>
            </w:r>
          </w:p>
        </w:tc>
        <w:tc>
          <w:tcPr>
            <w:tcW w:w="276" w:type="dxa"/>
            <w:vAlign w:val="center"/>
          </w:tcPr>
          <w:p w14:paraId="14CC804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0460CFC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color w:val="000000"/>
              </w:rPr>
            </w:pPr>
            <w:r w:rsidRPr="00EB703A">
              <w:rPr>
                <w:rFonts w:eastAsia="Merriweather" w:cs="Arial"/>
                <w:color w:val="000000"/>
              </w:rPr>
              <w:t>Centre médical</w:t>
            </w:r>
          </w:p>
        </w:tc>
      </w:tr>
      <w:tr w:rsidR="00EB703A" w:rsidRPr="00EB703A" w14:paraId="770A9DC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AB2C196" w14:textId="77777777" w:rsidR="00EB703A" w:rsidRPr="00EB703A" w:rsidRDefault="00EB703A" w:rsidP="00EB703A">
            <w:pPr>
              <w:spacing w:after="0" w:line="240" w:lineRule="auto"/>
              <w:rPr>
                <w:rFonts w:eastAsia="Merriweather"/>
              </w:rPr>
            </w:pPr>
            <w:r w:rsidRPr="00EB703A">
              <w:rPr>
                <w:rFonts w:eastAsia="Merriweather" w:cs="Calibri"/>
                <w:color w:val="000000"/>
              </w:rPr>
              <w:t>CMA</w:t>
            </w:r>
          </w:p>
        </w:tc>
        <w:tc>
          <w:tcPr>
            <w:tcW w:w="276" w:type="dxa"/>
            <w:vAlign w:val="center"/>
          </w:tcPr>
          <w:p w14:paraId="36B97ED2" w14:textId="4EC9BA9D"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543045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Centre médical avec antenne chirurgicale</w:t>
            </w:r>
          </w:p>
        </w:tc>
      </w:tr>
      <w:tr w:rsidR="00EB703A" w:rsidRPr="00EB703A" w14:paraId="0E73D205"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D54A8A5"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CNAMU</w:t>
            </w:r>
          </w:p>
        </w:tc>
        <w:tc>
          <w:tcPr>
            <w:tcW w:w="276" w:type="dxa"/>
            <w:vAlign w:val="center"/>
          </w:tcPr>
          <w:p w14:paraId="63D6C6CA"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1950F2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Arial"/>
                <w:color w:val="000000"/>
              </w:rPr>
              <w:t>Caisse nationale d’assurance maladie universelle</w:t>
            </w:r>
          </w:p>
        </w:tc>
      </w:tr>
      <w:tr w:rsidR="00EB703A" w:rsidRPr="00EB703A" w14:paraId="5A2FDA6A"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C4CC4CA" w14:textId="77777777" w:rsidR="00EB703A" w:rsidRPr="00EB703A" w:rsidRDefault="00EB703A" w:rsidP="00EB703A">
            <w:pPr>
              <w:spacing w:after="0" w:line="240" w:lineRule="auto"/>
              <w:rPr>
                <w:rFonts w:eastAsia="Merriweather"/>
                <w:color w:val="000000"/>
              </w:rPr>
            </w:pPr>
            <w:r w:rsidRPr="00EB703A">
              <w:rPr>
                <w:rFonts w:eastAsia="Merriweather" w:cs="Calibri"/>
                <w:color w:val="000000"/>
              </w:rPr>
              <w:t>CNPB</w:t>
            </w:r>
          </w:p>
        </w:tc>
        <w:tc>
          <w:tcPr>
            <w:tcW w:w="276" w:type="dxa"/>
            <w:vAlign w:val="center"/>
          </w:tcPr>
          <w:p w14:paraId="78262AF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6B4BE8D3" w14:textId="2B2A1EA1"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Calibri"/>
                <w:color w:val="000000"/>
              </w:rPr>
              <w:t>Conseil national du patronat burkinab</w:t>
            </w:r>
            <w:r w:rsidR="00733CE8">
              <w:rPr>
                <w:rFonts w:eastAsia="Merriweather" w:cs="Calibri"/>
                <w:color w:val="000000"/>
              </w:rPr>
              <w:t>è</w:t>
            </w:r>
            <w:r w:rsidRPr="00EB703A">
              <w:rPr>
                <w:rFonts w:eastAsia="Merriweather" w:cs="Calibri"/>
                <w:color w:val="000000"/>
              </w:rPr>
              <w:t xml:space="preserve"> </w:t>
            </w:r>
          </w:p>
        </w:tc>
      </w:tr>
      <w:tr w:rsidR="00EB703A" w:rsidRPr="00EB703A" w14:paraId="0F328D72"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8DB06C5" w14:textId="77777777" w:rsidR="00EB703A" w:rsidRPr="00EB703A" w:rsidRDefault="00EB703A" w:rsidP="00EB703A">
            <w:pPr>
              <w:spacing w:after="0" w:line="240" w:lineRule="auto"/>
              <w:rPr>
                <w:rFonts w:eastAsia="Merriweather"/>
              </w:rPr>
            </w:pPr>
            <w:r w:rsidRPr="00EB703A">
              <w:rPr>
                <w:rFonts w:eastAsia="Merriweather" w:cs="Cambria"/>
                <w:color w:val="000000"/>
              </w:rPr>
              <w:t>CNRST</w:t>
            </w:r>
          </w:p>
        </w:tc>
        <w:tc>
          <w:tcPr>
            <w:tcW w:w="276" w:type="dxa"/>
            <w:vAlign w:val="center"/>
          </w:tcPr>
          <w:p w14:paraId="059FB3D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AC33E1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Centre national de la recherche scientifique et technologique</w:t>
            </w:r>
          </w:p>
        </w:tc>
      </w:tr>
      <w:tr w:rsidR="00EB703A" w:rsidRPr="00EB703A" w14:paraId="56E966A3"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168F6A7" w14:textId="77777777" w:rsidR="00EB703A" w:rsidRPr="00EB703A" w:rsidRDefault="00EB703A" w:rsidP="00EB703A">
            <w:pPr>
              <w:spacing w:after="0" w:line="240" w:lineRule="auto"/>
              <w:rPr>
                <w:rFonts w:eastAsia="Merriweather"/>
                <w:color w:val="000000"/>
              </w:rPr>
            </w:pPr>
            <w:r w:rsidRPr="00EB703A">
              <w:rPr>
                <w:rFonts w:eastAsia="Merriweather" w:cstheme="minorHAnsi"/>
                <w:color w:val="000000"/>
              </w:rPr>
              <w:t>CNSS</w:t>
            </w:r>
          </w:p>
        </w:tc>
        <w:tc>
          <w:tcPr>
            <w:tcW w:w="276" w:type="dxa"/>
            <w:vAlign w:val="center"/>
          </w:tcPr>
          <w:p w14:paraId="52CB2CE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5786514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color w:val="000000"/>
              </w:rPr>
            </w:pPr>
            <w:r w:rsidRPr="00EB703A">
              <w:rPr>
                <w:rFonts w:eastAsia="Merriweather" w:cs="Arial"/>
                <w:color w:val="000000"/>
              </w:rPr>
              <w:t>Caisse nationale de sécurité sociale</w:t>
            </w:r>
          </w:p>
        </w:tc>
      </w:tr>
      <w:tr w:rsidR="00EB703A" w:rsidRPr="00EB703A" w14:paraId="79F35EA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313647D" w14:textId="77777777" w:rsidR="00EB703A" w:rsidRPr="00EB703A" w:rsidRDefault="00EB703A" w:rsidP="00EB703A">
            <w:pPr>
              <w:spacing w:after="0" w:line="240" w:lineRule="auto"/>
              <w:rPr>
                <w:rFonts w:eastAsia="Merriweather"/>
              </w:rPr>
            </w:pPr>
            <w:r w:rsidRPr="00EB703A">
              <w:rPr>
                <w:rFonts w:eastAsia="Merriweather" w:cs="Calibri"/>
                <w:color w:val="000000"/>
                <w:lang w:val="fr-BE"/>
              </w:rPr>
              <w:t>CNV</w:t>
            </w:r>
          </w:p>
        </w:tc>
        <w:tc>
          <w:tcPr>
            <w:tcW w:w="276" w:type="dxa"/>
            <w:vAlign w:val="center"/>
          </w:tcPr>
          <w:p w14:paraId="2A02F11E"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DE8E058"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lang w:val="fr-BE"/>
              </w:rPr>
              <w:t xml:space="preserve">Commission nationale de validation des projets et programmes </w:t>
            </w:r>
          </w:p>
        </w:tc>
      </w:tr>
      <w:tr w:rsidR="00EB703A" w:rsidRPr="00EB703A" w14:paraId="3BA9099B"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882AF25" w14:textId="77777777" w:rsidR="00EB703A" w:rsidRPr="00EB703A" w:rsidRDefault="00EB703A" w:rsidP="00EB703A">
            <w:pPr>
              <w:spacing w:after="0" w:line="240" w:lineRule="auto"/>
              <w:rPr>
                <w:rFonts w:eastAsia="Merriweather"/>
              </w:rPr>
            </w:pPr>
            <w:r w:rsidRPr="00EB703A">
              <w:rPr>
                <w:rFonts w:eastAsia="Merriweather" w:cs="Cambria"/>
                <w:color w:val="000000"/>
              </w:rPr>
              <w:t>CODESP</w:t>
            </w:r>
          </w:p>
        </w:tc>
        <w:tc>
          <w:tcPr>
            <w:tcW w:w="276" w:type="dxa"/>
            <w:vAlign w:val="center"/>
          </w:tcPr>
          <w:p w14:paraId="1885D1C5" w14:textId="24E53311"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0CD364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Cadre de concertation et d’orientation pour le dialogue Etat-Secteur privé</w:t>
            </w:r>
          </w:p>
        </w:tc>
      </w:tr>
      <w:tr w:rsidR="00EB703A" w:rsidRPr="00EB703A" w14:paraId="2860F7E3"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EE24CC8" w14:textId="77777777" w:rsidR="00EB703A" w:rsidRPr="00EB703A" w:rsidRDefault="00EB703A" w:rsidP="00EB703A">
            <w:pPr>
              <w:spacing w:after="0" w:line="240" w:lineRule="auto"/>
              <w:rPr>
                <w:rFonts w:eastAsia="Merriweather"/>
              </w:rPr>
            </w:pPr>
            <w:r w:rsidRPr="00EB703A">
              <w:rPr>
                <w:rFonts w:eastAsia="Merriweather" w:cs="Calibri"/>
                <w:color w:val="000000"/>
              </w:rPr>
              <w:t>CSD</w:t>
            </w:r>
          </w:p>
        </w:tc>
        <w:tc>
          <w:tcPr>
            <w:tcW w:w="276" w:type="dxa"/>
            <w:vAlign w:val="center"/>
          </w:tcPr>
          <w:p w14:paraId="2AA88DD1" w14:textId="69BE708E"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F5559C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Cadre sectoriel de dialogue</w:t>
            </w:r>
          </w:p>
        </w:tc>
      </w:tr>
      <w:tr w:rsidR="00EB703A" w:rsidRPr="00EB703A" w14:paraId="43E9C337"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B1290D7" w14:textId="77777777" w:rsidR="00EB703A" w:rsidRPr="00EB703A" w:rsidRDefault="00EB703A" w:rsidP="00EB703A">
            <w:pPr>
              <w:spacing w:after="0" w:line="240" w:lineRule="auto"/>
              <w:rPr>
                <w:rFonts w:eastAsia="Merriweather"/>
              </w:rPr>
            </w:pPr>
            <w:r w:rsidRPr="00EB703A">
              <w:rPr>
                <w:rFonts w:eastAsia="Merriweather" w:cs="Cambria"/>
                <w:color w:val="000000"/>
              </w:rPr>
              <w:t>CSM</w:t>
            </w:r>
          </w:p>
        </w:tc>
        <w:tc>
          <w:tcPr>
            <w:tcW w:w="276" w:type="dxa"/>
            <w:vAlign w:val="center"/>
          </w:tcPr>
          <w:p w14:paraId="024B45A0" w14:textId="23BB16C5"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CBAC379"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Commerce et services marchands</w:t>
            </w:r>
          </w:p>
        </w:tc>
      </w:tr>
      <w:tr w:rsidR="00EB703A" w:rsidRPr="00EB703A" w14:paraId="175EACD2"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9F2DFAE" w14:textId="77777777" w:rsidR="00EB703A" w:rsidRPr="00EB703A" w:rsidRDefault="00EB703A" w:rsidP="00EB703A">
            <w:pPr>
              <w:spacing w:after="0" w:line="240" w:lineRule="auto"/>
              <w:rPr>
                <w:rFonts w:eastAsia="Merriweather"/>
              </w:rPr>
            </w:pPr>
            <w:r w:rsidRPr="00EB703A">
              <w:rPr>
                <w:rFonts w:eastAsia="Merriweather" w:cs="Calibri"/>
                <w:color w:val="000000"/>
              </w:rPr>
              <w:t>CSPS</w:t>
            </w:r>
          </w:p>
        </w:tc>
        <w:tc>
          <w:tcPr>
            <w:tcW w:w="276" w:type="dxa"/>
            <w:vAlign w:val="center"/>
          </w:tcPr>
          <w:p w14:paraId="757C1A15" w14:textId="78D80E5F"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5018BD8"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Centre de santé et de promotion sociale</w:t>
            </w:r>
          </w:p>
        </w:tc>
      </w:tr>
      <w:tr w:rsidR="00EB703A" w:rsidRPr="00EB703A" w14:paraId="29D2F789"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618B57B" w14:textId="77777777" w:rsidR="00EB703A" w:rsidRPr="00EB703A" w:rsidRDefault="00EB703A" w:rsidP="00EB703A">
            <w:pPr>
              <w:spacing w:after="0" w:line="240" w:lineRule="auto"/>
              <w:rPr>
                <w:rFonts w:eastAsia="Merriweather"/>
              </w:rPr>
            </w:pPr>
            <w:r w:rsidRPr="00EB703A">
              <w:rPr>
                <w:rFonts w:eastAsia="Merriweather" w:cs="Calibri"/>
                <w:color w:val="000000"/>
              </w:rPr>
              <w:t>CTNCSST</w:t>
            </w:r>
          </w:p>
        </w:tc>
        <w:tc>
          <w:tcPr>
            <w:tcW w:w="276" w:type="dxa"/>
            <w:vAlign w:val="center"/>
          </w:tcPr>
          <w:p w14:paraId="1CF6E43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69DABC1"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Comité technique national consultatif de santé et sécurité au travail</w:t>
            </w:r>
          </w:p>
        </w:tc>
      </w:tr>
      <w:tr w:rsidR="00EB703A" w:rsidRPr="00EB703A" w14:paraId="03F0096A"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D6F163E" w14:textId="77777777" w:rsidR="00EB703A" w:rsidRPr="00EB703A" w:rsidRDefault="00EB703A" w:rsidP="00EB703A">
            <w:pPr>
              <w:spacing w:after="0" w:line="240" w:lineRule="auto"/>
              <w:rPr>
                <w:rFonts w:eastAsia="Merriweather"/>
              </w:rPr>
            </w:pPr>
            <w:r w:rsidRPr="00EB703A">
              <w:rPr>
                <w:rFonts w:eastAsia="Merriweather" w:cs="Cambria"/>
                <w:color w:val="000000"/>
              </w:rPr>
              <w:t>CTSL</w:t>
            </w:r>
          </w:p>
        </w:tc>
        <w:tc>
          <w:tcPr>
            <w:tcW w:w="276" w:type="dxa"/>
            <w:vAlign w:val="center"/>
          </w:tcPr>
          <w:p w14:paraId="49B50956" w14:textId="069C514E"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13406A7" w14:textId="128BB1F4"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Culture</w:t>
            </w:r>
            <w:r w:rsidR="00733CE8">
              <w:rPr>
                <w:rFonts w:eastAsia="Merriweather" w:cs="Cambria"/>
                <w:color w:val="000000"/>
              </w:rPr>
              <w:t>,</w:t>
            </w:r>
            <w:r w:rsidRPr="00EB703A">
              <w:rPr>
                <w:rFonts w:eastAsia="Merriweather" w:cs="Cambria"/>
                <w:color w:val="000000"/>
              </w:rPr>
              <w:t xml:space="preserve"> tourisme</w:t>
            </w:r>
            <w:r w:rsidR="00733CE8">
              <w:rPr>
                <w:rFonts w:eastAsia="Merriweather" w:cs="Cambria"/>
                <w:color w:val="000000"/>
              </w:rPr>
              <w:t>,</w:t>
            </w:r>
            <w:r w:rsidRPr="00EB703A">
              <w:rPr>
                <w:rFonts w:eastAsia="Merriweather" w:cs="Cambria"/>
                <w:color w:val="000000"/>
              </w:rPr>
              <w:t xml:space="preserve"> sport et loisir</w:t>
            </w:r>
          </w:p>
        </w:tc>
      </w:tr>
      <w:tr w:rsidR="00EB703A" w:rsidRPr="00EB703A" w14:paraId="6BAD3FB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AA5EBB2" w14:textId="77777777" w:rsidR="00EB703A" w:rsidRPr="00EB703A" w:rsidRDefault="00EB703A" w:rsidP="00EB703A">
            <w:pPr>
              <w:spacing w:after="0" w:line="240" w:lineRule="auto"/>
              <w:rPr>
                <w:rFonts w:eastAsia="Merriweather"/>
              </w:rPr>
            </w:pPr>
            <w:r w:rsidRPr="00EB703A">
              <w:rPr>
                <w:rFonts w:eastAsia="Merriweather" w:cs="Calibri"/>
                <w:color w:val="000000"/>
              </w:rPr>
              <w:t>DIN</w:t>
            </w:r>
          </w:p>
        </w:tc>
        <w:tc>
          <w:tcPr>
            <w:tcW w:w="276" w:type="dxa"/>
            <w:vAlign w:val="center"/>
          </w:tcPr>
          <w:p w14:paraId="3A4FCA61"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213C65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 xml:space="preserve">Dispensation individuelle nominative </w:t>
            </w:r>
          </w:p>
        </w:tc>
      </w:tr>
      <w:tr w:rsidR="00EB703A" w:rsidRPr="00EB703A" w14:paraId="21563D95"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07315B7" w14:textId="77777777" w:rsidR="00EB703A" w:rsidRPr="00EB703A" w:rsidRDefault="00EB703A" w:rsidP="00EB703A">
            <w:pPr>
              <w:spacing w:after="0" w:line="240" w:lineRule="auto"/>
              <w:rPr>
                <w:rFonts w:eastAsia="Merriweather"/>
              </w:rPr>
            </w:pPr>
            <w:proofErr w:type="spellStart"/>
            <w:r w:rsidRPr="00EB703A">
              <w:rPr>
                <w:rFonts w:eastAsia="Merriweather" w:cs="Cambria"/>
                <w:color w:val="000000"/>
              </w:rPr>
              <w:t>eCM</w:t>
            </w:r>
            <w:proofErr w:type="spellEnd"/>
          </w:p>
        </w:tc>
        <w:tc>
          <w:tcPr>
            <w:tcW w:w="276" w:type="dxa"/>
            <w:vAlign w:val="center"/>
          </w:tcPr>
          <w:p w14:paraId="0A15089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3F74D1D"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e-conseil des ministres</w:t>
            </w:r>
          </w:p>
        </w:tc>
      </w:tr>
      <w:tr w:rsidR="00EB703A" w:rsidRPr="00EB703A" w14:paraId="69CDC6B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4855420"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EEA</w:t>
            </w:r>
          </w:p>
        </w:tc>
        <w:tc>
          <w:tcPr>
            <w:tcW w:w="276" w:type="dxa"/>
            <w:vAlign w:val="center"/>
          </w:tcPr>
          <w:p w14:paraId="09F8FEAF" w14:textId="577C2AF8"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04F35C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Environnement, eau et assainissement</w:t>
            </w:r>
          </w:p>
        </w:tc>
      </w:tr>
      <w:tr w:rsidR="00EB703A" w:rsidRPr="00EB703A" w14:paraId="6E632CAB"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64E1F26"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EF</w:t>
            </w:r>
          </w:p>
        </w:tc>
        <w:tc>
          <w:tcPr>
            <w:tcW w:w="276" w:type="dxa"/>
            <w:vAlign w:val="center"/>
          </w:tcPr>
          <w:p w14:paraId="4E0DAA27" w14:textId="427887D2"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D45809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Education et formation</w:t>
            </w:r>
          </w:p>
        </w:tc>
      </w:tr>
      <w:tr w:rsidR="00EB703A" w:rsidRPr="00EB703A" w14:paraId="2B33A56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DB59A39"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EFTP</w:t>
            </w:r>
          </w:p>
        </w:tc>
        <w:tc>
          <w:tcPr>
            <w:tcW w:w="276" w:type="dxa"/>
            <w:vAlign w:val="center"/>
          </w:tcPr>
          <w:p w14:paraId="6AEA7185" w14:textId="5EC34740"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F11DC0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Enseignement et formation techniques et professionnels</w:t>
            </w:r>
          </w:p>
        </w:tc>
      </w:tr>
      <w:tr w:rsidR="00EB703A" w:rsidRPr="00EB703A" w14:paraId="6DFB6DAA"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75C5F17"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ENO</w:t>
            </w:r>
          </w:p>
        </w:tc>
        <w:tc>
          <w:tcPr>
            <w:tcW w:w="276" w:type="dxa"/>
            <w:vAlign w:val="center"/>
          </w:tcPr>
          <w:p w14:paraId="2DB8E1EE" w14:textId="797D9277"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8C02295"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Espace numérique ouvert </w:t>
            </w:r>
          </w:p>
        </w:tc>
      </w:tr>
      <w:tr w:rsidR="00EB703A" w:rsidRPr="00EB703A" w14:paraId="312237B1"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1AB1428"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ESU</w:t>
            </w:r>
          </w:p>
        </w:tc>
        <w:tc>
          <w:tcPr>
            <w:tcW w:w="276" w:type="dxa"/>
            <w:vAlign w:val="center"/>
          </w:tcPr>
          <w:p w14:paraId="7B31370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A198C25"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Education en situation d’urgence</w:t>
            </w:r>
          </w:p>
        </w:tc>
      </w:tr>
      <w:tr w:rsidR="00EB703A" w:rsidRPr="00EB703A" w14:paraId="4223E33F"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8BF4963"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lastRenderedPageBreak/>
              <w:t>ETA</w:t>
            </w:r>
          </w:p>
        </w:tc>
        <w:tc>
          <w:tcPr>
            <w:tcW w:w="276" w:type="dxa"/>
            <w:vAlign w:val="center"/>
          </w:tcPr>
          <w:p w14:paraId="2D6F046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1708A80E" w14:textId="4FF6298E"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Espace temporaire d’apprentissage </w:t>
            </w:r>
          </w:p>
        </w:tc>
      </w:tr>
      <w:tr w:rsidR="00EB703A" w:rsidRPr="00EB703A" w14:paraId="77428C73"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5D1D0A2"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FACE</w:t>
            </w:r>
          </w:p>
        </w:tc>
        <w:tc>
          <w:tcPr>
            <w:tcW w:w="276" w:type="dxa"/>
            <w:vAlign w:val="center"/>
          </w:tcPr>
          <w:p w14:paraId="0D3DD482"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80E4A3C"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Festivals des arts et de la culture de l’éducation</w:t>
            </w:r>
          </w:p>
        </w:tc>
      </w:tr>
      <w:tr w:rsidR="00EB703A" w:rsidRPr="00EB703A" w14:paraId="75C99028"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F1321DF" w14:textId="77777777" w:rsidR="00EB703A" w:rsidRPr="00EB703A" w:rsidRDefault="00EB703A" w:rsidP="00EB703A">
            <w:pPr>
              <w:spacing w:after="0" w:line="240" w:lineRule="auto"/>
              <w:rPr>
                <w:rFonts w:eastAsia="Merriweather"/>
                <w:highlight w:val="white"/>
              </w:rPr>
            </w:pPr>
            <w:r w:rsidRPr="00EB703A">
              <w:rPr>
                <w:rFonts w:eastAsia="Merriweather" w:cs="Arial"/>
                <w:color w:val="000000"/>
              </w:rPr>
              <w:t>FAIJ</w:t>
            </w:r>
          </w:p>
        </w:tc>
        <w:tc>
          <w:tcPr>
            <w:tcW w:w="276" w:type="dxa"/>
            <w:vAlign w:val="center"/>
          </w:tcPr>
          <w:p w14:paraId="2C0738D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C1D2963"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Fonds d’appui aux initiatives des jeunes</w:t>
            </w:r>
          </w:p>
        </w:tc>
      </w:tr>
      <w:tr w:rsidR="00EB703A" w:rsidRPr="00EB703A" w14:paraId="1A918427"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0AC3C86" w14:textId="77777777" w:rsidR="00EB703A" w:rsidRPr="00EB703A" w:rsidRDefault="00EB703A" w:rsidP="00EB703A">
            <w:pPr>
              <w:spacing w:after="0" w:line="240" w:lineRule="auto"/>
              <w:rPr>
                <w:rFonts w:eastAsia="Merriweather"/>
                <w:highlight w:val="white"/>
              </w:rPr>
            </w:pPr>
            <w:r w:rsidRPr="00EB703A">
              <w:rPr>
                <w:rFonts w:eastAsia="Merriweather" w:cs="Arial"/>
                <w:color w:val="000000"/>
              </w:rPr>
              <w:t>FAPE</w:t>
            </w:r>
          </w:p>
        </w:tc>
        <w:tc>
          <w:tcPr>
            <w:tcW w:w="276" w:type="dxa"/>
            <w:vAlign w:val="center"/>
          </w:tcPr>
          <w:p w14:paraId="7A9AD36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0ACA70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Fonds d’appui à la promotion de l’emploi</w:t>
            </w:r>
          </w:p>
        </w:tc>
      </w:tr>
      <w:tr w:rsidR="00EB703A" w:rsidRPr="00EB703A" w14:paraId="6BBF3140"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B878B42" w14:textId="77777777" w:rsidR="00EB703A" w:rsidRPr="00EB703A" w:rsidRDefault="00EB703A" w:rsidP="00EB703A">
            <w:pPr>
              <w:spacing w:after="0" w:line="240" w:lineRule="auto"/>
              <w:rPr>
                <w:rFonts w:eastAsia="Merriweather"/>
                <w:highlight w:val="white"/>
              </w:rPr>
            </w:pPr>
            <w:r w:rsidRPr="00EB703A">
              <w:rPr>
                <w:rFonts w:eastAsia="Merriweather" w:cs="Arial"/>
                <w:color w:val="000000"/>
              </w:rPr>
              <w:t>FASI</w:t>
            </w:r>
          </w:p>
        </w:tc>
        <w:tc>
          <w:tcPr>
            <w:tcW w:w="276" w:type="dxa"/>
            <w:vAlign w:val="center"/>
          </w:tcPr>
          <w:p w14:paraId="79F63A9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7631B37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Fonds d’appui au secteur informel</w:t>
            </w:r>
          </w:p>
        </w:tc>
      </w:tr>
      <w:tr w:rsidR="00EB703A" w:rsidRPr="00EB703A" w14:paraId="5001FE1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0D14DAD"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FCFA</w:t>
            </w:r>
          </w:p>
        </w:tc>
        <w:tc>
          <w:tcPr>
            <w:tcW w:w="276" w:type="dxa"/>
            <w:vAlign w:val="center"/>
          </w:tcPr>
          <w:p w14:paraId="189DAF35"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457310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Franc de la communauté financière d’Afrique</w:t>
            </w:r>
          </w:p>
        </w:tc>
      </w:tr>
      <w:tr w:rsidR="00EB703A" w:rsidRPr="00EB703A" w14:paraId="52E0EEA8"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77E8D80"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FDCT</w:t>
            </w:r>
          </w:p>
        </w:tc>
        <w:tc>
          <w:tcPr>
            <w:tcW w:w="276" w:type="dxa"/>
            <w:vAlign w:val="center"/>
          </w:tcPr>
          <w:p w14:paraId="4D076814"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030956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Fonds de développement culturel et touristique</w:t>
            </w:r>
          </w:p>
        </w:tc>
      </w:tr>
      <w:tr w:rsidR="00EB703A" w:rsidRPr="00EB703A" w14:paraId="6DBA2998"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A307322"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FESTIMA</w:t>
            </w:r>
          </w:p>
        </w:tc>
        <w:tc>
          <w:tcPr>
            <w:tcW w:w="276" w:type="dxa"/>
            <w:vAlign w:val="center"/>
          </w:tcPr>
          <w:p w14:paraId="4FBD997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7B6752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Festival international des masques et des arts de Dédougou</w:t>
            </w:r>
          </w:p>
        </w:tc>
      </w:tr>
      <w:tr w:rsidR="00EB703A" w:rsidRPr="00EB703A" w14:paraId="6D43D695"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9DA9BCA"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FIUE-BF</w:t>
            </w:r>
          </w:p>
        </w:tc>
        <w:tc>
          <w:tcPr>
            <w:tcW w:w="276" w:type="dxa"/>
            <w:vAlign w:val="center"/>
          </w:tcPr>
          <w:p w14:paraId="729759B0" w14:textId="6459F381"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358B5D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Fichier d’identification unique des élèves du Burkina Faso </w:t>
            </w:r>
          </w:p>
        </w:tc>
      </w:tr>
      <w:tr w:rsidR="00EB703A" w:rsidRPr="00EB703A" w14:paraId="361F4546"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E8C1327"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FMI</w:t>
            </w:r>
          </w:p>
        </w:tc>
        <w:tc>
          <w:tcPr>
            <w:tcW w:w="276" w:type="dxa"/>
            <w:vAlign w:val="center"/>
          </w:tcPr>
          <w:p w14:paraId="3EC7B74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ECEFF2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Fonds monétaire international</w:t>
            </w:r>
          </w:p>
        </w:tc>
      </w:tr>
      <w:tr w:rsidR="00EB703A" w:rsidRPr="00EB703A" w14:paraId="4C6BD7FE"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8B15A8E"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FRE</w:t>
            </w:r>
          </w:p>
        </w:tc>
        <w:tc>
          <w:tcPr>
            <w:tcW w:w="276" w:type="dxa"/>
            <w:vAlign w:val="center"/>
          </w:tcPr>
          <w:p w14:paraId="76EBE86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33FAA0F"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Fonds de restructuration des entreprises</w:t>
            </w:r>
          </w:p>
        </w:tc>
      </w:tr>
      <w:tr w:rsidR="00EB703A" w:rsidRPr="00EB703A" w14:paraId="443817E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049FD3E"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HPV</w:t>
            </w:r>
          </w:p>
        </w:tc>
        <w:tc>
          <w:tcPr>
            <w:tcW w:w="276" w:type="dxa"/>
            <w:vAlign w:val="center"/>
          </w:tcPr>
          <w:p w14:paraId="118528CA" w14:textId="0BA427CB"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C7A8B2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proofErr w:type="spellStart"/>
            <w:r w:rsidRPr="00EB703A">
              <w:rPr>
                <w:rFonts w:eastAsia="Merriweather" w:cs="Calibri"/>
                <w:color w:val="000000"/>
              </w:rPr>
              <w:t>Human</w:t>
            </w:r>
            <w:proofErr w:type="spellEnd"/>
            <w:r w:rsidRPr="00EB703A">
              <w:rPr>
                <w:rFonts w:eastAsia="Merriweather" w:cs="Calibri"/>
                <w:color w:val="000000"/>
              </w:rPr>
              <w:t xml:space="preserve"> papillomavirus </w:t>
            </w:r>
          </w:p>
        </w:tc>
      </w:tr>
      <w:tr w:rsidR="00EB703A" w:rsidRPr="00EB703A" w14:paraId="01A89EDE"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6F8D0A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IESR</w:t>
            </w:r>
          </w:p>
        </w:tc>
        <w:tc>
          <w:tcPr>
            <w:tcW w:w="276" w:type="dxa"/>
            <w:vAlign w:val="center"/>
          </w:tcPr>
          <w:p w14:paraId="02688BAE"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7FC347D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Institut d’enseignement supérieur et de  recherche</w:t>
            </w:r>
          </w:p>
        </w:tc>
      </w:tr>
      <w:tr w:rsidR="00EB703A" w:rsidRPr="00EB703A" w14:paraId="43C247B1"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CE349E5"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IRCP</w:t>
            </w:r>
          </w:p>
        </w:tc>
        <w:tc>
          <w:tcPr>
            <w:tcW w:w="276" w:type="dxa"/>
            <w:vAlign w:val="center"/>
          </w:tcPr>
          <w:p w14:paraId="7696A63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C7370F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Initiative de renforcements des capacités productives</w:t>
            </w:r>
          </w:p>
        </w:tc>
      </w:tr>
      <w:tr w:rsidR="00EB703A" w:rsidRPr="00EB703A" w14:paraId="4D38617A"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F452A78"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ITCH</w:t>
            </w:r>
          </w:p>
        </w:tc>
        <w:tc>
          <w:tcPr>
            <w:tcW w:w="276" w:type="dxa"/>
            <w:vAlign w:val="center"/>
          </w:tcPr>
          <w:p w14:paraId="6B7AF6E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75F471F"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Infrastructure de transport, de communication et d’habitat</w:t>
            </w:r>
          </w:p>
        </w:tc>
      </w:tr>
      <w:tr w:rsidR="00EB703A" w:rsidRPr="00EB703A" w14:paraId="255FBF0E"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70070C5"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JCFA</w:t>
            </w:r>
          </w:p>
        </w:tc>
        <w:tc>
          <w:tcPr>
            <w:tcW w:w="276" w:type="dxa"/>
            <w:vAlign w:val="center"/>
          </w:tcPr>
          <w:p w14:paraId="36F2FB2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29ABD6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Journées cinématographiques de la femme africaine</w:t>
            </w:r>
          </w:p>
        </w:tc>
      </w:tr>
      <w:tr w:rsidR="00EB703A" w:rsidRPr="00EB703A" w14:paraId="17395FB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53131E2"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MEFP</w:t>
            </w:r>
          </w:p>
        </w:tc>
        <w:tc>
          <w:tcPr>
            <w:tcW w:w="276" w:type="dxa"/>
            <w:vAlign w:val="center"/>
          </w:tcPr>
          <w:p w14:paraId="2B5394FA" w14:textId="13490EAA"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087078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Ministère de l’Economie, des Finances et de la Prospective</w:t>
            </w:r>
          </w:p>
        </w:tc>
      </w:tr>
      <w:tr w:rsidR="00EB703A" w:rsidRPr="00EB703A" w14:paraId="438C74D6"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F1927B4"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MESRI</w:t>
            </w:r>
          </w:p>
        </w:tc>
        <w:tc>
          <w:tcPr>
            <w:tcW w:w="276" w:type="dxa"/>
            <w:vAlign w:val="center"/>
          </w:tcPr>
          <w:p w14:paraId="5314D76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198F21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Ministère de l'Enseignement supérieur, de la Recherche et de l'Innovation</w:t>
            </w:r>
          </w:p>
        </w:tc>
      </w:tr>
      <w:tr w:rsidR="00EB703A" w:rsidRPr="00EB703A" w14:paraId="641CDBDE"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E6B01B7"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MFPTPS</w:t>
            </w:r>
          </w:p>
        </w:tc>
        <w:tc>
          <w:tcPr>
            <w:tcW w:w="276" w:type="dxa"/>
            <w:vAlign w:val="center"/>
          </w:tcPr>
          <w:p w14:paraId="6A2DD0B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7AAD4429" w14:textId="18A93214"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Ministère de la </w:t>
            </w:r>
            <w:r w:rsidR="00733CE8">
              <w:rPr>
                <w:rFonts w:eastAsia="Merriweather" w:cs="Calibri"/>
                <w:color w:val="000000"/>
              </w:rPr>
              <w:t>F</w:t>
            </w:r>
            <w:r w:rsidRPr="00EB703A">
              <w:rPr>
                <w:rFonts w:eastAsia="Merriweather" w:cs="Calibri"/>
                <w:color w:val="000000"/>
              </w:rPr>
              <w:t>onction publique</w:t>
            </w:r>
            <w:r w:rsidR="00733CE8">
              <w:rPr>
                <w:rFonts w:eastAsia="Merriweather" w:cs="Calibri"/>
                <w:color w:val="000000"/>
              </w:rPr>
              <w:t>,</w:t>
            </w:r>
            <w:r w:rsidRPr="00EB703A">
              <w:rPr>
                <w:rFonts w:eastAsia="Merriweather" w:cs="Calibri"/>
                <w:color w:val="000000"/>
              </w:rPr>
              <w:t xml:space="preserve"> du </w:t>
            </w:r>
            <w:r w:rsidR="00733CE8">
              <w:rPr>
                <w:rFonts w:eastAsia="Merriweather" w:cs="Calibri"/>
                <w:color w:val="000000"/>
              </w:rPr>
              <w:t>T</w:t>
            </w:r>
            <w:r w:rsidRPr="00EB703A">
              <w:rPr>
                <w:rFonts w:eastAsia="Merriweather" w:cs="Calibri"/>
                <w:color w:val="000000"/>
              </w:rPr>
              <w:t xml:space="preserve">ravail et de la </w:t>
            </w:r>
            <w:r w:rsidR="00733CE8">
              <w:rPr>
                <w:rFonts w:eastAsia="Merriweather" w:cs="Calibri"/>
                <w:color w:val="000000"/>
              </w:rPr>
              <w:t>P</w:t>
            </w:r>
            <w:r w:rsidRPr="00EB703A">
              <w:rPr>
                <w:rFonts w:eastAsia="Merriweather" w:cs="Calibri"/>
                <w:color w:val="000000"/>
              </w:rPr>
              <w:t>rotection sociale</w:t>
            </w:r>
          </w:p>
        </w:tc>
      </w:tr>
      <w:tr w:rsidR="00EB703A" w:rsidRPr="00EB703A" w14:paraId="7419BBC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22BC0F8"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MNC</w:t>
            </w:r>
          </w:p>
        </w:tc>
        <w:tc>
          <w:tcPr>
            <w:tcW w:w="276" w:type="dxa"/>
            <w:vAlign w:val="center"/>
          </w:tcPr>
          <w:p w14:paraId="2396C47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9FB989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Maladie de Newcastle</w:t>
            </w:r>
          </w:p>
        </w:tc>
      </w:tr>
      <w:tr w:rsidR="00EB703A" w:rsidRPr="00EB703A" w14:paraId="2FC1058F"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A44F8B1"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MOD</w:t>
            </w:r>
          </w:p>
        </w:tc>
        <w:tc>
          <w:tcPr>
            <w:tcW w:w="276" w:type="dxa"/>
            <w:vAlign w:val="center"/>
          </w:tcPr>
          <w:p w14:paraId="6305517A"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 xml:space="preserve"> </w:t>
            </w:r>
          </w:p>
        </w:tc>
        <w:tc>
          <w:tcPr>
            <w:tcW w:w="6630" w:type="dxa"/>
            <w:tcBorders>
              <w:right w:val="single" w:sz="4" w:space="0" w:color="auto"/>
            </w:tcBorders>
            <w:vAlign w:val="center"/>
          </w:tcPr>
          <w:p w14:paraId="5E13917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Maîtrise d’ouvrage déléguée</w:t>
            </w:r>
          </w:p>
        </w:tc>
      </w:tr>
      <w:tr w:rsidR="00EB703A" w:rsidRPr="00EB703A" w14:paraId="4DD9B41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AFF0BAE"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MOU</w:t>
            </w:r>
          </w:p>
        </w:tc>
        <w:tc>
          <w:tcPr>
            <w:tcW w:w="276" w:type="dxa"/>
            <w:vAlign w:val="center"/>
          </w:tcPr>
          <w:p w14:paraId="456FC5B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BFFC29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Mémorandums d’entente</w:t>
            </w:r>
          </w:p>
        </w:tc>
      </w:tr>
      <w:tr w:rsidR="00EB703A" w:rsidRPr="00EB703A" w14:paraId="3C18A6A3"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3DD981D"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MSJE</w:t>
            </w:r>
          </w:p>
        </w:tc>
        <w:tc>
          <w:tcPr>
            <w:tcW w:w="276" w:type="dxa"/>
            <w:vAlign w:val="center"/>
          </w:tcPr>
          <w:p w14:paraId="5721634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6E9A2D5"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Ministère des Sports, de la Jeunesse et de l’Emploi</w:t>
            </w:r>
          </w:p>
        </w:tc>
      </w:tr>
      <w:tr w:rsidR="00EB703A" w:rsidRPr="00EB703A" w14:paraId="6BB11CF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8BD8C37"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MTMUSR</w:t>
            </w:r>
          </w:p>
        </w:tc>
        <w:tc>
          <w:tcPr>
            <w:tcW w:w="276" w:type="dxa"/>
            <w:vAlign w:val="center"/>
          </w:tcPr>
          <w:p w14:paraId="3AB8DB05"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0B71BC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Ministère des Transports, de la Mobilité urbaine et de la Sécurité routière</w:t>
            </w:r>
          </w:p>
        </w:tc>
      </w:tr>
      <w:tr w:rsidR="00EB703A" w:rsidRPr="00EB703A" w14:paraId="7C896E8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4B05B97"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MUAFH</w:t>
            </w:r>
          </w:p>
        </w:tc>
        <w:tc>
          <w:tcPr>
            <w:tcW w:w="276" w:type="dxa"/>
            <w:vAlign w:val="center"/>
          </w:tcPr>
          <w:p w14:paraId="7CB66414" w14:textId="660B6A92"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C2A444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 xml:space="preserve">Ministère de l’Urbanisme, des Affaires foncières et de l’Habitat </w:t>
            </w:r>
          </w:p>
        </w:tc>
      </w:tr>
      <w:tr w:rsidR="00EB703A" w:rsidRPr="00EB703A" w14:paraId="21E3073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F61B65D"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NA</w:t>
            </w:r>
          </w:p>
        </w:tc>
        <w:tc>
          <w:tcPr>
            <w:tcW w:w="276" w:type="dxa"/>
            <w:vAlign w:val="center"/>
          </w:tcPr>
          <w:p w14:paraId="229DE3B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E363D8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Sécurité routière</w:t>
            </w:r>
          </w:p>
        </w:tc>
      </w:tr>
      <w:tr w:rsidR="00EB703A" w:rsidRPr="00EB703A" w14:paraId="2F599ED7"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D97772F"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NBF</w:t>
            </w:r>
          </w:p>
        </w:tc>
        <w:tc>
          <w:tcPr>
            <w:tcW w:w="276" w:type="dxa"/>
            <w:vAlign w:val="center"/>
          </w:tcPr>
          <w:p w14:paraId="56C40922"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99F4CFF"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Norme Burkina Faso</w:t>
            </w:r>
          </w:p>
        </w:tc>
      </w:tr>
      <w:tr w:rsidR="00EB703A" w:rsidRPr="00EB703A" w14:paraId="62D61724"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C2F6D88"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ND</w:t>
            </w:r>
          </w:p>
        </w:tc>
        <w:tc>
          <w:tcPr>
            <w:tcW w:w="276" w:type="dxa"/>
            <w:vAlign w:val="center"/>
          </w:tcPr>
          <w:p w14:paraId="6289C28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9F9E51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Non disponible</w:t>
            </w:r>
          </w:p>
        </w:tc>
      </w:tr>
      <w:tr w:rsidR="00EB703A" w:rsidRPr="00EB703A" w14:paraId="13F9A6D7"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BD05D76"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OHADA </w:t>
            </w:r>
          </w:p>
        </w:tc>
        <w:tc>
          <w:tcPr>
            <w:tcW w:w="276" w:type="dxa"/>
            <w:vAlign w:val="center"/>
          </w:tcPr>
          <w:p w14:paraId="039E638B" w14:textId="33701979"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E5D7FB8"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Organisation pour l'harmonisation en Afrique du droit des affaires</w:t>
            </w:r>
          </w:p>
        </w:tc>
      </w:tr>
      <w:tr w:rsidR="00EB703A" w:rsidRPr="00EB703A" w14:paraId="0D6BBA69"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B823648"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ONG/AD</w:t>
            </w:r>
          </w:p>
        </w:tc>
        <w:tc>
          <w:tcPr>
            <w:tcW w:w="276" w:type="dxa"/>
            <w:vAlign w:val="center"/>
          </w:tcPr>
          <w:p w14:paraId="7D69607D" w14:textId="3DE41368"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EA790D2" w14:textId="2DF2E4E9"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Organisations non gouvernementales/</w:t>
            </w:r>
            <w:r w:rsidR="00733CE8">
              <w:rPr>
                <w:rFonts w:eastAsia="Merriweather" w:cs="Calibri"/>
                <w:color w:val="000000"/>
              </w:rPr>
              <w:t>A</w:t>
            </w:r>
            <w:r w:rsidRPr="00EB703A">
              <w:rPr>
                <w:rFonts w:eastAsia="Merriweather" w:cs="Calibri"/>
                <w:color w:val="000000"/>
              </w:rPr>
              <w:t>ssociations de développement</w:t>
            </w:r>
          </w:p>
        </w:tc>
      </w:tr>
      <w:tr w:rsidR="00EB703A" w:rsidRPr="00EB703A" w14:paraId="33A26611"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8DAF3C1"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PACAO</w:t>
            </w:r>
          </w:p>
        </w:tc>
        <w:tc>
          <w:tcPr>
            <w:tcW w:w="276" w:type="dxa"/>
            <w:vAlign w:val="center"/>
          </w:tcPr>
          <w:p w14:paraId="02C63A5D"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9B9B005"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Programme d’appui à la compétitivité de l’Afrique de l’Ouest</w:t>
            </w:r>
          </w:p>
        </w:tc>
      </w:tr>
      <w:tr w:rsidR="00EB703A" w:rsidRPr="00EB703A" w14:paraId="5BDE8DFA"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8327820"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PAEA</w:t>
            </w:r>
          </w:p>
        </w:tc>
        <w:tc>
          <w:tcPr>
            <w:tcW w:w="276" w:type="dxa"/>
            <w:vAlign w:val="center"/>
          </w:tcPr>
          <w:p w14:paraId="43374C0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3B6CE6C9" w14:textId="3878216A"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Programme d’</w:t>
            </w:r>
            <w:r w:rsidR="00733CE8">
              <w:rPr>
                <w:rFonts w:eastAsia="Merriweather" w:cs="Calibri"/>
                <w:color w:val="000000"/>
              </w:rPr>
              <w:t>a</w:t>
            </w:r>
            <w:r w:rsidRPr="00EB703A">
              <w:rPr>
                <w:rFonts w:eastAsia="Merriweather" w:cs="Calibri"/>
                <w:color w:val="000000"/>
              </w:rPr>
              <w:t xml:space="preserve">pprovisionnement en </w:t>
            </w:r>
            <w:r w:rsidR="00733CE8">
              <w:rPr>
                <w:rFonts w:eastAsia="Merriweather" w:cs="Calibri"/>
                <w:color w:val="000000"/>
              </w:rPr>
              <w:t>e</w:t>
            </w:r>
            <w:r w:rsidRPr="00EB703A">
              <w:rPr>
                <w:rFonts w:eastAsia="Merriweather" w:cs="Calibri"/>
                <w:color w:val="000000"/>
              </w:rPr>
              <w:t>au et d’</w:t>
            </w:r>
            <w:r w:rsidR="00733CE8">
              <w:rPr>
                <w:rFonts w:eastAsia="Merriweather" w:cs="Calibri"/>
                <w:color w:val="000000"/>
              </w:rPr>
              <w:t>a</w:t>
            </w:r>
            <w:r w:rsidRPr="00EB703A">
              <w:rPr>
                <w:rFonts w:eastAsia="Merriweather" w:cs="Calibri"/>
                <w:color w:val="000000"/>
              </w:rPr>
              <w:t xml:space="preserve">ssainissement </w:t>
            </w:r>
          </w:p>
        </w:tc>
      </w:tr>
      <w:tr w:rsidR="00EB703A" w:rsidRPr="00EB703A" w14:paraId="0872D85E"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3F98B50"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PAMPV</w:t>
            </w:r>
          </w:p>
        </w:tc>
        <w:tc>
          <w:tcPr>
            <w:tcW w:w="276" w:type="dxa"/>
            <w:vAlign w:val="center"/>
          </w:tcPr>
          <w:p w14:paraId="17622739" w14:textId="14E93932"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B87812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Programme d’autonomisation des ménages pauvres et vulnérables</w:t>
            </w:r>
          </w:p>
        </w:tc>
      </w:tr>
      <w:tr w:rsidR="00EB703A" w:rsidRPr="00EB703A" w14:paraId="07BC7BA8"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8E332CA"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PANI/FPS)</w:t>
            </w:r>
          </w:p>
        </w:tc>
        <w:tc>
          <w:tcPr>
            <w:tcW w:w="276" w:type="dxa"/>
            <w:vAlign w:val="center"/>
          </w:tcPr>
          <w:p w14:paraId="7F204266" w14:textId="070F2E7D"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3A04D2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Plan d’actions national intégré de l’agenda femmes paix et sécurité</w:t>
            </w:r>
          </w:p>
        </w:tc>
      </w:tr>
      <w:tr w:rsidR="00EB703A" w:rsidRPr="00EB703A" w14:paraId="0E560821"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4E08F2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PAO</w:t>
            </w:r>
          </w:p>
        </w:tc>
        <w:tc>
          <w:tcPr>
            <w:tcW w:w="276" w:type="dxa"/>
            <w:vAlign w:val="center"/>
          </w:tcPr>
          <w:p w14:paraId="15DFE08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8B6227E"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Plan d’action opérationnel</w:t>
            </w:r>
          </w:p>
        </w:tc>
      </w:tr>
      <w:tr w:rsidR="00EB703A" w:rsidRPr="00EB703A" w14:paraId="0856B075"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58290FD"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PA-SD</w:t>
            </w:r>
          </w:p>
        </w:tc>
        <w:tc>
          <w:tcPr>
            <w:tcW w:w="276" w:type="dxa"/>
            <w:vAlign w:val="center"/>
          </w:tcPr>
          <w:p w14:paraId="4D00F9D3"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97CEB2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Plan d’action pour la stabilisation et le développement</w:t>
            </w:r>
          </w:p>
        </w:tc>
      </w:tr>
      <w:tr w:rsidR="00EB703A" w:rsidRPr="00EB703A" w14:paraId="79AE4C0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0BC3832"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PASP</w:t>
            </w:r>
          </w:p>
        </w:tc>
        <w:tc>
          <w:tcPr>
            <w:tcW w:w="276" w:type="dxa"/>
            <w:vAlign w:val="center"/>
          </w:tcPr>
          <w:p w14:paraId="4FC498C6"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425D02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Production agro-</w:t>
            </w:r>
            <w:proofErr w:type="spellStart"/>
            <w:r w:rsidRPr="00EB703A">
              <w:rPr>
                <w:rFonts w:eastAsia="Merriweather" w:cs="Cambria"/>
                <w:color w:val="000000"/>
              </w:rPr>
              <w:t>sylvo</w:t>
            </w:r>
            <w:proofErr w:type="spellEnd"/>
            <w:r w:rsidRPr="00EB703A">
              <w:rPr>
                <w:rFonts w:eastAsia="Merriweather" w:cs="Cambria"/>
                <w:color w:val="000000"/>
              </w:rPr>
              <w:t>-pastorale</w:t>
            </w:r>
          </w:p>
        </w:tc>
      </w:tr>
      <w:tr w:rsidR="00EB703A" w:rsidRPr="00EB703A" w14:paraId="5AD479CF"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EA720FA"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PDI</w:t>
            </w:r>
          </w:p>
        </w:tc>
        <w:tc>
          <w:tcPr>
            <w:tcW w:w="276" w:type="dxa"/>
            <w:vAlign w:val="center"/>
          </w:tcPr>
          <w:p w14:paraId="5CA8E378" w14:textId="5425B3FE"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62B6BD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 xml:space="preserve">Personnes déplacées internes </w:t>
            </w:r>
          </w:p>
        </w:tc>
      </w:tr>
      <w:tr w:rsidR="00EB703A" w:rsidRPr="00EB703A" w14:paraId="1164BDB8"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451D337"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PEA</w:t>
            </w:r>
          </w:p>
        </w:tc>
        <w:tc>
          <w:tcPr>
            <w:tcW w:w="276" w:type="dxa"/>
            <w:vAlign w:val="center"/>
          </w:tcPr>
          <w:p w14:paraId="7220B6B9" w14:textId="347582A5"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C0EDDED" w14:textId="4604C7C0"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Po</w:t>
            </w:r>
            <w:r w:rsidR="00733CE8">
              <w:rPr>
                <w:rFonts w:eastAsia="Merriweather" w:cs="Calibri"/>
                <w:color w:val="000000"/>
              </w:rPr>
              <w:t>ste</w:t>
            </w:r>
            <w:r w:rsidRPr="00EB703A">
              <w:rPr>
                <w:rFonts w:eastAsia="Merriweather" w:cs="Calibri"/>
                <w:color w:val="000000"/>
              </w:rPr>
              <w:t xml:space="preserve"> d’eau autonome</w:t>
            </w:r>
          </w:p>
        </w:tc>
      </w:tr>
      <w:tr w:rsidR="00EB703A" w:rsidRPr="00EB703A" w14:paraId="0AF73917"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0CEEF9E"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PF</w:t>
            </w:r>
          </w:p>
        </w:tc>
        <w:tc>
          <w:tcPr>
            <w:tcW w:w="276" w:type="dxa"/>
            <w:vAlign w:val="center"/>
          </w:tcPr>
          <w:p w14:paraId="7DCB6DF1" w14:textId="73AD4A1D"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045A5D3"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 xml:space="preserve">Planification familiale </w:t>
            </w:r>
          </w:p>
        </w:tc>
      </w:tr>
      <w:tr w:rsidR="00EB703A" w:rsidRPr="00EB703A" w14:paraId="4BA9320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955EBFE"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PFNL</w:t>
            </w:r>
          </w:p>
        </w:tc>
        <w:tc>
          <w:tcPr>
            <w:tcW w:w="276" w:type="dxa"/>
            <w:vAlign w:val="center"/>
          </w:tcPr>
          <w:p w14:paraId="004B3FD1"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1DBE33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Produit forestier non ligneux</w:t>
            </w:r>
          </w:p>
        </w:tc>
      </w:tr>
      <w:tr w:rsidR="00EB703A" w:rsidRPr="00EB703A" w14:paraId="074BDEC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4F094AD"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PGES</w:t>
            </w:r>
          </w:p>
        </w:tc>
        <w:tc>
          <w:tcPr>
            <w:tcW w:w="276" w:type="dxa"/>
            <w:vAlign w:val="center"/>
          </w:tcPr>
          <w:p w14:paraId="0C8486C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333DA55"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Plan de gestion environnementale et sociale</w:t>
            </w:r>
          </w:p>
        </w:tc>
      </w:tr>
      <w:tr w:rsidR="00EB703A" w:rsidRPr="00EB703A" w14:paraId="62AC8B67"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4AD267F"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lastRenderedPageBreak/>
              <w:t>PIB</w:t>
            </w:r>
          </w:p>
        </w:tc>
        <w:tc>
          <w:tcPr>
            <w:tcW w:w="276" w:type="dxa"/>
            <w:vAlign w:val="center"/>
          </w:tcPr>
          <w:p w14:paraId="01AA9934"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8C402D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Produit intérieur brut</w:t>
            </w:r>
          </w:p>
        </w:tc>
      </w:tr>
      <w:tr w:rsidR="00EB703A" w:rsidRPr="00EB703A" w14:paraId="40AF201E"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E72F793"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PME/PMI </w:t>
            </w:r>
          </w:p>
        </w:tc>
        <w:tc>
          <w:tcPr>
            <w:tcW w:w="276" w:type="dxa"/>
            <w:vAlign w:val="center"/>
          </w:tcPr>
          <w:p w14:paraId="0B90A15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68A3F67"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Petite et moyenne entreprise / Petite et moyenne industrie</w:t>
            </w:r>
          </w:p>
        </w:tc>
      </w:tr>
      <w:tr w:rsidR="00EB703A" w:rsidRPr="00EB703A" w14:paraId="119DB4F5"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970069A"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PMH</w:t>
            </w:r>
          </w:p>
        </w:tc>
        <w:tc>
          <w:tcPr>
            <w:tcW w:w="276" w:type="dxa"/>
            <w:vAlign w:val="center"/>
          </w:tcPr>
          <w:p w14:paraId="79BA046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7047E80A"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Pompe à motricité humaine</w:t>
            </w:r>
          </w:p>
        </w:tc>
      </w:tr>
      <w:tr w:rsidR="00EB703A" w:rsidRPr="00EB703A" w14:paraId="7043DD9F"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A33CF14"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PMUGO</w:t>
            </w:r>
          </w:p>
        </w:tc>
        <w:tc>
          <w:tcPr>
            <w:tcW w:w="276" w:type="dxa"/>
            <w:vAlign w:val="center"/>
          </w:tcPr>
          <w:p w14:paraId="609C1552"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EEAC992"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Projet de mobilité du Grand Ouaga</w:t>
            </w:r>
          </w:p>
        </w:tc>
      </w:tr>
      <w:tr w:rsidR="00EB703A" w:rsidRPr="00EB703A" w14:paraId="442EC3A4"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69A191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lang w:val="fr-BE"/>
              </w:rPr>
              <w:t>PNCL</w:t>
            </w:r>
          </w:p>
        </w:tc>
        <w:tc>
          <w:tcPr>
            <w:tcW w:w="276" w:type="dxa"/>
            <w:vAlign w:val="center"/>
          </w:tcPr>
          <w:p w14:paraId="10C08835"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536037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lang w:val="fr-BE"/>
              </w:rPr>
              <w:t xml:space="preserve">Programme national de construction de logements </w:t>
            </w:r>
          </w:p>
        </w:tc>
      </w:tr>
      <w:tr w:rsidR="00EB703A" w:rsidRPr="00EB703A" w14:paraId="3250A9BA"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1145041"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PND</w:t>
            </w:r>
          </w:p>
        </w:tc>
        <w:tc>
          <w:tcPr>
            <w:tcW w:w="276" w:type="dxa"/>
            <w:vAlign w:val="center"/>
          </w:tcPr>
          <w:p w14:paraId="1357BA1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78B9E9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Politique nationale de développement</w:t>
            </w:r>
          </w:p>
        </w:tc>
      </w:tr>
      <w:tr w:rsidR="00EB703A" w:rsidRPr="00EB703A" w14:paraId="6DE38908"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5B8C235A"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PPCB</w:t>
            </w:r>
          </w:p>
        </w:tc>
        <w:tc>
          <w:tcPr>
            <w:tcW w:w="276" w:type="dxa"/>
            <w:vAlign w:val="center"/>
          </w:tcPr>
          <w:p w14:paraId="2A352B48"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4CA3F19"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Péripneumonie contagieuse bovine</w:t>
            </w:r>
          </w:p>
        </w:tc>
      </w:tr>
      <w:tr w:rsidR="00EB703A" w:rsidRPr="00EB703A" w14:paraId="67A211D6"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D0CE7C6"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PPR</w:t>
            </w:r>
          </w:p>
        </w:tc>
        <w:tc>
          <w:tcPr>
            <w:tcW w:w="276" w:type="dxa"/>
            <w:vAlign w:val="center"/>
          </w:tcPr>
          <w:p w14:paraId="0324781E"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920BA91"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Peste des petits ruminants</w:t>
            </w:r>
          </w:p>
        </w:tc>
      </w:tr>
      <w:tr w:rsidR="00EB703A" w:rsidRPr="00EB703A" w14:paraId="3AD0D8DF"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F932252" w14:textId="77777777" w:rsidR="00EB703A" w:rsidRPr="00EB703A" w:rsidRDefault="00EB703A" w:rsidP="00EB703A">
            <w:pPr>
              <w:spacing w:after="0" w:line="240" w:lineRule="auto"/>
              <w:rPr>
                <w:rFonts w:eastAsia="Merriweather"/>
                <w:highlight w:val="white"/>
              </w:rPr>
            </w:pPr>
            <w:proofErr w:type="spellStart"/>
            <w:r w:rsidRPr="00EB703A">
              <w:rPr>
                <w:rFonts w:eastAsia="Merriweather" w:cs="Calibri"/>
                <w:color w:val="000000"/>
              </w:rPr>
              <w:t>PRéCA</w:t>
            </w:r>
            <w:proofErr w:type="spellEnd"/>
          </w:p>
        </w:tc>
        <w:tc>
          <w:tcPr>
            <w:tcW w:w="276" w:type="dxa"/>
            <w:vAlign w:val="center"/>
          </w:tcPr>
          <w:p w14:paraId="5A988CFD"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965A0A6" w14:textId="5BFC55B4"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Projet de </w:t>
            </w:r>
            <w:r w:rsidR="00733CE8">
              <w:rPr>
                <w:rFonts w:eastAsia="Merriweather" w:cs="Calibri"/>
                <w:color w:val="000000"/>
              </w:rPr>
              <w:t>r</w:t>
            </w:r>
            <w:r w:rsidRPr="00EB703A">
              <w:rPr>
                <w:rFonts w:eastAsia="Merriweather" w:cs="Calibri"/>
                <w:color w:val="000000"/>
              </w:rPr>
              <w:t xml:space="preserve">ésilience et de compétitivité </w:t>
            </w:r>
            <w:r w:rsidR="00733CE8">
              <w:rPr>
                <w:rFonts w:eastAsia="Merriweather" w:cs="Calibri"/>
                <w:color w:val="000000"/>
              </w:rPr>
              <w:t>a</w:t>
            </w:r>
            <w:r w:rsidRPr="00EB703A">
              <w:rPr>
                <w:rFonts w:eastAsia="Merriweather" w:cs="Calibri"/>
                <w:color w:val="000000"/>
              </w:rPr>
              <w:t>gricole</w:t>
            </w:r>
          </w:p>
        </w:tc>
      </w:tr>
      <w:tr w:rsidR="00EB703A" w:rsidRPr="00EB703A" w14:paraId="0B0CFCA3"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91CB14F"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PRSPV</w:t>
            </w:r>
          </w:p>
        </w:tc>
        <w:tc>
          <w:tcPr>
            <w:tcW w:w="276" w:type="dxa"/>
            <w:vAlign w:val="center"/>
          </w:tcPr>
          <w:p w14:paraId="5CCB1CC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71C12DF"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Plan de réponse et de soutien aux personnes vulnérables</w:t>
            </w:r>
          </w:p>
        </w:tc>
      </w:tr>
      <w:tr w:rsidR="00EB703A" w:rsidRPr="00EB703A" w14:paraId="5DBD8B89"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C44A40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PSC</w:t>
            </w:r>
          </w:p>
        </w:tc>
        <w:tc>
          <w:tcPr>
            <w:tcW w:w="276" w:type="dxa"/>
            <w:vAlign w:val="center"/>
          </w:tcPr>
          <w:p w14:paraId="405462FA" w14:textId="6958752D"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065D589" w14:textId="7A70C7B5"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Poste de santé communautaire </w:t>
            </w:r>
          </w:p>
        </w:tc>
      </w:tr>
      <w:tr w:rsidR="00EB703A" w:rsidRPr="00EB703A" w14:paraId="701206DA"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B9EEB66"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PTF</w:t>
            </w:r>
          </w:p>
        </w:tc>
        <w:tc>
          <w:tcPr>
            <w:tcW w:w="276" w:type="dxa"/>
            <w:vAlign w:val="center"/>
          </w:tcPr>
          <w:p w14:paraId="2AB98E1C" w14:textId="438F50BD"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B8D8AC9"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 xml:space="preserve">Partenaires techniques et financiers </w:t>
            </w:r>
          </w:p>
        </w:tc>
      </w:tr>
      <w:tr w:rsidR="00EB703A" w:rsidRPr="00EB703A" w14:paraId="55F36A8C"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E9DBE1F" w14:textId="4E968152" w:rsidR="00EB703A" w:rsidRPr="00EB703A" w:rsidRDefault="00EB703A" w:rsidP="00EB703A">
            <w:pPr>
              <w:spacing w:after="0" w:line="240" w:lineRule="auto"/>
              <w:rPr>
                <w:rFonts w:eastAsia="Merriweather"/>
                <w:highlight w:val="white"/>
              </w:rPr>
            </w:pPr>
            <w:r w:rsidRPr="00EB703A">
              <w:rPr>
                <w:rFonts w:eastAsia="Merriweather" w:cs="Calibri"/>
                <w:color w:val="000000"/>
              </w:rPr>
              <w:t>PUS</w:t>
            </w:r>
            <w:r w:rsidR="008076B2">
              <w:rPr>
                <w:rFonts w:eastAsia="Merriweather" w:cs="Calibri"/>
                <w:color w:val="000000"/>
              </w:rPr>
              <w:t>-BF</w:t>
            </w:r>
          </w:p>
        </w:tc>
        <w:tc>
          <w:tcPr>
            <w:tcW w:w="276" w:type="dxa"/>
            <w:vAlign w:val="center"/>
          </w:tcPr>
          <w:p w14:paraId="04939EE1" w14:textId="7778616E"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E42DBB5" w14:textId="61D020E6"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Programme d’urgence pour le Sahel </w:t>
            </w:r>
            <w:r w:rsidR="008076B2">
              <w:rPr>
                <w:rFonts w:eastAsia="Merriweather" w:cs="Calibri"/>
                <w:color w:val="000000"/>
              </w:rPr>
              <w:t>au Burkina Faso</w:t>
            </w:r>
          </w:p>
        </w:tc>
      </w:tr>
      <w:tr w:rsidR="00EB703A" w:rsidRPr="00EB703A" w14:paraId="052A9FD4"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764B54BF"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PV-VIH</w:t>
            </w:r>
          </w:p>
        </w:tc>
        <w:tc>
          <w:tcPr>
            <w:tcW w:w="276" w:type="dxa"/>
            <w:vAlign w:val="center"/>
          </w:tcPr>
          <w:p w14:paraId="42FF2610" w14:textId="454A3146"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1640542"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Personnes vivant avec le VIH</w:t>
            </w:r>
          </w:p>
        </w:tc>
      </w:tr>
      <w:tr w:rsidR="00EB703A" w:rsidRPr="00EB703A" w14:paraId="32C7F717"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F423C3D"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RAMU</w:t>
            </w:r>
          </w:p>
        </w:tc>
        <w:tc>
          <w:tcPr>
            <w:tcW w:w="276" w:type="dxa"/>
            <w:vAlign w:val="center"/>
          </w:tcPr>
          <w:p w14:paraId="3B0DE12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1E836BB6"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Régime d’assurance maladie universelle</w:t>
            </w:r>
          </w:p>
        </w:tc>
      </w:tr>
      <w:tr w:rsidR="00EB703A" w:rsidRPr="00EB703A" w14:paraId="2657B1FA"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C5EFC41"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RESINA</w:t>
            </w:r>
          </w:p>
        </w:tc>
        <w:tc>
          <w:tcPr>
            <w:tcW w:w="276" w:type="dxa"/>
            <w:vAlign w:val="center"/>
          </w:tcPr>
          <w:p w14:paraId="23002DB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58E6B91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Réseau informatique national de l’administration</w:t>
            </w:r>
          </w:p>
        </w:tc>
      </w:tr>
      <w:tr w:rsidR="00EB703A" w:rsidRPr="00EB703A" w14:paraId="6D0393BB"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D5378A6"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RI</w:t>
            </w:r>
          </w:p>
        </w:tc>
        <w:tc>
          <w:tcPr>
            <w:tcW w:w="276" w:type="dxa"/>
            <w:vAlign w:val="center"/>
          </w:tcPr>
          <w:p w14:paraId="56482DF4" w14:textId="39FAB56E"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A17C594"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Recherche et innovation</w:t>
            </w:r>
          </w:p>
        </w:tc>
      </w:tr>
      <w:tr w:rsidR="00EB703A" w:rsidRPr="00EB703A" w14:paraId="3AF9FD26"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D476C63"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RTB</w:t>
            </w:r>
          </w:p>
        </w:tc>
        <w:tc>
          <w:tcPr>
            <w:tcW w:w="276" w:type="dxa"/>
            <w:vAlign w:val="center"/>
          </w:tcPr>
          <w:p w14:paraId="7815EAC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BDBD151"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Radiodiffusion télévision du Burkina</w:t>
            </w:r>
          </w:p>
        </w:tc>
      </w:tr>
      <w:tr w:rsidR="00EB703A" w:rsidRPr="00EB703A" w14:paraId="57065B2A"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84679C0" w14:textId="53AA6B7B" w:rsidR="00EB703A" w:rsidRPr="00EB703A" w:rsidRDefault="00EB703A" w:rsidP="00EB703A">
            <w:pPr>
              <w:spacing w:after="0" w:line="240" w:lineRule="auto"/>
              <w:rPr>
                <w:rFonts w:eastAsia="Merriweather"/>
                <w:highlight w:val="white"/>
              </w:rPr>
            </w:pPr>
            <w:r w:rsidRPr="00EB703A">
              <w:rPr>
                <w:rFonts w:eastAsia="Merriweather" w:cs="Calibri"/>
                <w:color w:val="000000"/>
              </w:rPr>
              <w:t>SAMU</w:t>
            </w:r>
          </w:p>
        </w:tc>
        <w:tc>
          <w:tcPr>
            <w:tcW w:w="276" w:type="dxa"/>
            <w:vAlign w:val="center"/>
          </w:tcPr>
          <w:p w14:paraId="52B992B7" w14:textId="71FA66F1"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43E59C3"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Service d’aide médicale d’urgence </w:t>
            </w:r>
          </w:p>
        </w:tc>
      </w:tr>
      <w:tr w:rsidR="00EB703A" w:rsidRPr="00EB703A" w14:paraId="0A19772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9E4457B"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SDAGE</w:t>
            </w:r>
          </w:p>
        </w:tc>
        <w:tc>
          <w:tcPr>
            <w:tcW w:w="276" w:type="dxa"/>
            <w:vAlign w:val="center"/>
          </w:tcPr>
          <w:p w14:paraId="354A56C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FEEE022"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Schéma directeur d’aménagement et de gestion de l’eau</w:t>
            </w:r>
          </w:p>
        </w:tc>
      </w:tr>
      <w:tr w:rsidR="00EB703A" w:rsidRPr="00EB703A" w14:paraId="4970E09E"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DFC13B8"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SDAU</w:t>
            </w:r>
          </w:p>
        </w:tc>
        <w:tc>
          <w:tcPr>
            <w:tcW w:w="276" w:type="dxa"/>
            <w:vAlign w:val="center"/>
          </w:tcPr>
          <w:p w14:paraId="1A8D2E72"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53B9286"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Schéma directeur d’aménagement et d’urbanisme</w:t>
            </w:r>
          </w:p>
        </w:tc>
      </w:tr>
      <w:tr w:rsidR="00EB703A" w:rsidRPr="00EB703A" w14:paraId="12405793"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A65E13F"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SDC</w:t>
            </w:r>
          </w:p>
        </w:tc>
        <w:tc>
          <w:tcPr>
            <w:tcW w:w="276" w:type="dxa"/>
            <w:vAlign w:val="center"/>
          </w:tcPr>
          <w:p w14:paraId="017EEB2F" w14:textId="3434F0E1"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D110D83" w14:textId="4BEA29EB"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 xml:space="preserve">Salle de classe </w:t>
            </w:r>
          </w:p>
        </w:tc>
      </w:tr>
      <w:tr w:rsidR="00EB703A" w:rsidRPr="00EB703A" w14:paraId="112A2DCA"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96C6085"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SENAC</w:t>
            </w:r>
          </w:p>
        </w:tc>
        <w:tc>
          <w:tcPr>
            <w:tcW w:w="276" w:type="dxa"/>
            <w:vAlign w:val="center"/>
          </w:tcPr>
          <w:p w14:paraId="5DBF980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A38D403"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Semaine nationale de la citoyenneté</w:t>
            </w:r>
          </w:p>
        </w:tc>
      </w:tr>
      <w:tr w:rsidR="00EB703A" w:rsidRPr="00EB703A" w14:paraId="6A8592F1"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A2B68CA"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SIB</w:t>
            </w:r>
          </w:p>
        </w:tc>
        <w:tc>
          <w:tcPr>
            <w:tcW w:w="276" w:type="dxa"/>
            <w:vAlign w:val="center"/>
          </w:tcPr>
          <w:p w14:paraId="0E5FCF0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0C95D12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Semaine de l’industrie burkinabè</w:t>
            </w:r>
          </w:p>
        </w:tc>
      </w:tr>
      <w:tr w:rsidR="00EB703A" w:rsidRPr="00EB703A" w14:paraId="407D7AFF"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1631639"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SIGED </w:t>
            </w:r>
          </w:p>
        </w:tc>
        <w:tc>
          <w:tcPr>
            <w:tcW w:w="276" w:type="dxa"/>
            <w:vAlign w:val="center"/>
          </w:tcPr>
          <w:p w14:paraId="7158470B"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62AA75FE"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Système de gestion électronique et d'archivage de documents</w:t>
            </w:r>
          </w:p>
        </w:tc>
      </w:tr>
      <w:tr w:rsidR="00EB703A" w:rsidRPr="00EB703A" w14:paraId="6423C699"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8E46DCB"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SNC</w:t>
            </w:r>
          </w:p>
        </w:tc>
        <w:tc>
          <w:tcPr>
            <w:tcW w:w="276" w:type="dxa"/>
            <w:vAlign w:val="center"/>
          </w:tcPr>
          <w:p w14:paraId="5E54C07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4686626"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Semaine nationale de la culture</w:t>
            </w:r>
          </w:p>
        </w:tc>
      </w:tr>
      <w:tr w:rsidR="00EB703A" w:rsidRPr="00EB703A" w14:paraId="3F9B3701"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B86D318"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SNR</w:t>
            </w:r>
          </w:p>
        </w:tc>
        <w:tc>
          <w:tcPr>
            <w:tcW w:w="276" w:type="dxa"/>
            <w:vAlign w:val="center"/>
          </w:tcPr>
          <w:p w14:paraId="0E5D0EB2"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2309876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Stratégie nationale de relèvement </w:t>
            </w:r>
          </w:p>
        </w:tc>
      </w:tr>
      <w:tr w:rsidR="00EB703A" w:rsidRPr="00EB703A" w14:paraId="3C38E0E4"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09A05FE" w14:textId="77777777" w:rsidR="00EB703A" w:rsidRPr="00EB703A" w:rsidRDefault="00EB703A" w:rsidP="00EB703A">
            <w:pPr>
              <w:spacing w:after="0" w:line="240" w:lineRule="auto"/>
              <w:rPr>
                <w:rFonts w:eastAsia="Merriweather"/>
                <w:highlight w:val="white"/>
              </w:rPr>
            </w:pPr>
            <w:r w:rsidRPr="00EB703A">
              <w:rPr>
                <w:rFonts w:eastAsia="Merriweather" w:cs="Arial"/>
                <w:iCs/>
                <w:color w:val="000000"/>
              </w:rPr>
              <w:t>STBV</w:t>
            </w:r>
          </w:p>
        </w:tc>
        <w:tc>
          <w:tcPr>
            <w:tcW w:w="276" w:type="dxa"/>
            <w:vAlign w:val="center"/>
          </w:tcPr>
          <w:p w14:paraId="6FE4B8F0"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3497BCF5"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Arial"/>
                <w:iCs/>
                <w:color w:val="000000"/>
              </w:rPr>
              <w:t xml:space="preserve">Station de traitement des boues de vidange </w:t>
            </w:r>
          </w:p>
        </w:tc>
      </w:tr>
      <w:tr w:rsidR="00EB703A" w:rsidRPr="00EB703A" w14:paraId="588BD0D6"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D185528" w14:textId="77777777" w:rsidR="00EB703A" w:rsidRPr="00EB703A" w:rsidRDefault="00EB703A" w:rsidP="00EB703A">
            <w:pPr>
              <w:spacing w:after="0" w:line="240" w:lineRule="auto"/>
              <w:rPr>
                <w:rFonts w:eastAsia="Merriweather"/>
                <w:highlight w:val="white"/>
              </w:rPr>
            </w:pPr>
            <w:proofErr w:type="spellStart"/>
            <w:r w:rsidRPr="00EB703A">
              <w:rPr>
                <w:rFonts w:eastAsia="Merriweather" w:cs="Calibri"/>
                <w:color w:val="000000"/>
              </w:rPr>
              <w:t>TdH</w:t>
            </w:r>
            <w:proofErr w:type="spellEnd"/>
          </w:p>
        </w:tc>
        <w:tc>
          <w:tcPr>
            <w:tcW w:w="276" w:type="dxa"/>
            <w:vAlign w:val="center"/>
          </w:tcPr>
          <w:p w14:paraId="5987C090" w14:textId="735F847F"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7F336D8"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Terre des Hommes </w:t>
            </w:r>
          </w:p>
        </w:tc>
      </w:tr>
      <w:tr w:rsidR="00EB703A" w:rsidRPr="00EB703A" w14:paraId="233AA44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6D78FD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TEPS</w:t>
            </w:r>
          </w:p>
        </w:tc>
        <w:tc>
          <w:tcPr>
            <w:tcW w:w="276" w:type="dxa"/>
            <w:vAlign w:val="center"/>
          </w:tcPr>
          <w:p w14:paraId="16B4F1E3" w14:textId="718F99E7"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36B0445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Travail emploi et protection sociale</w:t>
            </w:r>
          </w:p>
        </w:tc>
      </w:tr>
      <w:tr w:rsidR="00EB703A" w:rsidRPr="00EB703A" w14:paraId="3AC8ACDE"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BBC4BF9"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TIA</w:t>
            </w:r>
          </w:p>
        </w:tc>
        <w:tc>
          <w:tcPr>
            <w:tcW w:w="276" w:type="dxa"/>
            <w:vAlign w:val="center"/>
          </w:tcPr>
          <w:p w14:paraId="21BB5AB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B92D380"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Transformation industrielle et artisanale</w:t>
            </w:r>
          </w:p>
        </w:tc>
      </w:tr>
      <w:tr w:rsidR="00EB703A" w:rsidRPr="00EB703A" w14:paraId="405BB2A0"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3F9C928C" w14:textId="77777777" w:rsidR="00EB703A" w:rsidRPr="00EB703A" w:rsidRDefault="00EB703A" w:rsidP="00EB703A">
            <w:pPr>
              <w:spacing w:after="0" w:line="240" w:lineRule="auto"/>
              <w:rPr>
                <w:rFonts w:eastAsia="Merriweather"/>
                <w:highlight w:val="white"/>
              </w:rPr>
            </w:pPr>
            <w:r w:rsidRPr="00EB703A">
              <w:rPr>
                <w:rFonts w:eastAsia="Merriweather" w:cs="Arial"/>
                <w:color w:val="000000"/>
              </w:rPr>
              <w:t>TIC</w:t>
            </w:r>
          </w:p>
        </w:tc>
        <w:tc>
          <w:tcPr>
            <w:tcW w:w="276" w:type="dxa"/>
            <w:vAlign w:val="center"/>
          </w:tcPr>
          <w:p w14:paraId="74AECCC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70F3499B"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Arial"/>
                <w:color w:val="000000"/>
              </w:rPr>
              <w:t>Technologie de l’information et de la communication</w:t>
            </w:r>
          </w:p>
        </w:tc>
      </w:tr>
      <w:tr w:rsidR="00EB703A" w:rsidRPr="00EB703A" w14:paraId="1E64FA76"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8E06C95"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TNT</w:t>
            </w:r>
          </w:p>
        </w:tc>
        <w:tc>
          <w:tcPr>
            <w:tcW w:w="276" w:type="dxa"/>
            <w:vAlign w:val="center"/>
          </w:tcPr>
          <w:p w14:paraId="74B25C67"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798FD82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Télévision numérique de terre</w:t>
            </w:r>
          </w:p>
        </w:tc>
      </w:tr>
      <w:tr w:rsidR="00EB703A" w:rsidRPr="00EB703A" w14:paraId="39722D14"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2E938B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TRE</w:t>
            </w:r>
          </w:p>
        </w:tc>
        <w:tc>
          <w:tcPr>
            <w:tcW w:w="276" w:type="dxa"/>
            <w:vAlign w:val="center"/>
          </w:tcPr>
          <w:p w14:paraId="68309E23" w14:textId="0C97F36C"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2C2F9BA1"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Technique de recherche d’emploi</w:t>
            </w:r>
          </w:p>
        </w:tc>
      </w:tr>
      <w:tr w:rsidR="00EB703A" w:rsidRPr="00EB703A" w14:paraId="73C5CE29"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C383DF1"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UEMOA</w:t>
            </w:r>
          </w:p>
        </w:tc>
        <w:tc>
          <w:tcPr>
            <w:tcW w:w="276" w:type="dxa"/>
            <w:vAlign w:val="center"/>
          </w:tcPr>
          <w:p w14:paraId="44AD330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38C2DCC"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Union économique et monétaire ouest-africaine</w:t>
            </w:r>
          </w:p>
        </w:tc>
      </w:tr>
      <w:tr w:rsidR="00EB703A" w:rsidRPr="00EB703A" w14:paraId="3475C25D"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0683000C" w14:textId="77777777" w:rsidR="00EB703A" w:rsidRPr="00EB703A" w:rsidRDefault="00EB703A" w:rsidP="00EB703A">
            <w:pPr>
              <w:spacing w:after="0" w:line="240" w:lineRule="auto"/>
              <w:rPr>
                <w:rFonts w:eastAsia="Merriweather"/>
                <w:highlight w:val="white"/>
              </w:rPr>
            </w:pPr>
            <w:r w:rsidRPr="00EB703A">
              <w:rPr>
                <w:rFonts w:eastAsia="Merriweather" w:cs="Cambria"/>
                <w:color w:val="000000"/>
              </w:rPr>
              <w:t>UTL</w:t>
            </w:r>
          </w:p>
        </w:tc>
        <w:tc>
          <w:tcPr>
            <w:tcW w:w="276" w:type="dxa"/>
            <w:vAlign w:val="center"/>
          </w:tcPr>
          <w:p w14:paraId="6AA5774A"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68DE552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Unité de transformation de lait</w:t>
            </w:r>
          </w:p>
        </w:tc>
      </w:tr>
      <w:tr w:rsidR="00EB703A" w:rsidRPr="00EB703A" w14:paraId="30CAD28A"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24AE33AB"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UTS</w:t>
            </w:r>
          </w:p>
        </w:tc>
        <w:tc>
          <w:tcPr>
            <w:tcW w:w="276" w:type="dxa"/>
            <w:vAlign w:val="center"/>
          </w:tcPr>
          <w:p w14:paraId="4A00DE58" w14:textId="78EA56C6"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E5EAACA"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 xml:space="preserve">Université Thomas SANKARA </w:t>
            </w:r>
          </w:p>
        </w:tc>
      </w:tr>
      <w:tr w:rsidR="00EB703A" w:rsidRPr="00EB703A" w14:paraId="1F1218C8"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FFBB2B9"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VBG</w:t>
            </w:r>
          </w:p>
        </w:tc>
        <w:tc>
          <w:tcPr>
            <w:tcW w:w="276" w:type="dxa"/>
            <w:vAlign w:val="center"/>
          </w:tcPr>
          <w:p w14:paraId="2604650F" w14:textId="37080B11" w:rsidR="00EB703A" w:rsidRPr="00EB703A" w:rsidRDefault="004D5D0F"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11A5C20D"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Violences basées sur le genre</w:t>
            </w:r>
          </w:p>
        </w:tc>
      </w:tr>
      <w:tr w:rsidR="00EB703A" w:rsidRPr="00EB703A" w14:paraId="20C1D3E2"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144D8301"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rPr>
              <w:t>VIH</w:t>
            </w:r>
          </w:p>
        </w:tc>
        <w:tc>
          <w:tcPr>
            <w:tcW w:w="276" w:type="dxa"/>
            <w:vAlign w:val="center"/>
          </w:tcPr>
          <w:p w14:paraId="7CA788BD"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4235B086"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libri"/>
                <w:iCs/>
                <w:color w:val="000000"/>
              </w:rPr>
              <w:t>Virus de l'immunodéficience humaine</w:t>
            </w:r>
          </w:p>
        </w:tc>
      </w:tr>
      <w:tr w:rsidR="00EB703A" w:rsidRPr="00EB703A" w14:paraId="3D0B05E2"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46EA385A" w14:textId="77777777" w:rsidR="00EB703A" w:rsidRPr="00EB703A" w:rsidRDefault="00EB703A" w:rsidP="00EB703A">
            <w:pPr>
              <w:spacing w:after="0" w:line="240" w:lineRule="auto"/>
              <w:rPr>
                <w:rFonts w:eastAsia="Merriweather"/>
                <w:highlight w:val="white"/>
              </w:rPr>
            </w:pPr>
            <w:r w:rsidRPr="00EB703A">
              <w:rPr>
                <w:rFonts w:eastAsia="Merriweather" w:cs="Arial"/>
                <w:color w:val="000000"/>
              </w:rPr>
              <w:t>VN-ASBC</w:t>
            </w:r>
          </w:p>
        </w:tc>
        <w:tc>
          <w:tcPr>
            <w:tcW w:w="276" w:type="dxa"/>
            <w:vAlign w:val="center"/>
          </w:tcPr>
          <w:p w14:paraId="2280B7D4"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right w:val="single" w:sz="4" w:space="0" w:color="auto"/>
            </w:tcBorders>
            <w:vAlign w:val="center"/>
          </w:tcPr>
          <w:p w14:paraId="3F18FF6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Arial"/>
                <w:color w:val="000000"/>
              </w:rPr>
              <w:t xml:space="preserve">Volontaires nationaux/ Agent de santé à base communautaire </w:t>
            </w:r>
          </w:p>
        </w:tc>
      </w:tr>
      <w:tr w:rsidR="00EB703A" w:rsidRPr="00EB703A" w14:paraId="0F7056A7" w14:textId="77777777" w:rsidTr="00EB70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tcBorders>
            <w:vAlign w:val="center"/>
          </w:tcPr>
          <w:p w14:paraId="6AED856B" w14:textId="77777777" w:rsidR="00EB703A" w:rsidRPr="00EB703A" w:rsidRDefault="00EB703A" w:rsidP="00EB703A">
            <w:pPr>
              <w:spacing w:after="0" w:line="240" w:lineRule="auto"/>
              <w:rPr>
                <w:rFonts w:eastAsia="Merriweather"/>
                <w:highlight w:val="white"/>
              </w:rPr>
            </w:pPr>
            <w:r w:rsidRPr="00EB703A">
              <w:rPr>
                <w:rFonts w:eastAsia="Merriweather" w:cs="Calibri"/>
                <w:color w:val="000000"/>
                <w:highlight w:val="white"/>
              </w:rPr>
              <w:t>WHH</w:t>
            </w:r>
          </w:p>
        </w:tc>
        <w:tc>
          <w:tcPr>
            <w:tcW w:w="276" w:type="dxa"/>
            <w:vAlign w:val="center"/>
          </w:tcPr>
          <w:p w14:paraId="35243D4D" w14:textId="5C2DDC63" w:rsidR="00EB703A" w:rsidRPr="00EB703A" w:rsidRDefault="004D5D0F"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r w:rsidRPr="00EB703A">
              <w:rPr>
                <w:rFonts w:eastAsia="Merriweather" w:cs="Cambria"/>
                <w:color w:val="000000"/>
              </w:rPr>
              <w:t>:</w:t>
            </w:r>
          </w:p>
        </w:tc>
        <w:tc>
          <w:tcPr>
            <w:tcW w:w="6630" w:type="dxa"/>
            <w:tcBorders>
              <w:right w:val="single" w:sz="4" w:space="0" w:color="auto"/>
            </w:tcBorders>
            <w:vAlign w:val="center"/>
          </w:tcPr>
          <w:p w14:paraId="4A508E4F" w14:textId="77777777" w:rsidR="00EB703A" w:rsidRPr="00EB703A" w:rsidRDefault="00EB703A" w:rsidP="00EB703A">
            <w:pPr>
              <w:spacing w:after="0" w:line="240" w:lineRule="auto"/>
              <w:cnfStyle w:val="000000100000" w:firstRow="0" w:lastRow="0" w:firstColumn="0" w:lastColumn="0" w:oddVBand="0" w:evenVBand="0" w:oddHBand="1" w:evenHBand="0" w:firstRowFirstColumn="0" w:firstRowLastColumn="0" w:lastRowFirstColumn="0" w:lastRowLastColumn="0"/>
              <w:rPr>
                <w:rFonts w:eastAsia="Merriweather"/>
              </w:rPr>
            </w:pPr>
            <w:proofErr w:type="spellStart"/>
            <w:r w:rsidRPr="00EB703A">
              <w:rPr>
                <w:rFonts w:eastAsia="Merriweather" w:cs="Calibri"/>
                <w:color w:val="000000"/>
              </w:rPr>
              <w:t>Welthungerhilfe</w:t>
            </w:r>
            <w:proofErr w:type="spellEnd"/>
          </w:p>
        </w:tc>
      </w:tr>
      <w:tr w:rsidR="00EB703A" w:rsidRPr="00EB703A" w14:paraId="7EB44BB1" w14:textId="77777777" w:rsidTr="00EB703A">
        <w:trPr>
          <w:trHeight w:val="20"/>
        </w:trPr>
        <w:tc>
          <w:tcPr>
            <w:cnfStyle w:val="001000000000" w:firstRow="0" w:lastRow="0" w:firstColumn="1" w:lastColumn="0" w:oddVBand="0" w:evenVBand="0" w:oddHBand="0" w:evenHBand="0" w:firstRowFirstColumn="0" w:firstRowLastColumn="0" w:lastRowFirstColumn="0" w:lastRowLastColumn="0"/>
            <w:tcW w:w="2120" w:type="dxa"/>
            <w:tcBorders>
              <w:left w:val="single" w:sz="4" w:space="0" w:color="auto"/>
              <w:bottom w:val="single" w:sz="4" w:space="0" w:color="auto"/>
            </w:tcBorders>
            <w:vAlign w:val="center"/>
          </w:tcPr>
          <w:p w14:paraId="63B8F1FF" w14:textId="77777777" w:rsidR="00EB703A" w:rsidRPr="00EB703A" w:rsidRDefault="00EB703A" w:rsidP="00EB703A">
            <w:pPr>
              <w:spacing w:after="0" w:line="240" w:lineRule="auto"/>
              <w:rPr>
                <w:rFonts w:eastAsia="Merriweather"/>
                <w:highlight w:val="white"/>
              </w:rPr>
            </w:pPr>
            <w:r w:rsidRPr="00EB703A">
              <w:rPr>
                <w:rFonts w:eastAsia="Merriweather" w:cs="Arial"/>
                <w:color w:val="000000"/>
              </w:rPr>
              <w:t>ZADS</w:t>
            </w:r>
          </w:p>
        </w:tc>
        <w:tc>
          <w:tcPr>
            <w:tcW w:w="276" w:type="dxa"/>
            <w:tcBorders>
              <w:bottom w:val="single" w:sz="4" w:space="0" w:color="auto"/>
            </w:tcBorders>
            <w:vAlign w:val="center"/>
          </w:tcPr>
          <w:p w14:paraId="4928BFB8" w14:textId="77777777"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Calibri"/>
                <w:color w:val="000000"/>
              </w:rPr>
              <w:t>:</w:t>
            </w:r>
          </w:p>
        </w:tc>
        <w:tc>
          <w:tcPr>
            <w:tcW w:w="6630" w:type="dxa"/>
            <w:tcBorders>
              <w:bottom w:val="single" w:sz="4" w:space="0" w:color="auto"/>
              <w:right w:val="single" w:sz="4" w:space="0" w:color="auto"/>
            </w:tcBorders>
            <w:vAlign w:val="center"/>
          </w:tcPr>
          <w:p w14:paraId="3B4FC7E4" w14:textId="71570D36" w:rsidR="00EB703A" w:rsidRPr="00EB703A" w:rsidRDefault="00EB703A" w:rsidP="00EB703A">
            <w:pPr>
              <w:spacing w:after="0" w:line="240" w:lineRule="auto"/>
              <w:cnfStyle w:val="000000000000" w:firstRow="0" w:lastRow="0" w:firstColumn="0" w:lastColumn="0" w:oddVBand="0" w:evenVBand="0" w:oddHBand="0" w:evenHBand="0" w:firstRowFirstColumn="0" w:firstRowLastColumn="0" w:lastRowFirstColumn="0" w:lastRowLastColumn="0"/>
              <w:rPr>
                <w:rFonts w:eastAsia="Merriweather"/>
              </w:rPr>
            </w:pPr>
            <w:r w:rsidRPr="00EB703A">
              <w:rPr>
                <w:rFonts w:eastAsia="Merriweather" w:cs="Arial"/>
                <w:color w:val="000000"/>
              </w:rPr>
              <w:t>Zone à défi sécuritaire</w:t>
            </w:r>
          </w:p>
        </w:tc>
      </w:tr>
    </w:tbl>
    <w:p w14:paraId="13DABA4E" w14:textId="3CD59C29" w:rsidR="00891F23" w:rsidRPr="00F175A7" w:rsidRDefault="00BD72CF" w:rsidP="0041504B">
      <w:pPr>
        <w:pStyle w:val="Titre1"/>
        <w:rPr>
          <w:szCs w:val="28"/>
        </w:rPr>
      </w:pPr>
      <w:bookmarkStart w:id="8" w:name="_Toc163141201"/>
      <w:bookmarkStart w:id="9" w:name="_Toc164692882"/>
      <w:r w:rsidRPr="00F175A7">
        <w:rPr>
          <w:szCs w:val="28"/>
        </w:rPr>
        <w:lastRenderedPageBreak/>
        <w:t>Résumé</w:t>
      </w:r>
      <w:bookmarkEnd w:id="8"/>
      <w:bookmarkEnd w:id="9"/>
    </w:p>
    <w:p w14:paraId="1069785A" w14:textId="5CA0AE7A" w:rsidR="00EB703A" w:rsidRPr="006A5607"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Le rapport annuel de performance 2023 de la Politique nationale de développement (PND) 2021-2025 a pour objectif d’informer les acteurs du développement, des résultats atteints dans le cadre de la mise en œuvre en 2023 </w:t>
      </w:r>
      <w:r w:rsidR="00C45A6C">
        <w:rPr>
          <w:rFonts w:eastAsia="Calibri"/>
          <w:szCs w:val="24"/>
        </w:rPr>
        <w:t xml:space="preserve">de son instrument d’opérationnalisation, à savoir le </w:t>
      </w:r>
      <w:r w:rsidRPr="00B21CEC">
        <w:rPr>
          <w:rFonts w:eastAsia="Calibri"/>
          <w:szCs w:val="24"/>
        </w:rPr>
        <w:t>Plan d’action pour la stabilisation et le développement (PA-SD). Elaboré sur la base des 14 rapports sectoriels et des 13 rapports régionaux de performance 2</w:t>
      </w:r>
      <w:r w:rsidR="006A5607">
        <w:rPr>
          <w:rFonts w:eastAsia="Calibri"/>
          <w:szCs w:val="24"/>
        </w:rPr>
        <w:t xml:space="preserve">023, ce rapport présente </w:t>
      </w:r>
      <w:r w:rsidRPr="00B21CEC">
        <w:rPr>
          <w:rFonts w:eastAsia="Calibri"/>
          <w:szCs w:val="24"/>
        </w:rPr>
        <w:t>les acquis et les difficultés de mise en œuvre du PA-</w:t>
      </w:r>
      <w:r w:rsidRPr="006A5607">
        <w:rPr>
          <w:rFonts w:eastAsia="Calibri"/>
          <w:szCs w:val="24"/>
        </w:rPr>
        <w:t>SD, les perspectives d’actions envisagées</w:t>
      </w:r>
      <w:r w:rsidR="006A5607" w:rsidRPr="006A5607">
        <w:rPr>
          <w:rFonts w:eastAsia="Calibri"/>
          <w:szCs w:val="24"/>
        </w:rPr>
        <w:t xml:space="preserve"> à moyen terme étant déclinées dans le PA-SD 2024-2026 actualisé</w:t>
      </w:r>
      <w:r w:rsidRPr="006A5607">
        <w:rPr>
          <w:rFonts w:eastAsia="Calibri"/>
          <w:szCs w:val="24"/>
        </w:rPr>
        <w:t>.</w:t>
      </w:r>
    </w:p>
    <w:p w14:paraId="393AD24A" w14:textId="7C226A84" w:rsidR="00EB703A" w:rsidRPr="00B21CEC" w:rsidRDefault="004D5D0F" w:rsidP="00F175A7">
      <w:pPr>
        <w:numPr>
          <w:ilvl w:val="0"/>
          <w:numId w:val="8"/>
        </w:numPr>
        <w:shd w:val="clear" w:color="auto" w:fill="FFFFFF"/>
        <w:spacing w:before="120" w:after="120" w:line="240" w:lineRule="auto"/>
        <w:ind w:left="0"/>
        <w:rPr>
          <w:rFonts w:eastAsia="Calibri"/>
          <w:szCs w:val="24"/>
        </w:rPr>
      </w:pPr>
      <w:r>
        <w:rPr>
          <w:rFonts w:eastAsia="Calibri"/>
          <w:szCs w:val="24"/>
        </w:rPr>
        <w:t>La</w:t>
      </w:r>
      <w:r w:rsidR="00EB703A" w:rsidRPr="00B21CEC">
        <w:rPr>
          <w:rFonts w:eastAsia="Calibri"/>
          <w:szCs w:val="24"/>
        </w:rPr>
        <w:t xml:space="preserve"> mise en œuvre du PA-SD en 2023 s’est déroulée dans un contexte difficile. Sur le plan international, la crise russo-ukrainienne, les tensions géostratégiques, la poursuite du resserrement monétaire, les d</w:t>
      </w:r>
      <w:r w:rsidR="007B2AC6">
        <w:rPr>
          <w:rFonts w:eastAsia="Calibri"/>
          <w:szCs w:val="24"/>
        </w:rPr>
        <w:t>y</w:t>
      </w:r>
      <w:r w:rsidR="00EB703A" w:rsidRPr="00B21CEC">
        <w:rPr>
          <w:rFonts w:eastAsia="Calibri"/>
          <w:szCs w:val="24"/>
        </w:rPr>
        <w:t>sfonctionnements dans les chaînes d’approvisionnement en matières premières continue</w:t>
      </w:r>
      <w:r w:rsidR="007B2AC6">
        <w:rPr>
          <w:rFonts w:eastAsia="Calibri"/>
          <w:szCs w:val="24"/>
        </w:rPr>
        <w:t>nt</w:t>
      </w:r>
      <w:r w:rsidR="00EB703A" w:rsidRPr="00B21CEC">
        <w:rPr>
          <w:rFonts w:eastAsia="Calibri"/>
          <w:szCs w:val="24"/>
        </w:rPr>
        <w:t xml:space="preserve"> de peser sur l’activité économique mondiale qui enregistrerait un ralentissement. </w:t>
      </w:r>
    </w:p>
    <w:p w14:paraId="20A22033" w14:textId="257BA5BA"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Au niveau national, </w:t>
      </w:r>
      <w:r w:rsidR="0011715A">
        <w:rPr>
          <w:rFonts w:eastAsia="Calibri"/>
          <w:szCs w:val="24"/>
        </w:rPr>
        <w:t>grâce aux</w:t>
      </w:r>
      <w:r w:rsidRPr="00B21CEC">
        <w:rPr>
          <w:rFonts w:eastAsia="Calibri"/>
          <w:szCs w:val="24"/>
        </w:rPr>
        <w:t xml:space="preserve"> efforts en cours dans la dynamique de reconquête du territoire et la campagne agro-</w:t>
      </w:r>
      <w:proofErr w:type="spellStart"/>
      <w:r w:rsidRPr="00B21CEC">
        <w:rPr>
          <w:rFonts w:eastAsia="Calibri"/>
          <w:szCs w:val="24"/>
        </w:rPr>
        <w:t>sylvo</w:t>
      </w:r>
      <w:proofErr w:type="spellEnd"/>
      <w:r w:rsidRPr="00B21CEC">
        <w:rPr>
          <w:rFonts w:eastAsia="Calibri"/>
          <w:szCs w:val="24"/>
        </w:rPr>
        <w:t xml:space="preserve">-pastorale jugée favorable, l’activité économique </w:t>
      </w:r>
      <w:r w:rsidR="009A6050">
        <w:rPr>
          <w:rFonts w:eastAsia="Calibri"/>
          <w:szCs w:val="24"/>
        </w:rPr>
        <w:t xml:space="preserve">a connu </w:t>
      </w:r>
      <w:r w:rsidRPr="00B21CEC">
        <w:rPr>
          <w:rFonts w:eastAsia="Calibri"/>
          <w:szCs w:val="24"/>
        </w:rPr>
        <w:t>une accélération de son rythme de croissance pour reprendre en 2023 c</w:t>
      </w:r>
      <w:r w:rsidR="008E6C91">
        <w:rPr>
          <w:rFonts w:eastAsia="Calibri"/>
          <w:szCs w:val="24"/>
        </w:rPr>
        <w:t xml:space="preserve">omparativement à l’année 2022. </w:t>
      </w:r>
      <w:r w:rsidRPr="00B21CEC">
        <w:rPr>
          <w:rFonts w:eastAsia="Calibri"/>
          <w:szCs w:val="24"/>
        </w:rPr>
        <w:t xml:space="preserve">Aussi, le taux de croissance du PIB réel </w:t>
      </w:r>
      <w:r w:rsidR="009A6050">
        <w:rPr>
          <w:rFonts w:eastAsia="Calibri"/>
          <w:szCs w:val="24"/>
        </w:rPr>
        <w:t>a atteint</w:t>
      </w:r>
      <w:r w:rsidRPr="00B21CEC">
        <w:rPr>
          <w:rFonts w:eastAsia="Calibri"/>
          <w:szCs w:val="24"/>
        </w:rPr>
        <w:t xml:space="preserve"> 3,6% en 2023 contre 1,8% en 2022 du fait de la croissance de la valeur ajoutée des secteurs tertiaire (4,9%), secondaire (3,7%) et primaire (1,8%).</w:t>
      </w:r>
    </w:p>
    <w:p w14:paraId="69E3177D" w14:textId="31EDA9FF" w:rsidR="008E6C91" w:rsidRPr="00FA5335" w:rsidRDefault="00EB703A" w:rsidP="00F175A7">
      <w:pPr>
        <w:numPr>
          <w:ilvl w:val="0"/>
          <w:numId w:val="8"/>
        </w:numPr>
        <w:shd w:val="clear" w:color="auto" w:fill="FFFFFF"/>
        <w:spacing w:before="120" w:after="120" w:line="240" w:lineRule="auto"/>
        <w:ind w:left="0"/>
        <w:rPr>
          <w:rFonts w:ascii="Segoe UI" w:hAnsi="Segoe UI" w:cs="Segoe UI"/>
          <w:sz w:val="21"/>
          <w:szCs w:val="21"/>
        </w:rPr>
      </w:pPr>
      <w:r w:rsidRPr="008E6C91">
        <w:rPr>
          <w:rFonts w:eastAsia="Calibri"/>
          <w:szCs w:val="24"/>
        </w:rPr>
        <w:t xml:space="preserve">Concernant l’inflation, </w:t>
      </w:r>
      <w:r w:rsidR="008E6C91">
        <w:rPr>
          <w:rFonts w:eastAsia="Calibri"/>
          <w:szCs w:val="24"/>
        </w:rPr>
        <w:t xml:space="preserve">elle </w:t>
      </w:r>
      <w:r w:rsidR="008E6C91" w:rsidRPr="008E6C91">
        <w:rPr>
          <w:rFonts w:eastAsia="Calibri"/>
          <w:szCs w:val="24"/>
        </w:rPr>
        <w:t xml:space="preserve">est maitrisée à 0,7% </w:t>
      </w:r>
      <w:r w:rsidR="008E6C91">
        <w:rPr>
          <w:rFonts w:eastAsia="Calibri"/>
          <w:szCs w:val="24"/>
        </w:rPr>
        <w:t>e</w:t>
      </w:r>
      <w:r w:rsidR="008E6C91" w:rsidRPr="008E6C91">
        <w:rPr>
          <w:rFonts w:eastAsia="Calibri"/>
          <w:szCs w:val="24"/>
        </w:rPr>
        <w:t>n moyenne annuelle en 2023 contre 14,1% une année plutôt. Cette situation est expliquée par la bonne campagne agricole, la poursuite des mesures gouvernementales de lutte contre la vie chère, conjuguée à la baisse des cours mondiaux de certains produits de base, notamment ceux de l’énergie.</w:t>
      </w:r>
      <w:r w:rsidR="008E6C91" w:rsidRPr="00FA5335">
        <w:rPr>
          <w:rFonts w:ascii="Segoe UI" w:hAnsi="Segoe UI" w:cs="Segoe UI"/>
          <w:sz w:val="21"/>
          <w:szCs w:val="21"/>
        </w:rPr>
        <w:t xml:space="preserve"> </w:t>
      </w:r>
    </w:p>
    <w:p w14:paraId="2A37CFD6" w14:textId="77777777" w:rsidR="00EB703A" w:rsidRPr="00A85318"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S’agissant des finances publiques, les recettes budgétaires enregistreraient au 31 décembre 2023, </w:t>
      </w:r>
      <w:r w:rsidRPr="00A85318">
        <w:rPr>
          <w:rFonts w:eastAsia="Calibri"/>
          <w:szCs w:val="24"/>
        </w:rPr>
        <w:t xml:space="preserve">une hausse de 10,4% comparativement à fin décembre 2022. Les dépenses ont connu une hausse de 11,5%. </w:t>
      </w:r>
    </w:p>
    <w:p w14:paraId="3A2D016F" w14:textId="3CDAE011" w:rsidR="00EB703A" w:rsidRPr="0042784A" w:rsidRDefault="00EB703A" w:rsidP="00F175A7">
      <w:pPr>
        <w:numPr>
          <w:ilvl w:val="0"/>
          <w:numId w:val="8"/>
        </w:numPr>
        <w:shd w:val="clear" w:color="auto" w:fill="FFFFFF"/>
        <w:spacing w:before="120" w:after="120" w:line="240" w:lineRule="auto"/>
        <w:ind w:left="0"/>
        <w:rPr>
          <w:rFonts w:eastAsia="Calibri"/>
          <w:szCs w:val="24"/>
        </w:rPr>
      </w:pPr>
      <w:r w:rsidRPr="0042784A">
        <w:rPr>
          <w:rFonts w:eastAsia="Calibri"/>
          <w:szCs w:val="24"/>
        </w:rPr>
        <w:t xml:space="preserve">En matière de dette publique, l’encours total est ressorti à </w:t>
      </w:r>
      <w:r w:rsidR="00A85318" w:rsidRPr="0042784A">
        <w:rPr>
          <w:rFonts w:eastAsia="Calibri"/>
          <w:szCs w:val="24"/>
        </w:rPr>
        <w:t>7</w:t>
      </w:r>
      <w:r w:rsidRPr="0042784A">
        <w:rPr>
          <w:rFonts w:eastAsia="Calibri"/>
          <w:szCs w:val="24"/>
        </w:rPr>
        <w:t xml:space="preserve"> </w:t>
      </w:r>
      <w:r w:rsidR="00A85318" w:rsidRPr="0042784A">
        <w:rPr>
          <w:rFonts w:eastAsia="Calibri"/>
          <w:szCs w:val="24"/>
        </w:rPr>
        <w:t>655</w:t>
      </w:r>
      <w:r w:rsidRPr="0042784A">
        <w:rPr>
          <w:rFonts w:eastAsia="Calibri"/>
          <w:szCs w:val="24"/>
        </w:rPr>
        <w:t>,</w:t>
      </w:r>
      <w:r w:rsidR="00A85318" w:rsidRPr="0042784A">
        <w:rPr>
          <w:rFonts w:eastAsia="Calibri"/>
          <w:szCs w:val="24"/>
        </w:rPr>
        <w:t>3</w:t>
      </w:r>
      <w:r w:rsidRPr="0042784A">
        <w:rPr>
          <w:rFonts w:eastAsia="Calibri"/>
          <w:szCs w:val="24"/>
        </w:rPr>
        <w:t xml:space="preserve"> milliards FCFA au 31 </w:t>
      </w:r>
      <w:r w:rsidR="00A85318" w:rsidRPr="0042784A">
        <w:rPr>
          <w:rFonts w:eastAsia="Calibri"/>
          <w:szCs w:val="24"/>
        </w:rPr>
        <w:t xml:space="preserve">décembre </w:t>
      </w:r>
      <w:r w:rsidRPr="0042784A">
        <w:rPr>
          <w:rFonts w:eastAsia="Calibri"/>
          <w:szCs w:val="24"/>
        </w:rPr>
        <w:t xml:space="preserve">2023, contre 6 737,2 milliards FCFA au 31 décembre 2022, soit une hausse de </w:t>
      </w:r>
      <w:r w:rsidR="00A85318" w:rsidRPr="0042784A">
        <w:rPr>
          <w:rFonts w:eastAsia="Calibri"/>
          <w:szCs w:val="24"/>
        </w:rPr>
        <w:t>1</w:t>
      </w:r>
      <w:r w:rsidRPr="0042784A">
        <w:rPr>
          <w:rFonts w:eastAsia="Calibri"/>
          <w:szCs w:val="24"/>
        </w:rPr>
        <w:t>3,</w:t>
      </w:r>
      <w:r w:rsidR="00A85318" w:rsidRPr="0042784A">
        <w:rPr>
          <w:rFonts w:eastAsia="Calibri"/>
          <w:szCs w:val="24"/>
        </w:rPr>
        <w:t>6</w:t>
      </w:r>
      <w:r w:rsidRPr="0042784A">
        <w:rPr>
          <w:rFonts w:eastAsia="Calibri"/>
          <w:szCs w:val="24"/>
        </w:rPr>
        <w:t xml:space="preserve">%. </w:t>
      </w:r>
    </w:p>
    <w:p w14:paraId="6B9CDE1B" w14:textId="23C80CC6"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A85318">
        <w:rPr>
          <w:rFonts w:eastAsia="Calibri"/>
          <w:szCs w:val="24"/>
        </w:rPr>
        <w:t>En dépit de ce contexte</w:t>
      </w:r>
      <w:r w:rsidRPr="00B21CEC">
        <w:rPr>
          <w:rFonts w:eastAsia="Calibri"/>
          <w:szCs w:val="24"/>
        </w:rPr>
        <w:t xml:space="preserve"> difficile, la mise en œuvre du PA-SD en 2023 a tout de même permis d’engranger des acquis fort appréciables. Le bilan de l’exécution physique de l’ensemble des quatre piliers ressort à 7</w:t>
      </w:r>
      <w:r w:rsidR="0088136F">
        <w:rPr>
          <w:rFonts w:eastAsia="Calibri"/>
          <w:szCs w:val="24"/>
        </w:rPr>
        <w:t>3</w:t>
      </w:r>
      <w:r w:rsidRPr="00B21CEC">
        <w:rPr>
          <w:rFonts w:eastAsia="Calibri"/>
          <w:szCs w:val="24"/>
        </w:rPr>
        <w:t>,</w:t>
      </w:r>
      <w:r w:rsidR="0088136F">
        <w:rPr>
          <w:rFonts w:eastAsia="Calibri"/>
          <w:szCs w:val="24"/>
        </w:rPr>
        <w:t>39</w:t>
      </w:r>
      <w:r w:rsidRPr="00B21CEC">
        <w:rPr>
          <w:rFonts w:eastAsia="Calibri"/>
          <w:szCs w:val="24"/>
        </w:rPr>
        <w:t>% pour une réalisation financière de 59,</w:t>
      </w:r>
      <w:r w:rsidR="0088136F">
        <w:rPr>
          <w:rFonts w:eastAsia="Calibri"/>
          <w:szCs w:val="24"/>
        </w:rPr>
        <w:t>2</w:t>
      </w:r>
      <w:r w:rsidRPr="00B21CEC">
        <w:rPr>
          <w:rFonts w:eastAsia="Calibri"/>
          <w:szCs w:val="24"/>
        </w:rPr>
        <w:t>1%. Les principaux résultats sont analysés par pilier et par action en évoquant les difficultés rencontrées et les actions majeures à engager à court et moyen terme.</w:t>
      </w:r>
    </w:p>
    <w:p w14:paraId="7C01A964" w14:textId="13918AA5"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Ainsi, concernant la lutte contre le terrorisme et la restauration de l’intégrité territoriale (Pilier 1 du PA-SD), </w:t>
      </w:r>
      <w:r w:rsidRPr="00054D27">
        <w:rPr>
          <w:rFonts w:eastAsia="Calibri"/>
          <w:szCs w:val="24"/>
        </w:rPr>
        <w:t>le taux moye</w:t>
      </w:r>
      <w:r w:rsidR="00054D27" w:rsidRPr="00054D27">
        <w:rPr>
          <w:rFonts w:eastAsia="Calibri"/>
          <w:szCs w:val="24"/>
        </w:rPr>
        <w:t>n d’exécution physique est de 8</w:t>
      </w:r>
      <w:r w:rsidR="002956EF">
        <w:rPr>
          <w:rFonts w:eastAsia="Calibri"/>
          <w:szCs w:val="24"/>
        </w:rPr>
        <w:t>2</w:t>
      </w:r>
      <w:r w:rsidR="00054D27" w:rsidRPr="00054D27">
        <w:rPr>
          <w:rFonts w:eastAsia="Calibri"/>
          <w:szCs w:val="24"/>
        </w:rPr>
        <w:t>,</w:t>
      </w:r>
      <w:r w:rsidR="002956EF">
        <w:rPr>
          <w:rFonts w:eastAsia="Calibri"/>
          <w:szCs w:val="24"/>
        </w:rPr>
        <w:t>7</w:t>
      </w:r>
      <w:r w:rsidRPr="00054D27">
        <w:rPr>
          <w:rFonts w:eastAsia="Calibri"/>
          <w:szCs w:val="24"/>
        </w:rPr>
        <w:t>5% pour une exécution financi</w:t>
      </w:r>
      <w:r w:rsidR="00054D27" w:rsidRPr="00054D27">
        <w:rPr>
          <w:rFonts w:eastAsia="Calibri"/>
          <w:szCs w:val="24"/>
        </w:rPr>
        <w:t>ère de 6</w:t>
      </w:r>
      <w:r w:rsidR="002956EF">
        <w:rPr>
          <w:rFonts w:eastAsia="Calibri"/>
          <w:szCs w:val="24"/>
        </w:rPr>
        <w:t>3</w:t>
      </w:r>
      <w:r w:rsidR="00054D27" w:rsidRPr="00054D27">
        <w:rPr>
          <w:rFonts w:eastAsia="Calibri"/>
          <w:szCs w:val="24"/>
        </w:rPr>
        <w:t>,</w:t>
      </w:r>
      <w:r w:rsidR="002956EF">
        <w:rPr>
          <w:rFonts w:eastAsia="Calibri"/>
          <w:szCs w:val="24"/>
        </w:rPr>
        <w:t>16</w:t>
      </w:r>
      <w:r w:rsidRPr="00054D27">
        <w:rPr>
          <w:rFonts w:eastAsia="Calibri"/>
          <w:szCs w:val="24"/>
        </w:rPr>
        <w:t xml:space="preserve">%. </w:t>
      </w:r>
      <w:r w:rsidRPr="00B21CEC">
        <w:rPr>
          <w:rFonts w:eastAsia="Calibri"/>
          <w:szCs w:val="24"/>
        </w:rPr>
        <w:t xml:space="preserve">Les progrès les plus importants ont été notés au niveau de l’exécution des actions suivantes : (i) en matière de renforcement des capacités opérationnelles des Forces de défense et de sécurité en vue de libérer les localités occupées par les terroristes avec le recrutement et la formation de 63 699 VDP, la mise à disposition d’environ 10 500 </w:t>
      </w:r>
      <w:r w:rsidRPr="00B21CEC">
        <w:rPr>
          <w:rFonts w:eastAsia="Calibri"/>
          <w:szCs w:val="24"/>
        </w:rPr>
        <w:lastRenderedPageBreak/>
        <w:t>FDS</w:t>
      </w:r>
      <w:r w:rsidR="00480638">
        <w:rPr>
          <w:rFonts w:eastAsia="Calibri"/>
          <w:szCs w:val="24"/>
        </w:rPr>
        <w:t xml:space="preserve"> </w:t>
      </w:r>
      <w:r w:rsidRPr="00B21CEC">
        <w:rPr>
          <w:rFonts w:eastAsia="Calibri"/>
          <w:szCs w:val="24"/>
        </w:rPr>
        <w:t>(militaires, policiers, gendarmes, GSP, sapeurs-pompiers) , la construction des CPD, la création de 6 Groupements d'unités mobiles d'intervention (GUMI)</w:t>
      </w:r>
      <w:r w:rsidR="00167886">
        <w:rPr>
          <w:rFonts w:eastAsia="Calibri"/>
          <w:szCs w:val="24"/>
        </w:rPr>
        <w:t xml:space="preserve"> et de </w:t>
      </w:r>
      <w:r w:rsidR="00C45A6C">
        <w:rPr>
          <w:rFonts w:eastAsia="Calibri"/>
          <w:szCs w:val="24"/>
        </w:rPr>
        <w:t>46</w:t>
      </w:r>
      <w:r w:rsidR="00167886">
        <w:rPr>
          <w:rFonts w:eastAsia="Calibri"/>
          <w:szCs w:val="24"/>
        </w:rPr>
        <w:t xml:space="preserve"> UMI</w:t>
      </w:r>
      <w:r w:rsidRPr="00B21CEC">
        <w:rPr>
          <w:rFonts w:eastAsia="Calibri"/>
          <w:szCs w:val="24"/>
        </w:rPr>
        <w:t xml:space="preserve"> à la </w:t>
      </w:r>
      <w:r w:rsidR="00037426">
        <w:rPr>
          <w:rFonts w:eastAsia="Calibri"/>
          <w:szCs w:val="24"/>
        </w:rPr>
        <w:t>P</w:t>
      </w:r>
      <w:r w:rsidRPr="00B21CEC">
        <w:rPr>
          <w:rFonts w:eastAsia="Calibri"/>
          <w:szCs w:val="24"/>
        </w:rPr>
        <w:t>olice nationale</w:t>
      </w:r>
      <w:r w:rsidR="00167886">
        <w:rPr>
          <w:rFonts w:eastAsia="Calibri"/>
          <w:szCs w:val="24"/>
        </w:rPr>
        <w:t xml:space="preserve"> ainsi que la création de </w:t>
      </w:r>
      <w:r w:rsidR="00C45A6C">
        <w:rPr>
          <w:rFonts w:eastAsia="Calibri"/>
          <w:szCs w:val="24"/>
        </w:rPr>
        <w:t>20</w:t>
      </w:r>
      <w:r w:rsidR="00167886">
        <w:rPr>
          <w:rFonts w:eastAsia="Calibri"/>
          <w:szCs w:val="24"/>
        </w:rPr>
        <w:t xml:space="preserve"> B</w:t>
      </w:r>
      <w:r w:rsidR="00C45A6C">
        <w:rPr>
          <w:rFonts w:eastAsia="Calibri"/>
          <w:szCs w:val="24"/>
        </w:rPr>
        <w:t>ataillons d’intervention rapide (B</w:t>
      </w:r>
      <w:r w:rsidR="00167886">
        <w:rPr>
          <w:rFonts w:eastAsia="Calibri"/>
          <w:szCs w:val="24"/>
        </w:rPr>
        <w:t>IR</w:t>
      </w:r>
      <w:r w:rsidR="00C45A6C">
        <w:rPr>
          <w:rFonts w:eastAsia="Calibri"/>
          <w:szCs w:val="24"/>
        </w:rPr>
        <w:t>)</w:t>
      </w:r>
      <w:r w:rsidR="00167886">
        <w:rPr>
          <w:rFonts w:eastAsia="Calibri"/>
          <w:szCs w:val="24"/>
        </w:rPr>
        <w:t xml:space="preserve"> et </w:t>
      </w:r>
      <w:r w:rsidRPr="00B21CEC">
        <w:rPr>
          <w:rFonts w:eastAsia="Calibri"/>
          <w:szCs w:val="24"/>
        </w:rPr>
        <w:t> ;(ii) en matière d’intensification de la lutte contre la criminalité et le grand banditisme avec la baisse du nombre d’agressions/attaques à main armée enregistré</w:t>
      </w:r>
      <w:r w:rsidR="007B2AC6">
        <w:rPr>
          <w:rFonts w:eastAsia="Calibri"/>
          <w:szCs w:val="24"/>
        </w:rPr>
        <w:t>e</w:t>
      </w:r>
      <w:r w:rsidRPr="00B21CEC">
        <w:rPr>
          <w:rFonts w:eastAsia="Calibri"/>
          <w:szCs w:val="24"/>
        </w:rPr>
        <w:t xml:space="preserve"> sur le territoire qui est passé</w:t>
      </w:r>
      <w:r w:rsidR="007B2AC6">
        <w:rPr>
          <w:rFonts w:eastAsia="Calibri"/>
          <w:szCs w:val="24"/>
        </w:rPr>
        <w:t>e</w:t>
      </w:r>
      <w:r w:rsidRPr="00B21CEC">
        <w:rPr>
          <w:rFonts w:eastAsia="Calibri"/>
          <w:szCs w:val="24"/>
        </w:rPr>
        <w:t xml:space="preserve"> de 832 cas en 2022 à 655 cas en 2023; (iii) en matière de réinstallation des services de l'</w:t>
      </w:r>
      <w:r w:rsidR="007B2AC6">
        <w:rPr>
          <w:rFonts w:eastAsia="Calibri"/>
          <w:szCs w:val="24"/>
        </w:rPr>
        <w:t>E</w:t>
      </w:r>
      <w:r w:rsidRPr="00B21CEC">
        <w:rPr>
          <w:rFonts w:eastAsia="Calibri"/>
          <w:szCs w:val="24"/>
        </w:rPr>
        <w:t xml:space="preserve">tat dans les localités libérées de l'emprise des groupes </w:t>
      </w:r>
      <w:r w:rsidR="007B2AC6">
        <w:rPr>
          <w:rFonts w:eastAsia="Calibri"/>
          <w:szCs w:val="24"/>
        </w:rPr>
        <w:t>a</w:t>
      </w:r>
      <w:r w:rsidRPr="00B21CEC">
        <w:rPr>
          <w:rFonts w:eastAsia="Calibri"/>
          <w:szCs w:val="24"/>
        </w:rPr>
        <w:t xml:space="preserve">rmés </w:t>
      </w:r>
      <w:r w:rsidR="007B2AC6">
        <w:rPr>
          <w:rFonts w:eastAsia="Calibri"/>
          <w:szCs w:val="24"/>
        </w:rPr>
        <w:t>t</w:t>
      </w:r>
      <w:r w:rsidRPr="00B21CEC">
        <w:rPr>
          <w:rFonts w:eastAsia="Calibri"/>
          <w:szCs w:val="24"/>
        </w:rPr>
        <w:t xml:space="preserve">erroristes avec la réouverture de six (06) services de police, de cinq (05) sièges de circonscription administrative, d’un (01) siège de collectivité territoriale et de deux (02) juridictions et la réinstallation de </w:t>
      </w:r>
      <w:r w:rsidR="00752D1C">
        <w:rPr>
          <w:rFonts w:eastAsia="Calibri"/>
          <w:szCs w:val="24"/>
        </w:rPr>
        <w:t xml:space="preserve">plus </w:t>
      </w:r>
      <w:r w:rsidRPr="00B21CEC">
        <w:rPr>
          <w:rFonts w:eastAsia="Calibri"/>
          <w:szCs w:val="24"/>
        </w:rPr>
        <w:t>140 villages</w:t>
      </w:r>
      <w:r w:rsidR="007B2AC6">
        <w:rPr>
          <w:rFonts w:eastAsia="Calibri"/>
          <w:szCs w:val="24"/>
        </w:rPr>
        <w:t>.</w:t>
      </w:r>
    </w:p>
    <w:p w14:paraId="66CC5DA2" w14:textId="7627EFF6"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Pour ce qui est de la réponse à la crise humanitaire (Pilier 2 du PA-SD), le taux moyen d’exécution physique est de 86,16% pour une exécution financière de 75,47%. Les avancées majeures portent sur l’opérationnalisation des actions de (i)soutien au retour volontaire des personnes déplacées dans leurs zones d'origine et garantie de leur sécurité, et (ii)la prise en charge psycho-sociale des victimes et personnes affectées par le terrorisme. Il s’agit notamment de la dotation des non</w:t>
      </w:r>
      <w:r w:rsidR="007B2AC6">
        <w:rPr>
          <w:rFonts w:eastAsia="Calibri"/>
          <w:szCs w:val="24"/>
        </w:rPr>
        <w:t>-</w:t>
      </w:r>
      <w:r w:rsidRPr="00B21CEC">
        <w:rPr>
          <w:rFonts w:eastAsia="Calibri"/>
          <w:szCs w:val="24"/>
        </w:rPr>
        <w:t xml:space="preserve">vivres (Kits AME) à 39 718 bénéficiaires, de l’aménagement </w:t>
      </w:r>
      <w:r w:rsidR="00943B03" w:rsidRPr="00B21CEC">
        <w:rPr>
          <w:rFonts w:eastAsia="Calibri"/>
          <w:szCs w:val="24"/>
        </w:rPr>
        <w:t>de 275</w:t>
      </w:r>
      <w:r w:rsidRPr="00B21CEC">
        <w:rPr>
          <w:rFonts w:eastAsia="Calibri"/>
          <w:szCs w:val="24"/>
        </w:rPr>
        <w:t xml:space="preserve"> hectares de terres agricoles, de l’octroi d’intrants agricoles au profit de 37 000 agriculteurs, de la réalisation d’infrastructures sanitaires, scolaires, marchandes, d’élevage pour 200 000 personnes, et la prise en charge </w:t>
      </w:r>
      <w:r w:rsidR="007B2AC6">
        <w:rPr>
          <w:rFonts w:eastAsia="Calibri"/>
          <w:szCs w:val="24"/>
        </w:rPr>
        <w:t xml:space="preserve">sur le </w:t>
      </w:r>
      <w:r w:rsidRPr="00B21CEC">
        <w:rPr>
          <w:rFonts w:eastAsia="Calibri"/>
          <w:szCs w:val="24"/>
        </w:rPr>
        <w:t xml:space="preserve">plan psycho-social de la totalité des gendarmes et policiers blessés ainsi que la prise en charge des familles de gendarmes et policiers portés </w:t>
      </w:r>
      <w:r w:rsidR="00943B03" w:rsidRPr="00B21CEC">
        <w:rPr>
          <w:rFonts w:eastAsia="Calibri"/>
          <w:szCs w:val="24"/>
        </w:rPr>
        <w:t>disparus.</w:t>
      </w:r>
    </w:p>
    <w:p w14:paraId="4930F6E1" w14:textId="4ABA7CAC"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En dépit de ces acquis, </w:t>
      </w:r>
      <w:r w:rsidR="00846D1F">
        <w:rPr>
          <w:rFonts w:eastAsia="Calibri"/>
          <w:szCs w:val="24"/>
        </w:rPr>
        <w:t>d</w:t>
      </w:r>
      <w:r w:rsidRPr="00B21CEC">
        <w:rPr>
          <w:rFonts w:eastAsia="Calibri"/>
          <w:szCs w:val="24"/>
        </w:rPr>
        <w:t>es efforts restent à fournir afin de faire de la mise en œuvre du Plan de soutien à la réinstallation des PDI et des autres personnes affectées par le terrorisme une réussite</w:t>
      </w:r>
      <w:r w:rsidR="00846D1F">
        <w:rPr>
          <w:rFonts w:eastAsia="Calibri"/>
          <w:szCs w:val="24"/>
        </w:rPr>
        <w:t xml:space="preserve"> et de</w:t>
      </w:r>
      <w:r w:rsidRPr="00B21CEC">
        <w:rPr>
          <w:rFonts w:eastAsia="Calibri"/>
          <w:szCs w:val="24"/>
        </w:rPr>
        <w:t xml:space="preserve"> permettre une mise en œuvre optimale des projets de stabilisation dans le cadre du soutien au retour volontaire des PDI dans leurs zones d’origine et la garantie de leur sécurité. </w:t>
      </w:r>
    </w:p>
    <w:p w14:paraId="767BE635" w14:textId="2B2830CE"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La mise en œuvre des actions programmées au niveau du Pilier 3 du PA-SD a également permis d’enregistrer des acquis notables en matière de réformes institutionnelles et de modernisation de l’administration publique (axe 2 de la PND), de développement du capital humain (axe 3 de la PND) ou encore de dynamisation des secteurs porteurs pour l’économie et les emplois (axe 4 de la PND). Pour l’ensemble des actions du </w:t>
      </w:r>
      <w:r w:rsidR="007B2AC6">
        <w:rPr>
          <w:rFonts w:eastAsia="Calibri"/>
          <w:szCs w:val="24"/>
        </w:rPr>
        <w:t>P</w:t>
      </w:r>
      <w:r w:rsidRPr="00B21CEC">
        <w:rPr>
          <w:rFonts w:eastAsia="Calibri"/>
          <w:szCs w:val="24"/>
        </w:rPr>
        <w:t>ilier 3, le taux moyen d’exécution physique est de 6</w:t>
      </w:r>
      <w:r w:rsidR="0088136F">
        <w:rPr>
          <w:rFonts w:eastAsia="Calibri"/>
          <w:szCs w:val="24"/>
        </w:rPr>
        <w:t>7</w:t>
      </w:r>
      <w:r w:rsidRPr="00B21CEC">
        <w:rPr>
          <w:rFonts w:eastAsia="Calibri"/>
          <w:szCs w:val="24"/>
        </w:rPr>
        <w:t>,</w:t>
      </w:r>
      <w:r w:rsidR="0088136F">
        <w:rPr>
          <w:rFonts w:eastAsia="Calibri"/>
          <w:szCs w:val="24"/>
        </w:rPr>
        <w:t>5</w:t>
      </w:r>
      <w:r w:rsidRPr="00B21CEC">
        <w:rPr>
          <w:rFonts w:eastAsia="Calibri"/>
          <w:szCs w:val="24"/>
        </w:rPr>
        <w:t>4% et le taux d’exécution financière de 55,</w:t>
      </w:r>
      <w:r w:rsidR="0088136F">
        <w:rPr>
          <w:rFonts w:eastAsia="Calibri"/>
          <w:szCs w:val="24"/>
        </w:rPr>
        <w:t>47</w:t>
      </w:r>
      <w:r w:rsidRPr="00B21CEC">
        <w:rPr>
          <w:rFonts w:eastAsia="Calibri"/>
          <w:szCs w:val="24"/>
        </w:rPr>
        <w:t>%.</w:t>
      </w:r>
    </w:p>
    <w:p w14:paraId="0A3B829B" w14:textId="2F9B110D"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Relativement aux actions de l’axe 2 de ce pilier, portant sur les réformes institutionnelles et de modernisation de l’administration publique, et s’agissant de promouvoir la démocratie et la bonne gouvernance politique, les performances au 31 décembre 2023 concernent (i) l’amélioration du fonctionnement des juridictions avec l'exécution à </w:t>
      </w:r>
      <w:r w:rsidR="00752D1C">
        <w:rPr>
          <w:rFonts w:eastAsia="Calibri"/>
          <w:szCs w:val="24"/>
        </w:rPr>
        <w:t>10</w:t>
      </w:r>
      <w:r w:rsidRPr="00B21CEC">
        <w:rPr>
          <w:rFonts w:eastAsia="Calibri"/>
          <w:szCs w:val="24"/>
        </w:rPr>
        <w:t xml:space="preserve">0% du programme d'équipement des juridictions et le recouvrement à </w:t>
      </w:r>
      <w:r w:rsidR="00752D1C">
        <w:rPr>
          <w:rFonts w:eastAsia="Calibri"/>
          <w:szCs w:val="24"/>
        </w:rPr>
        <w:t>84</w:t>
      </w:r>
      <w:r w:rsidRPr="00B21CEC">
        <w:rPr>
          <w:rFonts w:eastAsia="Calibri"/>
          <w:szCs w:val="24"/>
        </w:rPr>
        <w:t xml:space="preserve">,5% des amendes pénales ; (ii) l’amélioration de l’accès à la justice avec l’octroi de l’assistance judiciaire à </w:t>
      </w:r>
      <w:r w:rsidR="00752D1C">
        <w:rPr>
          <w:rFonts w:eastAsia="Calibri"/>
          <w:szCs w:val="24"/>
        </w:rPr>
        <w:t>1 233</w:t>
      </w:r>
      <w:r w:rsidRPr="00B21CEC">
        <w:rPr>
          <w:rFonts w:eastAsia="Calibri"/>
          <w:szCs w:val="24"/>
        </w:rPr>
        <w:t xml:space="preserve"> personnes, la réhabilitation à 98% du palais de justice de Bobo-Dioulasso et (iii) le renforcement de l'effectivité des droits humains par la formation de</w:t>
      </w:r>
      <w:r w:rsidR="007B2AC6">
        <w:rPr>
          <w:rFonts w:eastAsia="Calibri"/>
          <w:szCs w:val="24"/>
        </w:rPr>
        <w:t>s</w:t>
      </w:r>
      <w:r w:rsidRPr="00B21CEC">
        <w:rPr>
          <w:rFonts w:eastAsia="Calibri"/>
          <w:szCs w:val="24"/>
        </w:rPr>
        <w:t xml:space="preserve"> acteurs en droits humains et en droit </w:t>
      </w:r>
      <w:r w:rsidRPr="00B21CEC">
        <w:rPr>
          <w:rFonts w:eastAsia="Calibri"/>
          <w:szCs w:val="24"/>
        </w:rPr>
        <w:lastRenderedPageBreak/>
        <w:t xml:space="preserve">international humanitaire et le traitement de 100% des plaintes des victimes de violation des droits humains. </w:t>
      </w:r>
    </w:p>
    <w:p w14:paraId="280E37D2" w14:textId="01436169"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Au titre de l’objectif de la promotion de la bonne gouvernance administrative et la modernisation de l’administration publique, les principaux résultats concernent : (i) la réception en ligne des candidatures de tous les concours directs et professionnels, la composition de 89,06% des concours professionnels en ligne et la signature dans les délais des actes de carrière (intégration, reclassement, retraite) de 61,8%; (ii) la dépolitisation de l'administration publique et promotion du mérite avec l’adoption de la loi n°002-2023/ALT du 16 mars 2023 portant renforcement de la neutralité politique et de la méritocratie dans l’administration publique. </w:t>
      </w:r>
    </w:p>
    <w:p w14:paraId="44804004" w14:textId="0B1A34CD"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Au titre de la promotion de la bonne gouvernance économique, financière et les coopérations régionale et internationale, les résultats au 31 décembre 2023 portent sur : (i) l’informatisation du cadastre foncier national avec la numérisation de </w:t>
      </w:r>
      <w:r w:rsidR="00752D1C">
        <w:rPr>
          <w:rFonts w:eastAsia="Calibri"/>
          <w:szCs w:val="24"/>
        </w:rPr>
        <w:t>848 903</w:t>
      </w:r>
      <w:r w:rsidRPr="00B21CEC">
        <w:rPr>
          <w:rFonts w:eastAsia="Calibri"/>
          <w:szCs w:val="24"/>
        </w:rPr>
        <w:t xml:space="preserve"> </w:t>
      </w:r>
      <w:r w:rsidR="00D56390" w:rsidRPr="00D56390">
        <w:rPr>
          <w:rFonts w:eastAsia="Calibri"/>
          <w:szCs w:val="24"/>
        </w:rPr>
        <w:t xml:space="preserve">références cadastrales </w:t>
      </w:r>
      <w:r w:rsidRPr="00B21CEC">
        <w:rPr>
          <w:rFonts w:eastAsia="Calibri"/>
          <w:szCs w:val="24"/>
        </w:rPr>
        <w:t xml:space="preserve">et le déploiement de la plateforme e-cadastre ; (ii) l’informatisation du système des marchés publics et de la comptabilité matière ; (iii) l’assainissement du marché intérieur par la répression de </w:t>
      </w:r>
      <w:r w:rsidR="00752D1C">
        <w:rPr>
          <w:rFonts w:eastAsia="Calibri"/>
          <w:szCs w:val="24"/>
        </w:rPr>
        <w:t>307</w:t>
      </w:r>
      <w:r w:rsidRPr="00B21CEC">
        <w:rPr>
          <w:rFonts w:eastAsia="Calibri"/>
          <w:szCs w:val="24"/>
        </w:rPr>
        <w:t xml:space="preserve"> cas de fraude et d'usage de faux; (iv) l’audit des ministères et Institutions avec la réalisation des audits de </w:t>
      </w:r>
      <w:r w:rsidR="00752D1C">
        <w:rPr>
          <w:rFonts w:eastAsia="Calibri"/>
          <w:szCs w:val="24"/>
        </w:rPr>
        <w:t>12 ministères, 6 entreprises publiques,</w:t>
      </w:r>
      <w:r w:rsidR="00752D1C" w:rsidRPr="00B21CEC">
        <w:rPr>
          <w:rFonts w:eastAsia="Calibri"/>
          <w:szCs w:val="24"/>
        </w:rPr>
        <w:t xml:space="preserve"> </w:t>
      </w:r>
      <w:r w:rsidR="00752D1C">
        <w:rPr>
          <w:rFonts w:eastAsia="Calibri"/>
          <w:szCs w:val="24"/>
        </w:rPr>
        <w:t xml:space="preserve">10 </w:t>
      </w:r>
      <w:r w:rsidR="00752D1C" w:rsidRPr="00B21CEC">
        <w:rPr>
          <w:rFonts w:eastAsia="Calibri"/>
          <w:szCs w:val="24"/>
        </w:rPr>
        <w:t xml:space="preserve">établissements publics et </w:t>
      </w:r>
      <w:r w:rsidR="00752D1C">
        <w:rPr>
          <w:rFonts w:eastAsia="Calibri"/>
          <w:szCs w:val="24"/>
        </w:rPr>
        <w:t>21</w:t>
      </w:r>
      <w:r w:rsidRPr="00B21CEC">
        <w:rPr>
          <w:rFonts w:eastAsia="Calibri"/>
          <w:szCs w:val="24"/>
        </w:rPr>
        <w:t xml:space="preserve"> projets et programmes ; (vi) l’optimisation de la mobilisation des ressources financières </w:t>
      </w:r>
      <w:r w:rsidR="00752D1C">
        <w:rPr>
          <w:rFonts w:eastAsia="Calibri"/>
          <w:szCs w:val="24"/>
        </w:rPr>
        <w:t>avec un taux de réalisation du recouvrement des recettes intérieures de 99,23%</w:t>
      </w:r>
      <w:r w:rsidRPr="00B21CEC">
        <w:rPr>
          <w:rFonts w:eastAsia="Calibri"/>
          <w:szCs w:val="24"/>
        </w:rPr>
        <w:t xml:space="preserve">. </w:t>
      </w:r>
    </w:p>
    <w:p w14:paraId="0724B34C" w14:textId="6F4DC1AD"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Pour ce qui </w:t>
      </w:r>
      <w:r w:rsidR="00037426">
        <w:rPr>
          <w:rFonts w:eastAsia="Calibri"/>
          <w:szCs w:val="24"/>
        </w:rPr>
        <w:t xml:space="preserve">est </w:t>
      </w:r>
      <w:r w:rsidRPr="00B21CEC">
        <w:rPr>
          <w:rFonts w:eastAsia="Calibri"/>
          <w:szCs w:val="24"/>
        </w:rPr>
        <w:t xml:space="preserve">du renforcement de la décentralisation et la bonne gouvernance locale, les principaux résultats sont liés à la poursuite du développement des économies locales avec entre autres la réalisation </w:t>
      </w:r>
      <w:r w:rsidR="007B2AC6">
        <w:rPr>
          <w:rFonts w:eastAsia="Calibri"/>
          <w:szCs w:val="24"/>
        </w:rPr>
        <w:t xml:space="preserve">de </w:t>
      </w:r>
      <w:r w:rsidR="00752D1C">
        <w:rPr>
          <w:rFonts w:eastAsia="Calibri"/>
          <w:szCs w:val="24"/>
        </w:rPr>
        <w:t xml:space="preserve">300 </w:t>
      </w:r>
      <w:r w:rsidRPr="00B21CEC">
        <w:rPr>
          <w:rFonts w:eastAsia="Calibri"/>
          <w:szCs w:val="24"/>
        </w:rPr>
        <w:t>infrastructures, l’aménagement de 3</w:t>
      </w:r>
      <w:r w:rsidR="00752D1C">
        <w:rPr>
          <w:rFonts w:eastAsia="Calibri"/>
          <w:szCs w:val="24"/>
        </w:rPr>
        <w:t>6</w:t>
      </w:r>
      <w:r w:rsidRPr="00B21CEC">
        <w:rPr>
          <w:rFonts w:eastAsia="Calibri"/>
          <w:szCs w:val="24"/>
        </w:rPr>
        <w:t xml:space="preserve"> de </w:t>
      </w:r>
      <w:r w:rsidR="00037426">
        <w:rPr>
          <w:rFonts w:eastAsia="Calibri"/>
          <w:szCs w:val="24"/>
        </w:rPr>
        <w:t>k</w:t>
      </w:r>
      <w:r w:rsidRPr="00B21CEC">
        <w:rPr>
          <w:rFonts w:eastAsia="Calibri"/>
          <w:szCs w:val="24"/>
        </w:rPr>
        <w:t xml:space="preserve">m de pistes rurales, la construction de 100 salles de classe et la réalisation de </w:t>
      </w:r>
      <w:r w:rsidR="00752D1C">
        <w:rPr>
          <w:rFonts w:eastAsia="Calibri"/>
          <w:szCs w:val="24"/>
        </w:rPr>
        <w:t>41</w:t>
      </w:r>
      <w:r w:rsidRPr="00B21CEC">
        <w:rPr>
          <w:rFonts w:eastAsia="Calibri"/>
          <w:szCs w:val="24"/>
        </w:rPr>
        <w:t xml:space="preserve"> forages positifs et d’AEPS. </w:t>
      </w:r>
    </w:p>
    <w:p w14:paraId="25FF15EB" w14:textId="06CE0513"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D’autres acquis majeurs sont enregistrés dans cet axe et portent sur : (i) la création de </w:t>
      </w:r>
      <w:r w:rsidR="00752D1C">
        <w:rPr>
          <w:rFonts w:eastAsia="Calibri"/>
          <w:szCs w:val="24"/>
        </w:rPr>
        <w:t>21 </w:t>
      </w:r>
      <w:r w:rsidR="00752D1C" w:rsidRPr="00B21CEC">
        <w:rPr>
          <w:rFonts w:eastAsia="Calibri"/>
          <w:szCs w:val="24"/>
        </w:rPr>
        <w:t>7</w:t>
      </w:r>
      <w:r w:rsidR="00752D1C">
        <w:rPr>
          <w:rFonts w:eastAsia="Calibri"/>
          <w:szCs w:val="24"/>
        </w:rPr>
        <w:t>87</w:t>
      </w:r>
      <w:r w:rsidR="00752D1C" w:rsidRPr="00B21CEC">
        <w:rPr>
          <w:rFonts w:eastAsia="Calibri"/>
          <w:szCs w:val="24"/>
        </w:rPr>
        <w:t xml:space="preserve"> </w:t>
      </w:r>
      <w:r w:rsidRPr="00B21CEC">
        <w:rPr>
          <w:rFonts w:eastAsia="Calibri"/>
          <w:szCs w:val="24"/>
        </w:rPr>
        <w:t>nouvelles entreprises ; (ii) l’octroi de 41 certificats NBF ; (i</w:t>
      </w:r>
      <w:r w:rsidR="007B2AC6">
        <w:rPr>
          <w:rFonts w:eastAsia="Calibri"/>
          <w:szCs w:val="24"/>
        </w:rPr>
        <w:t>ii</w:t>
      </w:r>
      <w:r w:rsidRPr="00B21CEC">
        <w:rPr>
          <w:rFonts w:eastAsia="Calibri"/>
          <w:szCs w:val="24"/>
        </w:rPr>
        <w:t xml:space="preserve">) la création du Fonds </w:t>
      </w:r>
      <w:r w:rsidR="007B2AC6">
        <w:rPr>
          <w:rFonts w:eastAsia="Calibri"/>
          <w:szCs w:val="24"/>
        </w:rPr>
        <w:t>n</w:t>
      </w:r>
      <w:r w:rsidRPr="00B21CEC">
        <w:rPr>
          <w:rFonts w:eastAsia="Calibri"/>
          <w:szCs w:val="24"/>
        </w:rPr>
        <w:t xml:space="preserve">ational pour les </w:t>
      </w:r>
      <w:r w:rsidR="007B2AC6">
        <w:rPr>
          <w:rFonts w:eastAsia="Calibri"/>
          <w:szCs w:val="24"/>
        </w:rPr>
        <w:t>a</w:t>
      </w:r>
      <w:r w:rsidRPr="00B21CEC">
        <w:rPr>
          <w:rFonts w:eastAsia="Calibri"/>
          <w:szCs w:val="24"/>
        </w:rPr>
        <w:t xml:space="preserve">ménagements </w:t>
      </w:r>
      <w:r w:rsidR="007B2AC6">
        <w:rPr>
          <w:rFonts w:eastAsia="Calibri"/>
          <w:szCs w:val="24"/>
        </w:rPr>
        <w:t>u</w:t>
      </w:r>
      <w:r w:rsidRPr="00B21CEC">
        <w:rPr>
          <w:rFonts w:eastAsia="Calibri"/>
          <w:szCs w:val="24"/>
        </w:rPr>
        <w:t xml:space="preserve">rbains et le </w:t>
      </w:r>
      <w:r w:rsidR="007B2AC6">
        <w:rPr>
          <w:rFonts w:eastAsia="Calibri"/>
          <w:szCs w:val="24"/>
        </w:rPr>
        <w:t>l</w:t>
      </w:r>
      <w:r w:rsidRPr="00B21CEC">
        <w:rPr>
          <w:rFonts w:eastAsia="Calibri"/>
          <w:szCs w:val="24"/>
        </w:rPr>
        <w:t>ogement (FONAUL) ; (</w:t>
      </w:r>
      <w:r w:rsidR="007B2AC6">
        <w:rPr>
          <w:rFonts w:eastAsia="Calibri"/>
          <w:szCs w:val="24"/>
        </w:rPr>
        <w:t>i</w:t>
      </w:r>
      <w:r w:rsidRPr="00B21CEC">
        <w:rPr>
          <w:rFonts w:eastAsia="Calibri"/>
          <w:szCs w:val="24"/>
        </w:rPr>
        <w:t>v) l’adoption de la loi N°008-2023/ALT</w:t>
      </w:r>
      <w:r w:rsidR="00E577A7">
        <w:rPr>
          <w:rFonts w:eastAsia="Calibri"/>
          <w:szCs w:val="24"/>
        </w:rPr>
        <w:t xml:space="preserve"> du 20 juin 2023</w:t>
      </w:r>
      <w:r w:rsidRPr="00B21CEC">
        <w:rPr>
          <w:rFonts w:eastAsia="Calibri"/>
          <w:szCs w:val="24"/>
        </w:rPr>
        <w:t xml:space="preserve"> portant promotion immobilière au Burkina Faso ; (v) le contrôle de </w:t>
      </w:r>
      <w:r w:rsidR="00752D1C">
        <w:rPr>
          <w:rFonts w:eastAsia="Calibri"/>
          <w:szCs w:val="24"/>
        </w:rPr>
        <w:t>200</w:t>
      </w:r>
      <w:r w:rsidRPr="00B21CEC">
        <w:rPr>
          <w:rFonts w:eastAsia="Calibri"/>
          <w:szCs w:val="24"/>
        </w:rPr>
        <w:t xml:space="preserve"> aménagements et de </w:t>
      </w:r>
      <w:r w:rsidR="00752D1C">
        <w:rPr>
          <w:rFonts w:eastAsia="Calibri"/>
          <w:szCs w:val="24"/>
        </w:rPr>
        <w:t>2</w:t>
      </w:r>
      <w:r w:rsidR="007B2AC6" w:rsidRPr="00B21CEC">
        <w:rPr>
          <w:rFonts w:eastAsia="Calibri"/>
          <w:szCs w:val="24"/>
        </w:rPr>
        <w:t> </w:t>
      </w:r>
      <w:r w:rsidR="00752D1C">
        <w:rPr>
          <w:rFonts w:eastAsia="Calibri"/>
          <w:szCs w:val="24"/>
        </w:rPr>
        <w:t>750</w:t>
      </w:r>
      <w:r w:rsidRPr="00B21CEC">
        <w:rPr>
          <w:rFonts w:eastAsia="Calibri"/>
          <w:szCs w:val="24"/>
        </w:rPr>
        <w:t xml:space="preserve"> constructions.</w:t>
      </w:r>
    </w:p>
    <w:p w14:paraId="45F8B1C3" w14:textId="150BF8F8"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En dépit de ces acquis, des défis majeurs restent</w:t>
      </w:r>
      <w:r w:rsidR="007B2AC6">
        <w:rPr>
          <w:rFonts w:eastAsia="Calibri"/>
          <w:szCs w:val="24"/>
        </w:rPr>
        <w:t>,</w:t>
      </w:r>
      <w:r w:rsidRPr="00B21CEC">
        <w:rPr>
          <w:rFonts w:eastAsia="Calibri"/>
          <w:szCs w:val="24"/>
        </w:rPr>
        <w:t xml:space="preserve"> notamment en matière de </w:t>
      </w:r>
      <w:r w:rsidR="00037426">
        <w:rPr>
          <w:rFonts w:eastAsia="Calibri"/>
          <w:szCs w:val="24"/>
        </w:rPr>
        <w:t xml:space="preserve">la </w:t>
      </w:r>
      <w:r w:rsidR="005E237E" w:rsidRPr="0042784A">
        <w:rPr>
          <w:rFonts w:eastAsia="Calibri"/>
          <w:szCs w:val="24"/>
        </w:rPr>
        <w:t>systématisation du recrutement par appel à candidatures des Directeurs généraux des entreprises et des établissements publics , la stabilisation du nombre et de la nomenclature des ministères dans une loi organique et à terme, dans la Constitution ; l’accélération du processus de redécoupage administratif du territoire ; l’opérationnalisation de la dépolitisation de l'administration publique et la promotion du mérite, la révision du code électoral  et la réforme du système partisan.</w:t>
      </w:r>
    </w:p>
    <w:p w14:paraId="70C85410" w14:textId="77777777"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Consolider le développement du capital humain constitue l’une des parties du Piler 3 du PA-SD. En dépit du contexte difficile qui a impacté la mise en œuvre des actions, des résultats notables sont enregistrés en 2023.</w:t>
      </w:r>
    </w:p>
    <w:p w14:paraId="504DDBED" w14:textId="32B8A8FA"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lastRenderedPageBreak/>
        <w:t xml:space="preserve">En matière de promotion de la santé de la population et </w:t>
      </w:r>
      <w:r w:rsidR="007B2AC6">
        <w:rPr>
          <w:rFonts w:eastAsia="Calibri"/>
          <w:szCs w:val="24"/>
        </w:rPr>
        <w:t>d</w:t>
      </w:r>
      <w:r w:rsidRPr="00B21CEC">
        <w:rPr>
          <w:rFonts w:eastAsia="Calibri"/>
          <w:szCs w:val="24"/>
        </w:rPr>
        <w:t xml:space="preserve">’accélération </w:t>
      </w:r>
      <w:r w:rsidR="007B2AC6">
        <w:rPr>
          <w:rFonts w:eastAsia="Calibri"/>
          <w:szCs w:val="24"/>
        </w:rPr>
        <w:t xml:space="preserve">de </w:t>
      </w:r>
      <w:r w:rsidRPr="00B21CEC">
        <w:rPr>
          <w:rFonts w:eastAsia="Calibri"/>
          <w:szCs w:val="24"/>
        </w:rPr>
        <w:t xml:space="preserve">la transition démographique, les principales avancées concernent : (i) la poursuite des réformes en matière de santé (03049), avec notamment l’octroi de prestations gratuites de santé à </w:t>
      </w:r>
      <w:r w:rsidR="00FD16B9" w:rsidRPr="003B5E0D">
        <w:rPr>
          <w:rFonts w:eastAsia="Calibri"/>
          <w:szCs w:val="24"/>
        </w:rPr>
        <w:t>10</w:t>
      </w:r>
      <w:r w:rsidR="00FD16B9">
        <w:rPr>
          <w:rFonts w:eastAsia="Calibri"/>
          <w:szCs w:val="24"/>
        </w:rPr>
        <w:t> </w:t>
      </w:r>
      <w:r w:rsidR="00FD16B9" w:rsidRPr="003B5E0D">
        <w:rPr>
          <w:rFonts w:eastAsia="Calibri"/>
          <w:szCs w:val="24"/>
        </w:rPr>
        <w:t>306</w:t>
      </w:r>
      <w:r w:rsidR="00FD16B9" w:rsidRPr="00B21CEC">
        <w:rPr>
          <w:rFonts w:eastAsia="Calibri"/>
          <w:szCs w:val="24"/>
        </w:rPr>
        <w:t> </w:t>
      </w:r>
      <w:r w:rsidR="00FD16B9" w:rsidRPr="003B5E0D">
        <w:rPr>
          <w:rFonts w:eastAsia="Calibri"/>
          <w:szCs w:val="24"/>
        </w:rPr>
        <w:t xml:space="preserve">739 </w:t>
      </w:r>
      <w:r w:rsidR="00FD16B9" w:rsidRPr="00B21CEC">
        <w:rPr>
          <w:rFonts w:eastAsia="Calibri"/>
          <w:szCs w:val="24"/>
        </w:rPr>
        <w:t xml:space="preserve">enfants de moins de 05 ans et à </w:t>
      </w:r>
      <w:r w:rsidR="00FD16B9">
        <w:rPr>
          <w:rFonts w:eastAsia="Calibri"/>
          <w:szCs w:val="24"/>
        </w:rPr>
        <w:t>9 228</w:t>
      </w:r>
      <w:r w:rsidR="00FD16B9" w:rsidRPr="00B21CEC">
        <w:rPr>
          <w:rFonts w:eastAsia="Calibri"/>
          <w:szCs w:val="24"/>
        </w:rPr>
        <w:t> </w:t>
      </w:r>
      <w:r w:rsidR="00FD16B9" w:rsidRPr="003B5E0D">
        <w:rPr>
          <w:rFonts w:eastAsia="Calibri"/>
          <w:szCs w:val="24"/>
        </w:rPr>
        <w:t xml:space="preserve">233 </w:t>
      </w:r>
      <w:r w:rsidR="00FD16B9" w:rsidRPr="00B21CEC">
        <w:rPr>
          <w:rFonts w:eastAsia="Calibri"/>
          <w:szCs w:val="24"/>
        </w:rPr>
        <w:t xml:space="preserve">femmes, </w:t>
      </w:r>
      <w:r w:rsidR="00FD16B9" w:rsidRPr="003B5E0D">
        <w:rPr>
          <w:rFonts w:eastAsia="Calibri"/>
          <w:szCs w:val="24"/>
        </w:rPr>
        <w:t>l’administration à 95,18% des enfant</w:t>
      </w:r>
      <w:r w:rsidR="00FD16B9">
        <w:rPr>
          <w:rFonts w:eastAsia="Calibri"/>
          <w:szCs w:val="24"/>
        </w:rPr>
        <w:t>s</w:t>
      </w:r>
      <w:r w:rsidR="00FD16B9" w:rsidRPr="003B5E0D">
        <w:rPr>
          <w:rFonts w:eastAsia="Calibri"/>
          <w:szCs w:val="24"/>
        </w:rPr>
        <w:t xml:space="preserve"> de doses de vaccin contre l’hépatite B et à 95,6% des enfants de doses contre le </w:t>
      </w:r>
      <w:proofErr w:type="spellStart"/>
      <w:r w:rsidR="00FD16B9" w:rsidRPr="003B5E0D">
        <w:rPr>
          <w:rFonts w:eastAsia="Calibri"/>
          <w:szCs w:val="24"/>
        </w:rPr>
        <w:t>Human</w:t>
      </w:r>
      <w:proofErr w:type="spellEnd"/>
      <w:r w:rsidR="00FD16B9" w:rsidRPr="003B5E0D">
        <w:rPr>
          <w:rFonts w:eastAsia="Calibri"/>
          <w:szCs w:val="24"/>
        </w:rPr>
        <w:t xml:space="preserve"> papillomavirus (HPV)</w:t>
      </w:r>
      <w:r w:rsidRPr="00B21CEC">
        <w:rPr>
          <w:rFonts w:eastAsia="Calibri"/>
          <w:szCs w:val="24"/>
        </w:rPr>
        <w:t>, (ii) la poursuite de la mise en œuvre de la stratégie de santé communautaire (03050) avec la disponibilité des ressources humaines en santé communautaire et l’offre d’interventions de service de santé de qualité à la population ; (iii) la poursuite des investissements en matière de santé (</w:t>
      </w:r>
      <w:r w:rsidR="0088136F">
        <w:rPr>
          <w:rFonts w:eastAsia="Calibri"/>
          <w:szCs w:val="24"/>
        </w:rPr>
        <w:t>0</w:t>
      </w:r>
      <w:r w:rsidRPr="00B21CEC">
        <w:rPr>
          <w:rFonts w:eastAsia="Calibri"/>
          <w:szCs w:val="24"/>
        </w:rPr>
        <w:t xml:space="preserve">3051) avec </w:t>
      </w:r>
      <w:r w:rsidR="00682416" w:rsidRPr="00B21CEC">
        <w:rPr>
          <w:rFonts w:eastAsia="Calibri"/>
          <w:szCs w:val="24"/>
        </w:rPr>
        <w:t>la</w:t>
      </w:r>
      <w:r w:rsidR="00682416" w:rsidRPr="003B5E0D">
        <w:rPr>
          <w:rFonts w:eastAsia="Calibri"/>
          <w:szCs w:val="24"/>
        </w:rPr>
        <w:t xml:space="preserve"> construction de 50 nouveaux CSPS</w:t>
      </w:r>
      <w:r w:rsidR="00682416" w:rsidRPr="00B21CEC">
        <w:rPr>
          <w:rFonts w:eastAsia="Calibri"/>
          <w:szCs w:val="24"/>
        </w:rPr>
        <w:t xml:space="preserve"> </w:t>
      </w:r>
      <w:r w:rsidR="00682416">
        <w:rPr>
          <w:rFonts w:eastAsia="Calibri"/>
          <w:szCs w:val="24"/>
        </w:rPr>
        <w:t xml:space="preserve">, la </w:t>
      </w:r>
      <w:r w:rsidR="00682416" w:rsidRPr="00B21CEC">
        <w:rPr>
          <w:rFonts w:eastAsia="Calibri"/>
          <w:szCs w:val="24"/>
        </w:rPr>
        <w:t xml:space="preserve">réalisation des travaux de construction de la première phase du centre de cancérologie de </w:t>
      </w:r>
      <w:proofErr w:type="spellStart"/>
      <w:r w:rsidR="00682416" w:rsidRPr="00B21CEC">
        <w:rPr>
          <w:rFonts w:eastAsia="Calibri"/>
          <w:szCs w:val="24"/>
        </w:rPr>
        <w:t>Tengandogo</w:t>
      </w:r>
      <w:proofErr w:type="spellEnd"/>
      <w:r w:rsidR="00682416" w:rsidRPr="00B21CEC">
        <w:rPr>
          <w:rFonts w:eastAsia="Calibri"/>
          <w:szCs w:val="24"/>
        </w:rPr>
        <w:t xml:space="preserve"> à 98%</w:t>
      </w:r>
      <w:r w:rsidR="00682416">
        <w:rPr>
          <w:rFonts w:eastAsia="Calibri"/>
          <w:szCs w:val="24"/>
        </w:rPr>
        <w:t xml:space="preserve"> et </w:t>
      </w:r>
      <w:r w:rsidR="00682416" w:rsidRPr="00B21CEC">
        <w:rPr>
          <w:rFonts w:eastAsia="Calibri"/>
          <w:szCs w:val="24"/>
        </w:rPr>
        <w:t xml:space="preserve">du CHR de Manga à </w:t>
      </w:r>
      <w:r w:rsidR="00682416" w:rsidRPr="003B5E0D">
        <w:rPr>
          <w:rFonts w:eastAsia="Calibri"/>
          <w:szCs w:val="24"/>
        </w:rPr>
        <w:t>95,54</w:t>
      </w:r>
      <w:r w:rsidR="00682416" w:rsidRPr="00B21CEC">
        <w:rPr>
          <w:rFonts w:eastAsia="Calibri"/>
          <w:szCs w:val="24"/>
        </w:rPr>
        <w:t>%</w:t>
      </w:r>
      <w:r w:rsidRPr="00B21CEC">
        <w:rPr>
          <w:rFonts w:eastAsia="Calibri"/>
          <w:szCs w:val="24"/>
        </w:rPr>
        <w:t xml:space="preserve">. </w:t>
      </w:r>
    </w:p>
    <w:p w14:paraId="55FB0583" w14:textId="0A499184"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Au titre de l’accroissement de l’offre et l’amélioration de la qualité de l’éducation, de l’enseignement supérieur et de la formation, les principales avancées portent sur : (i)l’amélioration de la qualité et l'accès au système éducatif (03053) avec la formation de 5</w:t>
      </w:r>
      <w:r w:rsidR="00D3589A" w:rsidRPr="00B21CEC">
        <w:rPr>
          <w:rFonts w:eastAsia="Calibri"/>
          <w:szCs w:val="24"/>
        </w:rPr>
        <w:t> </w:t>
      </w:r>
      <w:r w:rsidRPr="00B21CEC">
        <w:rPr>
          <w:rFonts w:eastAsia="Calibri"/>
          <w:szCs w:val="24"/>
        </w:rPr>
        <w:t xml:space="preserve">847 </w:t>
      </w:r>
      <w:r w:rsidR="00682416" w:rsidRPr="00B1428D">
        <w:rPr>
          <w:rFonts w:eastAsia="Calibri"/>
          <w:szCs w:val="24"/>
        </w:rPr>
        <w:t>dont 1</w:t>
      </w:r>
      <w:r w:rsidR="00D3589A" w:rsidRPr="00B21CEC">
        <w:rPr>
          <w:rFonts w:eastAsia="Calibri"/>
          <w:szCs w:val="24"/>
        </w:rPr>
        <w:t> </w:t>
      </w:r>
      <w:r w:rsidR="00682416" w:rsidRPr="00B1428D">
        <w:rPr>
          <w:rFonts w:eastAsia="Calibri"/>
          <w:szCs w:val="24"/>
        </w:rPr>
        <w:t xml:space="preserve">573 femmes dans les </w:t>
      </w:r>
      <w:r w:rsidR="007B2AC6">
        <w:rPr>
          <w:rFonts w:eastAsia="Calibri"/>
          <w:szCs w:val="24"/>
        </w:rPr>
        <w:t>c</w:t>
      </w:r>
      <w:r w:rsidR="00682416" w:rsidRPr="00B1428D">
        <w:rPr>
          <w:rFonts w:eastAsia="Calibri"/>
          <w:szCs w:val="24"/>
        </w:rPr>
        <w:t>entres de formation professionnelle</w:t>
      </w:r>
      <w:r w:rsidR="00682416">
        <w:rPr>
          <w:rFonts w:eastAsia="Calibri"/>
          <w:szCs w:val="24"/>
        </w:rPr>
        <w:t xml:space="preserve"> </w:t>
      </w:r>
      <w:r w:rsidRPr="00B21CEC">
        <w:rPr>
          <w:rFonts w:eastAsia="Calibri"/>
          <w:szCs w:val="24"/>
        </w:rPr>
        <w:t>; (ii) la mise en œuvre du fichier national des élèves</w:t>
      </w:r>
      <w:r w:rsidR="00D3589A">
        <w:rPr>
          <w:rFonts w:eastAsia="Calibri"/>
          <w:szCs w:val="24"/>
        </w:rPr>
        <w:t xml:space="preserve"> </w:t>
      </w:r>
      <w:r w:rsidRPr="00B21CEC">
        <w:rPr>
          <w:rFonts w:eastAsia="Calibri"/>
          <w:szCs w:val="24"/>
        </w:rPr>
        <w:t xml:space="preserve">(03054), de l’inscription en ligne des élèves; (iii) le renforcement de la gouvernance de l'enseignement supérieur (03055) avec le recrutement de </w:t>
      </w:r>
      <w:r w:rsidR="00682416" w:rsidRPr="00B1428D">
        <w:rPr>
          <w:rFonts w:eastAsia="Calibri"/>
          <w:szCs w:val="24"/>
        </w:rPr>
        <w:t>1</w:t>
      </w:r>
      <w:r w:rsidR="00682416">
        <w:rPr>
          <w:rFonts w:eastAsia="Calibri"/>
          <w:szCs w:val="24"/>
        </w:rPr>
        <w:t>87</w:t>
      </w:r>
      <w:r w:rsidRPr="00B21CEC">
        <w:rPr>
          <w:rFonts w:eastAsia="Calibri"/>
          <w:szCs w:val="24"/>
        </w:rPr>
        <w:t xml:space="preserve"> assistants, assistants hospitalo-universitaires et attachés de recherche ; (iv) l’amélioration de l’offre et de la qualité de l’enseignement supérieur (03056) avec l’accord des aides et des prêts à </w:t>
      </w:r>
      <w:r w:rsidR="00682416" w:rsidRPr="00B1428D">
        <w:rPr>
          <w:rFonts w:eastAsia="Calibri"/>
          <w:szCs w:val="24"/>
        </w:rPr>
        <w:t>98</w:t>
      </w:r>
      <w:r w:rsidR="00682416">
        <w:rPr>
          <w:rFonts w:eastAsia="Calibri"/>
          <w:szCs w:val="24"/>
        </w:rPr>
        <w:t> </w:t>
      </w:r>
      <w:r w:rsidR="00682416" w:rsidRPr="00B1428D">
        <w:rPr>
          <w:rFonts w:eastAsia="Calibri"/>
          <w:szCs w:val="24"/>
        </w:rPr>
        <w:t xml:space="preserve">467 </w:t>
      </w:r>
      <w:r w:rsidRPr="00B21CEC">
        <w:rPr>
          <w:rFonts w:eastAsia="Calibri"/>
          <w:szCs w:val="24"/>
        </w:rPr>
        <w:t xml:space="preserve">étudiants, des bourses à </w:t>
      </w:r>
      <w:r w:rsidR="00682416" w:rsidRPr="00B1428D">
        <w:rPr>
          <w:rFonts w:eastAsia="Calibri"/>
          <w:szCs w:val="24"/>
        </w:rPr>
        <w:t>8</w:t>
      </w:r>
      <w:r w:rsidR="00682416">
        <w:rPr>
          <w:rFonts w:eastAsia="Calibri"/>
          <w:szCs w:val="24"/>
        </w:rPr>
        <w:t> </w:t>
      </w:r>
      <w:r w:rsidR="00682416" w:rsidRPr="00B1428D">
        <w:rPr>
          <w:rFonts w:eastAsia="Calibri"/>
          <w:szCs w:val="24"/>
        </w:rPr>
        <w:t xml:space="preserve">630 </w:t>
      </w:r>
      <w:r w:rsidRPr="00B21CEC">
        <w:rPr>
          <w:rFonts w:eastAsia="Calibri"/>
          <w:szCs w:val="24"/>
        </w:rPr>
        <w:t xml:space="preserve">étudiants, l’hébergement de </w:t>
      </w:r>
      <w:r w:rsidR="00682416">
        <w:rPr>
          <w:rFonts w:eastAsia="Calibri"/>
          <w:szCs w:val="24"/>
        </w:rPr>
        <w:t>7</w:t>
      </w:r>
      <w:r w:rsidR="007B2AC6">
        <w:rPr>
          <w:rFonts w:eastAsia="Calibri"/>
          <w:szCs w:val="24"/>
        </w:rPr>
        <w:t> </w:t>
      </w:r>
      <w:r w:rsidR="00682416">
        <w:rPr>
          <w:rFonts w:eastAsia="Calibri"/>
          <w:szCs w:val="24"/>
        </w:rPr>
        <w:t>812</w:t>
      </w:r>
      <w:r w:rsidR="007B2AC6">
        <w:rPr>
          <w:rFonts w:eastAsia="Calibri"/>
          <w:szCs w:val="24"/>
        </w:rPr>
        <w:t xml:space="preserve"> </w:t>
      </w:r>
      <w:r w:rsidRPr="00B21CEC">
        <w:rPr>
          <w:rFonts w:eastAsia="Calibri"/>
          <w:szCs w:val="24"/>
        </w:rPr>
        <w:t xml:space="preserve">étudiants, la fourniture de </w:t>
      </w:r>
      <w:r w:rsidR="00682416">
        <w:rPr>
          <w:rFonts w:eastAsia="Calibri"/>
          <w:szCs w:val="24"/>
        </w:rPr>
        <w:t>12 </w:t>
      </w:r>
      <w:r w:rsidR="00682416" w:rsidRPr="00B1428D">
        <w:rPr>
          <w:rFonts w:eastAsia="Calibri"/>
          <w:szCs w:val="24"/>
        </w:rPr>
        <w:t>139</w:t>
      </w:r>
      <w:r w:rsidR="00682416">
        <w:rPr>
          <w:rFonts w:eastAsia="Calibri"/>
          <w:szCs w:val="24"/>
        </w:rPr>
        <w:t> </w:t>
      </w:r>
      <w:r w:rsidR="00682416" w:rsidRPr="00B1428D">
        <w:rPr>
          <w:rFonts w:eastAsia="Calibri"/>
          <w:szCs w:val="24"/>
        </w:rPr>
        <w:t xml:space="preserve">668 </w:t>
      </w:r>
      <w:r w:rsidRPr="00B21CEC">
        <w:rPr>
          <w:rFonts w:eastAsia="Calibri"/>
          <w:szCs w:val="24"/>
        </w:rPr>
        <w:t xml:space="preserve">plats par les restaurants universitaires et la subvention de </w:t>
      </w:r>
      <w:r w:rsidR="00682416" w:rsidRPr="00B1428D">
        <w:rPr>
          <w:rFonts w:eastAsia="Calibri"/>
          <w:szCs w:val="24"/>
        </w:rPr>
        <w:t>10</w:t>
      </w:r>
      <w:r w:rsidR="00682416">
        <w:rPr>
          <w:rFonts w:eastAsia="Calibri"/>
          <w:szCs w:val="24"/>
        </w:rPr>
        <w:t> </w:t>
      </w:r>
      <w:r w:rsidR="00682416" w:rsidRPr="00B1428D">
        <w:rPr>
          <w:rFonts w:eastAsia="Calibri"/>
          <w:szCs w:val="24"/>
        </w:rPr>
        <w:t xml:space="preserve">294 </w:t>
      </w:r>
      <w:r w:rsidRPr="00B21CEC">
        <w:rPr>
          <w:rFonts w:eastAsia="Calibri"/>
          <w:szCs w:val="24"/>
        </w:rPr>
        <w:t xml:space="preserve">ordinateurs au profit des étudiants.  </w:t>
      </w:r>
    </w:p>
    <w:p w14:paraId="1A0F5A71" w14:textId="29C2BA5B"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S’agissant de la promotion de la recherche et l’innovation et </w:t>
      </w:r>
      <w:r w:rsidR="007B2AC6">
        <w:rPr>
          <w:rFonts w:eastAsia="Calibri"/>
          <w:szCs w:val="24"/>
        </w:rPr>
        <w:t>du</w:t>
      </w:r>
      <w:r w:rsidRPr="00B21CEC">
        <w:rPr>
          <w:rFonts w:eastAsia="Calibri"/>
          <w:szCs w:val="24"/>
        </w:rPr>
        <w:t xml:space="preserve"> renforcement de leur utilisation en faveur de la transformation de l’économie, les principaux résultats de l’année 2023 portent, entre autres, </w:t>
      </w:r>
      <w:r w:rsidR="007B2AC6">
        <w:rPr>
          <w:rFonts w:eastAsia="Calibri"/>
          <w:szCs w:val="24"/>
        </w:rPr>
        <w:t xml:space="preserve">sur </w:t>
      </w:r>
      <w:r w:rsidR="00682416">
        <w:rPr>
          <w:rFonts w:eastAsia="Calibri"/>
          <w:szCs w:val="24"/>
        </w:rPr>
        <w:t xml:space="preserve">la génération de </w:t>
      </w:r>
      <w:r w:rsidR="00F346FB">
        <w:rPr>
          <w:rFonts w:eastAsia="Calibri"/>
          <w:szCs w:val="24"/>
        </w:rPr>
        <w:t>59</w:t>
      </w:r>
      <w:r w:rsidR="00682416" w:rsidRPr="003B5E0D">
        <w:rPr>
          <w:rFonts w:eastAsia="Calibri"/>
          <w:szCs w:val="24"/>
        </w:rPr>
        <w:t xml:space="preserve"> technologies, procédés, méthodes et innovations, l’opérationnalisation de la station spatiale Burkina SAT</w:t>
      </w:r>
      <w:r w:rsidR="00682416">
        <w:rPr>
          <w:rFonts w:eastAsia="Calibri"/>
          <w:szCs w:val="24"/>
        </w:rPr>
        <w:t>,</w:t>
      </w:r>
      <w:r w:rsidR="00682416" w:rsidRPr="003B5E0D">
        <w:rPr>
          <w:rFonts w:eastAsia="Calibri"/>
          <w:szCs w:val="24"/>
        </w:rPr>
        <w:t xml:space="preserve"> </w:t>
      </w:r>
      <w:r w:rsidR="00682416">
        <w:rPr>
          <w:rFonts w:eastAsia="Calibri"/>
          <w:szCs w:val="24"/>
        </w:rPr>
        <w:t xml:space="preserve">l’incubation de </w:t>
      </w:r>
      <w:r w:rsidR="00682416" w:rsidRPr="003B5E0D">
        <w:rPr>
          <w:rFonts w:eastAsia="Calibri"/>
          <w:szCs w:val="24"/>
        </w:rPr>
        <w:t xml:space="preserve">dix technologies, innovations et inventions </w:t>
      </w:r>
      <w:r w:rsidR="00682416">
        <w:rPr>
          <w:rFonts w:eastAsia="Calibri"/>
          <w:szCs w:val="24"/>
        </w:rPr>
        <w:t xml:space="preserve">et la construction d’une </w:t>
      </w:r>
      <w:r w:rsidR="00682416" w:rsidRPr="003B5E0D">
        <w:rPr>
          <w:rFonts w:eastAsia="Calibri"/>
          <w:szCs w:val="24"/>
        </w:rPr>
        <w:t>vitrine d’exposition de technologies, inventions et innovations</w:t>
      </w:r>
      <w:r w:rsidR="00682416">
        <w:rPr>
          <w:rFonts w:eastAsia="Calibri"/>
          <w:szCs w:val="24"/>
        </w:rPr>
        <w:t>.</w:t>
      </w:r>
    </w:p>
    <w:p w14:paraId="5A0D7173" w14:textId="43603E62"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Sur la promotion de l’emploi décent et la protection sociale pour tous, particulièrement pour les jeunes et les femmes, les résultats notables au 31 décembre 2023 portent sur la (i) promotion du dialogue social en milieu de travail avec 72,72% des cadres de concertation tenus au 31 décembre 2023 ;(ii) </w:t>
      </w:r>
      <w:r w:rsidR="00682416">
        <w:rPr>
          <w:rFonts w:eastAsia="Calibri"/>
          <w:szCs w:val="24"/>
        </w:rPr>
        <w:t>le renforcement de la protection des enfants en difficulté avec 8</w:t>
      </w:r>
      <w:r w:rsidR="00D3589A" w:rsidRPr="00B21CEC">
        <w:rPr>
          <w:rFonts w:eastAsia="Calibri"/>
          <w:szCs w:val="24"/>
        </w:rPr>
        <w:t> </w:t>
      </w:r>
      <w:r w:rsidR="00682416">
        <w:rPr>
          <w:rFonts w:eastAsia="Calibri"/>
          <w:szCs w:val="24"/>
        </w:rPr>
        <w:t>857 enfants victimes de violence pris en charge dont 5</w:t>
      </w:r>
      <w:r w:rsidR="007B2AC6" w:rsidRPr="00B21CEC">
        <w:rPr>
          <w:rFonts w:eastAsia="Calibri"/>
          <w:szCs w:val="24"/>
        </w:rPr>
        <w:t> </w:t>
      </w:r>
      <w:r w:rsidR="00682416">
        <w:rPr>
          <w:rFonts w:eastAsia="Calibri"/>
          <w:szCs w:val="24"/>
        </w:rPr>
        <w:t>187 filles ; 21</w:t>
      </w:r>
      <w:r w:rsidR="00D3589A" w:rsidRPr="00B21CEC">
        <w:rPr>
          <w:rFonts w:eastAsia="Calibri"/>
          <w:szCs w:val="24"/>
        </w:rPr>
        <w:t> </w:t>
      </w:r>
      <w:r w:rsidR="00682416">
        <w:rPr>
          <w:rFonts w:eastAsia="Calibri"/>
          <w:szCs w:val="24"/>
        </w:rPr>
        <w:t>073 enfants victimes de violences et d'abus divers dont 8</w:t>
      </w:r>
      <w:r w:rsidR="00D3589A" w:rsidRPr="00B21CEC">
        <w:rPr>
          <w:rFonts w:eastAsia="Calibri"/>
          <w:szCs w:val="24"/>
        </w:rPr>
        <w:t> </w:t>
      </w:r>
      <w:r w:rsidR="00682416">
        <w:rPr>
          <w:rFonts w:eastAsia="Calibri"/>
          <w:szCs w:val="24"/>
        </w:rPr>
        <w:t>256 filles pris</w:t>
      </w:r>
      <w:r w:rsidR="007B2AC6">
        <w:rPr>
          <w:rFonts w:eastAsia="Calibri"/>
          <w:szCs w:val="24"/>
        </w:rPr>
        <w:t>es</w:t>
      </w:r>
      <w:r w:rsidR="00682416">
        <w:rPr>
          <w:rFonts w:eastAsia="Calibri"/>
          <w:szCs w:val="24"/>
        </w:rPr>
        <w:t xml:space="preserve"> en charge et 1</w:t>
      </w:r>
      <w:r w:rsidR="00D3589A" w:rsidRPr="00B21CEC">
        <w:rPr>
          <w:rFonts w:eastAsia="Calibri"/>
          <w:szCs w:val="24"/>
        </w:rPr>
        <w:t> </w:t>
      </w:r>
      <w:r w:rsidR="00682416">
        <w:rPr>
          <w:rFonts w:eastAsia="Calibri"/>
          <w:szCs w:val="24"/>
        </w:rPr>
        <w:t>215 bourses accordées aux orphelins des pensionnés de la CARFO et CNSS et (iii) l’adoption de cinq (5) des six (6) décrets d’application de la loi portant sur le RAMU</w:t>
      </w:r>
      <w:r w:rsidRPr="00B21CEC">
        <w:rPr>
          <w:rFonts w:eastAsia="Calibri"/>
          <w:szCs w:val="24"/>
        </w:rPr>
        <w:t>.</w:t>
      </w:r>
    </w:p>
    <w:p w14:paraId="50C61ECB" w14:textId="5F8ADAC0"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Concernant la promotion de l’égalité des sexes et l’autonomisation des femmes et des filles, les principales avancées concernent la mise à disposition de technologies de production, de transformation et de conservation à </w:t>
      </w:r>
      <w:r w:rsidR="00682416">
        <w:rPr>
          <w:rFonts w:eastAsia="Calibri"/>
          <w:szCs w:val="24"/>
        </w:rPr>
        <w:t>211</w:t>
      </w:r>
      <w:r w:rsidRPr="00B21CEC">
        <w:rPr>
          <w:rFonts w:eastAsia="Calibri"/>
          <w:szCs w:val="24"/>
        </w:rPr>
        <w:t xml:space="preserve"> femmes, l’octroi de crédits par les fonds nationaux de financement à </w:t>
      </w:r>
      <w:r w:rsidR="00682416" w:rsidRPr="00B1428D">
        <w:rPr>
          <w:rFonts w:eastAsia="Calibri"/>
          <w:szCs w:val="24"/>
        </w:rPr>
        <w:t>100</w:t>
      </w:r>
      <w:r w:rsidR="00682416">
        <w:rPr>
          <w:rFonts w:eastAsia="Calibri"/>
          <w:szCs w:val="24"/>
        </w:rPr>
        <w:t> </w:t>
      </w:r>
      <w:r w:rsidR="00682416" w:rsidRPr="00B1428D">
        <w:rPr>
          <w:rFonts w:eastAsia="Calibri"/>
          <w:szCs w:val="24"/>
        </w:rPr>
        <w:t xml:space="preserve">457 </w:t>
      </w:r>
      <w:r w:rsidRPr="00B21CEC">
        <w:rPr>
          <w:rFonts w:eastAsia="Calibri"/>
          <w:szCs w:val="24"/>
        </w:rPr>
        <w:t xml:space="preserve">femmes et la formation de </w:t>
      </w:r>
      <w:r w:rsidR="00682416" w:rsidRPr="00B1428D">
        <w:rPr>
          <w:rFonts w:eastAsia="Calibri"/>
          <w:szCs w:val="24"/>
        </w:rPr>
        <w:t>4</w:t>
      </w:r>
      <w:r w:rsidR="00682416">
        <w:rPr>
          <w:rFonts w:eastAsia="Calibri"/>
          <w:szCs w:val="24"/>
        </w:rPr>
        <w:t> </w:t>
      </w:r>
      <w:r w:rsidR="00682416" w:rsidRPr="00B1428D">
        <w:rPr>
          <w:rFonts w:eastAsia="Calibri"/>
          <w:szCs w:val="24"/>
        </w:rPr>
        <w:t>800</w:t>
      </w:r>
      <w:r w:rsidR="00682416">
        <w:rPr>
          <w:rFonts w:eastAsia="Calibri"/>
          <w:szCs w:val="24"/>
        </w:rPr>
        <w:t xml:space="preserve"> </w:t>
      </w:r>
      <w:r w:rsidRPr="00B21CEC">
        <w:rPr>
          <w:rFonts w:eastAsia="Calibri"/>
          <w:szCs w:val="24"/>
        </w:rPr>
        <w:t xml:space="preserve">femmes bénéficiaires de crédits. </w:t>
      </w:r>
    </w:p>
    <w:p w14:paraId="5B983FAA" w14:textId="03426020"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lastRenderedPageBreak/>
        <w:t xml:space="preserve">Au titre de l’amélioration du cadre de vie, de l’accès à l’eau potable, à l’assainissement et aux services énergétiques de qualité, les principaux résultats obtenus </w:t>
      </w:r>
      <w:r w:rsidR="00037426" w:rsidRPr="00B21CEC">
        <w:rPr>
          <w:rFonts w:eastAsia="Calibri"/>
          <w:szCs w:val="24"/>
        </w:rPr>
        <w:t>en 2023</w:t>
      </w:r>
      <w:r w:rsidR="00037426">
        <w:rPr>
          <w:rFonts w:eastAsia="Calibri"/>
          <w:szCs w:val="24"/>
        </w:rPr>
        <w:t xml:space="preserve"> </w:t>
      </w:r>
      <w:r w:rsidRPr="00B21CEC">
        <w:rPr>
          <w:rFonts w:eastAsia="Calibri"/>
          <w:szCs w:val="24"/>
        </w:rPr>
        <w:t xml:space="preserve">concernent : (i) l’accès des populations à l’eau potable et à l’assainissement avec la réalisation de </w:t>
      </w:r>
      <w:r w:rsidR="00682416" w:rsidRPr="004871C3">
        <w:rPr>
          <w:rFonts w:eastAsia="Calibri"/>
          <w:szCs w:val="24"/>
        </w:rPr>
        <w:t>1</w:t>
      </w:r>
      <w:r w:rsidR="00682416">
        <w:rPr>
          <w:rFonts w:eastAsia="Calibri"/>
          <w:szCs w:val="24"/>
        </w:rPr>
        <w:t> </w:t>
      </w:r>
      <w:r w:rsidR="00F346FB">
        <w:rPr>
          <w:rFonts w:eastAsia="Calibri"/>
          <w:szCs w:val="24"/>
        </w:rPr>
        <w:t>566</w:t>
      </w:r>
      <w:r w:rsidR="00682416" w:rsidRPr="004871C3">
        <w:rPr>
          <w:rFonts w:eastAsia="Calibri"/>
          <w:szCs w:val="24"/>
        </w:rPr>
        <w:t xml:space="preserve"> forages équipés de PMH et 1</w:t>
      </w:r>
      <w:r w:rsidR="00F346FB">
        <w:rPr>
          <w:rFonts w:eastAsia="Calibri"/>
          <w:szCs w:val="24"/>
        </w:rPr>
        <w:t>81</w:t>
      </w:r>
      <w:r w:rsidR="00682416" w:rsidRPr="004871C3">
        <w:rPr>
          <w:rFonts w:eastAsia="Calibri"/>
          <w:szCs w:val="24"/>
        </w:rPr>
        <w:t xml:space="preserve"> PEA, </w:t>
      </w:r>
      <w:r w:rsidR="00682416">
        <w:t xml:space="preserve">la réalisation </w:t>
      </w:r>
      <w:r w:rsidR="00682416" w:rsidRPr="004871C3">
        <w:rPr>
          <w:rFonts w:cstheme="minorBidi"/>
          <w:szCs w:val="24"/>
        </w:rPr>
        <w:t xml:space="preserve">de </w:t>
      </w:r>
      <w:r w:rsidR="00F346FB">
        <w:t>38</w:t>
      </w:r>
      <w:r w:rsidR="00682416">
        <w:t xml:space="preserve">9 </w:t>
      </w:r>
      <w:r w:rsidR="00682416" w:rsidRPr="00E31E23">
        <w:t>AEPS</w:t>
      </w:r>
      <w:r w:rsidR="00682416">
        <w:t xml:space="preserve">, de </w:t>
      </w:r>
      <w:r w:rsidR="00682416" w:rsidRPr="004871C3">
        <w:rPr>
          <w:rFonts w:cs="Arial"/>
        </w:rPr>
        <w:t>1</w:t>
      </w:r>
      <w:r w:rsidR="00682416">
        <w:rPr>
          <w:rFonts w:eastAsia="Calibri"/>
          <w:szCs w:val="24"/>
        </w:rPr>
        <w:t> </w:t>
      </w:r>
      <w:r w:rsidR="00F346FB">
        <w:rPr>
          <w:rFonts w:cs="Arial"/>
        </w:rPr>
        <w:t>262</w:t>
      </w:r>
      <w:r w:rsidR="00682416" w:rsidRPr="004871C3">
        <w:rPr>
          <w:rFonts w:cs="Arial"/>
          <w:bCs/>
        </w:rPr>
        <w:t xml:space="preserve"> latrines communautaires et institutionnelles ainsi que </w:t>
      </w:r>
      <w:r w:rsidR="00682416">
        <w:rPr>
          <w:rFonts w:cs="Arial"/>
          <w:bCs/>
        </w:rPr>
        <w:t xml:space="preserve">de </w:t>
      </w:r>
      <w:r w:rsidR="00682416" w:rsidRPr="004871C3">
        <w:rPr>
          <w:rFonts w:cs="Arial"/>
        </w:rPr>
        <w:t xml:space="preserve">26,7 hectares de superficie reboisée, </w:t>
      </w:r>
      <w:r w:rsidR="00682416">
        <w:rPr>
          <w:rFonts w:cs="Arial"/>
        </w:rPr>
        <w:t xml:space="preserve">(ii) </w:t>
      </w:r>
      <w:r w:rsidR="00682416" w:rsidRPr="004871C3">
        <w:rPr>
          <w:rFonts w:cs="Arial"/>
        </w:rPr>
        <w:t>le</w:t>
      </w:r>
      <w:r w:rsidR="00682416" w:rsidRPr="004871C3">
        <w:rPr>
          <w:rFonts w:cs="Arial"/>
          <w:bCs/>
        </w:rPr>
        <w:t xml:space="preserve"> suivi de </w:t>
      </w:r>
      <w:r w:rsidR="00682416" w:rsidRPr="004871C3">
        <w:rPr>
          <w:rFonts w:cs="Arial"/>
        </w:rPr>
        <w:t>109</w:t>
      </w:r>
      <w:r w:rsidR="00682416" w:rsidRPr="004871C3">
        <w:rPr>
          <w:rFonts w:cs="Arial"/>
          <w:bCs/>
        </w:rPr>
        <w:t xml:space="preserve"> plans de gestion environnementale et sociale</w:t>
      </w:r>
      <w:r w:rsidR="00682416">
        <w:rPr>
          <w:rFonts w:cs="Arial"/>
          <w:bCs/>
        </w:rPr>
        <w:t> ;</w:t>
      </w:r>
      <w:r w:rsidRPr="00B21CEC">
        <w:rPr>
          <w:rFonts w:eastAsia="Calibri"/>
          <w:szCs w:val="24"/>
        </w:rPr>
        <w:t>  (ii</w:t>
      </w:r>
      <w:r w:rsidR="00682416">
        <w:rPr>
          <w:rFonts w:eastAsia="Calibri"/>
          <w:szCs w:val="24"/>
        </w:rPr>
        <w:t>i</w:t>
      </w:r>
      <w:r w:rsidRPr="00B21CEC">
        <w:rPr>
          <w:rFonts w:eastAsia="Calibri"/>
          <w:szCs w:val="24"/>
        </w:rPr>
        <w:t xml:space="preserve">) l'accès des populations à l'énergie de qualité avec le raccordement à l’électricité de </w:t>
      </w:r>
      <w:r w:rsidR="00682416">
        <w:t>1</w:t>
      </w:r>
      <w:r w:rsidR="00682416">
        <w:rPr>
          <w:rFonts w:eastAsia="Calibri"/>
          <w:szCs w:val="24"/>
        </w:rPr>
        <w:t> </w:t>
      </w:r>
      <w:r w:rsidR="00682416">
        <w:t>200</w:t>
      </w:r>
      <w:r w:rsidR="00682416">
        <w:rPr>
          <w:rFonts w:eastAsia="Calibri"/>
          <w:szCs w:val="24"/>
        </w:rPr>
        <w:t> </w:t>
      </w:r>
      <w:r w:rsidR="00682416" w:rsidRPr="00E31E23">
        <w:t>547</w:t>
      </w:r>
      <w:r w:rsidRPr="00B21CEC">
        <w:rPr>
          <w:rFonts w:eastAsia="Calibri"/>
          <w:szCs w:val="24"/>
        </w:rPr>
        <w:t xml:space="preserve"> ménages ; (i</w:t>
      </w:r>
      <w:r w:rsidR="00682416">
        <w:rPr>
          <w:rFonts w:eastAsia="Calibri"/>
          <w:szCs w:val="24"/>
        </w:rPr>
        <w:t>v</w:t>
      </w:r>
      <w:r w:rsidRPr="00B21CEC">
        <w:rPr>
          <w:rFonts w:eastAsia="Calibri"/>
          <w:szCs w:val="24"/>
        </w:rPr>
        <w:t xml:space="preserve">) l’amélioration de l'accès des ménages aux logements décents avec la construction de </w:t>
      </w:r>
      <w:r w:rsidR="00682416">
        <w:rPr>
          <w:rFonts w:eastAsia="Calibri"/>
          <w:szCs w:val="24"/>
        </w:rPr>
        <w:t>904</w:t>
      </w:r>
      <w:r w:rsidRPr="00B21CEC">
        <w:rPr>
          <w:rFonts w:eastAsia="Calibri"/>
          <w:szCs w:val="24"/>
        </w:rPr>
        <w:t xml:space="preserve"> logements tou</w:t>
      </w:r>
      <w:r w:rsidR="00D3589A">
        <w:rPr>
          <w:rFonts w:eastAsia="Calibri"/>
          <w:szCs w:val="24"/>
        </w:rPr>
        <w:t>s</w:t>
      </w:r>
      <w:r w:rsidRPr="00B21CEC">
        <w:rPr>
          <w:rFonts w:eastAsia="Calibri"/>
          <w:szCs w:val="24"/>
        </w:rPr>
        <w:t xml:space="preserve"> type</w:t>
      </w:r>
      <w:r w:rsidR="00D3589A">
        <w:rPr>
          <w:rFonts w:eastAsia="Calibri"/>
          <w:szCs w:val="24"/>
        </w:rPr>
        <w:t>s</w:t>
      </w:r>
      <w:r w:rsidRPr="00B21CEC">
        <w:rPr>
          <w:rFonts w:eastAsia="Calibri"/>
          <w:szCs w:val="24"/>
        </w:rPr>
        <w:t xml:space="preserve"> confondus.</w:t>
      </w:r>
    </w:p>
    <w:p w14:paraId="6AB93BF2" w14:textId="4330FE49"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Le Pilier 3 du PA-SD renferme également des actions visant la dynamisation des secteurs porteurs pour l’économie et les emplois (axe 4 de la PND).</w:t>
      </w:r>
    </w:p>
    <w:p w14:paraId="5F3D94FE" w14:textId="6E4B68FA"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Au titre de l’amélioration de la production végétale, les efforts au cours de l’année 2023 ont permis : (i)le développement de la production agricole sous maîtrise d’eau (</w:t>
      </w:r>
      <w:r w:rsidR="00480638" w:rsidRPr="000C37D3">
        <w:rPr>
          <w:rFonts w:eastAsia="Calibri"/>
          <w:szCs w:val="24"/>
        </w:rPr>
        <w:t>03071</w:t>
      </w:r>
      <w:r w:rsidRPr="00B21CEC">
        <w:rPr>
          <w:rFonts w:eastAsia="Calibri"/>
          <w:szCs w:val="24"/>
        </w:rPr>
        <w:t>), avec l’</w:t>
      </w:r>
      <w:r w:rsidR="008C3B85">
        <w:rPr>
          <w:rFonts w:eastAsia="Calibri"/>
          <w:szCs w:val="24"/>
        </w:rPr>
        <w:t xml:space="preserve">aménagement de </w:t>
      </w:r>
      <w:r w:rsidR="000E449B" w:rsidRPr="00C54CA7">
        <w:rPr>
          <w:rFonts w:eastAsia="Calibri"/>
          <w:szCs w:val="24"/>
        </w:rPr>
        <w:t>1 624,5 ha de bas-fonds et de 374,6 ha de périmètres irrigués</w:t>
      </w:r>
      <w:r w:rsidRPr="00B21CEC">
        <w:rPr>
          <w:rFonts w:eastAsia="Calibri"/>
          <w:szCs w:val="24"/>
        </w:rPr>
        <w:t>, (ii) l’amélioration de l’accès des ménages aux intrants et équipements de qualité (</w:t>
      </w:r>
      <w:r w:rsidR="00480638" w:rsidRPr="000C37D3">
        <w:rPr>
          <w:rFonts w:eastAsia="Calibri"/>
          <w:szCs w:val="24"/>
        </w:rPr>
        <w:t>03072</w:t>
      </w:r>
      <w:r w:rsidRPr="00B21CEC">
        <w:rPr>
          <w:rFonts w:eastAsia="Calibri"/>
          <w:szCs w:val="24"/>
        </w:rPr>
        <w:t xml:space="preserve">) en raison de la subvention </w:t>
      </w:r>
      <w:r w:rsidR="000E449B">
        <w:rPr>
          <w:rFonts w:eastAsia="Calibri"/>
          <w:szCs w:val="24"/>
        </w:rPr>
        <w:t xml:space="preserve">de </w:t>
      </w:r>
      <w:r w:rsidR="000E449B" w:rsidRPr="00C54CA7">
        <w:rPr>
          <w:rFonts w:eastAsia="Calibri"/>
          <w:szCs w:val="24"/>
        </w:rPr>
        <w:t>32 687,60 tonnes d’engrais et de 7 078,5</w:t>
      </w:r>
      <w:r w:rsidR="000E449B">
        <w:rPr>
          <w:rFonts w:eastAsia="Calibri"/>
          <w:szCs w:val="24"/>
        </w:rPr>
        <w:t>7 tonnes de semences améliorées</w:t>
      </w:r>
      <w:r w:rsidRPr="00B21CEC">
        <w:rPr>
          <w:rFonts w:eastAsia="Calibri"/>
          <w:szCs w:val="24"/>
        </w:rPr>
        <w:t xml:space="preserve"> accordée aux producteurs.</w:t>
      </w:r>
    </w:p>
    <w:p w14:paraId="5889CB8F" w14:textId="2022BFA7"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En revanche, au vu de l’engagement du gouvernement de la transition pour une souveraineté alimentaire, des efforts doivent être faits dans l’équipement (motorisé ou à traction animale) mis à la disposition des producteurs et dans l’opérationnalisation des r</w:t>
      </w:r>
      <w:r w:rsidR="00D3589A">
        <w:rPr>
          <w:rFonts w:eastAsia="Calibri"/>
          <w:szCs w:val="24"/>
        </w:rPr>
        <w:t>é</w:t>
      </w:r>
      <w:r w:rsidRPr="00B21CEC">
        <w:rPr>
          <w:rFonts w:eastAsia="Calibri"/>
          <w:szCs w:val="24"/>
        </w:rPr>
        <w:t>formes du secteur agro-</w:t>
      </w:r>
      <w:proofErr w:type="spellStart"/>
      <w:r w:rsidRPr="00B21CEC">
        <w:rPr>
          <w:rFonts w:eastAsia="Calibri"/>
          <w:szCs w:val="24"/>
        </w:rPr>
        <w:t>sylvo</w:t>
      </w:r>
      <w:proofErr w:type="spellEnd"/>
      <w:r w:rsidRPr="00B21CEC">
        <w:rPr>
          <w:rFonts w:eastAsia="Calibri"/>
          <w:szCs w:val="24"/>
        </w:rPr>
        <w:t>-pastoral.</w:t>
      </w:r>
    </w:p>
    <w:p w14:paraId="39530D62" w14:textId="701F2648"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Au titre du renforcement de la transformation des </w:t>
      </w:r>
      <w:r w:rsidR="00D3589A">
        <w:rPr>
          <w:rFonts w:eastAsia="Calibri"/>
          <w:szCs w:val="24"/>
        </w:rPr>
        <w:t>P</w:t>
      </w:r>
      <w:r w:rsidRPr="00B21CEC">
        <w:rPr>
          <w:rFonts w:eastAsia="Calibri"/>
          <w:szCs w:val="24"/>
        </w:rPr>
        <w:t>roduits forestiers non ligneux (</w:t>
      </w:r>
      <w:r w:rsidR="000E449B">
        <w:rPr>
          <w:rFonts w:eastAsia="Calibri"/>
          <w:szCs w:val="24"/>
        </w:rPr>
        <w:t>03078</w:t>
      </w:r>
      <w:r w:rsidRPr="00B21CEC">
        <w:rPr>
          <w:rFonts w:eastAsia="Calibri"/>
          <w:szCs w:val="24"/>
        </w:rPr>
        <w:t>), on note la mise en place de 9 unités de transformation de PFNL et l’accroissement de la production des ressources forestières et fauniques</w:t>
      </w:r>
      <w:r w:rsidR="00BD71E8">
        <w:rPr>
          <w:rFonts w:eastAsia="Calibri"/>
          <w:szCs w:val="24"/>
        </w:rPr>
        <w:t xml:space="preserve"> (03079)</w:t>
      </w:r>
      <w:r w:rsidRPr="00B21CEC">
        <w:rPr>
          <w:rFonts w:eastAsia="Calibri"/>
          <w:szCs w:val="24"/>
        </w:rPr>
        <w:t xml:space="preserve"> avec la création de 153 jardins nutritifs.</w:t>
      </w:r>
    </w:p>
    <w:p w14:paraId="423539AD" w14:textId="760C9655"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La mise en œuvre des actions programmées dans le Pilier 3 du PA-SD a également permis d’impulser des progrès dans le domaine industriel, artisanal, culturel et sportif. Ces progrès sont enregistrés notamment à travers les actions que sont : (i) la relance des unités industrielles (</w:t>
      </w:r>
      <w:r w:rsidR="00BD71E8">
        <w:rPr>
          <w:rFonts w:eastAsia="Calibri"/>
          <w:szCs w:val="24"/>
        </w:rPr>
        <w:t>03084</w:t>
      </w:r>
      <w:r w:rsidRPr="00B21CEC">
        <w:rPr>
          <w:rFonts w:eastAsia="Calibri"/>
          <w:szCs w:val="24"/>
        </w:rPr>
        <w:t>) avec la restructuration de 40 entreprises en difficulté dont 15 du secteur de l’énergie solaire et 25 du domaine de l’huile de coton et dérivés, et l’accompagnement de 15 incubés.</w:t>
      </w:r>
    </w:p>
    <w:p w14:paraId="0EF269DB" w14:textId="5BF03696"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S’agissant du domaine du développement de l’industrie minière, on note des résultats sur (i)</w:t>
      </w:r>
      <w:r w:rsidR="00480638">
        <w:rPr>
          <w:rFonts w:eastAsia="Calibri"/>
          <w:szCs w:val="24"/>
        </w:rPr>
        <w:t xml:space="preserve"> </w:t>
      </w:r>
      <w:r w:rsidRPr="00B21CEC">
        <w:rPr>
          <w:rFonts w:eastAsia="Calibri"/>
          <w:szCs w:val="24"/>
        </w:rPr>
        <w:t>la </w:t>
      </w:r>
      <w:r w:rsidR="00D3589A">
        <w:rPr>
          <w:rFonts w:eastAsia="Calibri"/>
          <w:szCs w:val="24"/>
        </w:rPr>
        <w:t>p</w:t>
      </w:r>
      <w:r w:rsidRPr="00B21CEC">
        <w:rPr>
          <w:rFonts w:eastAsia="Calibri"/>
          <w:szCs w:val="24"/>
        </w:rPr>
        <w:t>romotion de la fourniture locale des biens et services miniers et la responsabilité sociale des entreprises avec l’adoption de la loi sur le contenu local ;</w:t>
      </w:r>
      <w:r w:rsidR="00BD71E8">
        <w:rPr>
          <w:rFonts w:eastAsia="Calibri"/>
          <w:szCs w:val="24"/>
        </w:rPr>
        <w:t xml:space="preserve"> </w:t>
      </w:r>
      <w:r w:rsidRPr="00B21CEC">
        <w:rPr>
          <w:rFonts w:eastAsia="Calibri"/>
          <w:szCs w:val="24"/>
        </w:rPr>
        <w:t>(ii)</w:t>
      </w:r>
      <w:r w:rsidR="00F27C90">
        <w:rPr>
          <w:rFonts w:eastAsia="Calibri"/>
          <w:szCs w:val="24"/>
        </w:rPr>
        <w:t xml:space="preserve"> le </w:t>
      </w:r>
      <w:r w:rsidR="007B488C">
        <w:rPr>
          <w:rFonts w:eastAsia="Calibri"/>
          <w:szCs w:val="24"/>
        </w:rPr>
        <w:t>démarrage</w:t>
      </w:r>
      <w:r w:rsidR="00F27C90">
        <w:rPr>
          <w:rFonts w:eastAsia="Calibri"/>
          <w:szCs w:val="24"/>
        </w:rPr>
        <w:t xml:space="preserve"> de projets miniers tel que le lancement des travaux de construction de </w:t>
      </w:r>
      <w:r w:rsidR="00943B03" w:rsidRPr="00B21CEC">
        <w:rPr>
          <w:rFonts w:eastAsia="Calibri"/>
          <w:szCs w:val="24"/>
        </w:rPr>
        <w:t>la raffinerie</w:t>
      </w:r>
      <w:r w:rsidRPr="00B21CEC">
        <w:rPr>
          <w:rFonts w:eastAsia="Calibri"/>
          <w:szCs w:val="24"/>
        </w:rPr>
        <w:t xml:space="preserve"> d’or et </w:t>
      </w:r>
      <w:r w:rsidR="00BD71E8">
        <w:rPr>
          <w:rFonts w:eastAsia="Calibri"/>
          <w:szCs w:val="24"/>
        </w:rPr>
        <w:t>l’installation de l’</w:t>
      </w:r>
      <w:r w:rsidRPr="00B21CEC">
        <w:rPr>
          <w:rFonts w:eastAsia="Calibri"/>
          <w:szCs w:val="24"/>
        </w:rPr>
        <w:t>unité de traitement des rejets des mines.</w:t>
      </w:r>
    </w:p>
    <w:p w14:paraId="04D3BF65" w14:textId="063E7FCC"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Relativement au « Financement et promotion commerciale des produits de l’artisanat »</w:t>
      </w:r>
      <w:r w:rsidR="00F27C90">
        <w:rPr>
          <w:rFonts w:eastAsia="Calibri"/>
          <w:szCs w:val="24"/>
        </w:rPr>
        <w:t xml:space="preserve"> (03086)</w:t>
      </w:r>
      <w:r w:rsidRPr="00B21CEC">
        <w:rPr>
          <w:rFonts w:eastAsia="Calibri"/>
          <w:szCs w:val="24"/>
        </w:rPr>
        <w:t>, les efforts déployés ont permis l’organisation de deux manifestations promotionnelles de l’artisanat</w:t>
      </w:r>
      <w:r w:rsidR="00D3589A">
        <w:rPr>
          <w:rFonts w:eastAsia="Calibri"/>
          <w:szCs w:val="24"/>
        </w:rPr>
        <w:t>,</w:t>
      </w:r>
      <w:r w:rsidR="007B488C">
        <w:rPr>
          <w:rFonts w:eastAsia="Calibri"/>
          <w:szCs w:val="24"/>
        </w:rPr>
        <w:t xml:space="preserve"> à savoir la 16</w:t>
      </w:r>
      <w:r w:rsidR="007B488C" w:rsidRPr="00345EBE">
        <w:rPr>
          <w:rFonts w:eastAsia="Calibri"/>
          <w:szCs w:val="24"/>
          <w:vertAlign w:val="superscript"/>
        </w:rPr>
        <w:t>e</w:t>
      </w:r>
      <w:r w:rsidR="007B488C">
        <w:rPr>
          <w:rFonts w:eastAsia="Calibri"/>
          <w:szCs w:val="24"/>
        </w:rPr>
        <w:t xml:space="preserve"> édition du Salon international de l’artisanat de Ouagadougou (SIAO) et la 4</w:t>
      </w:r>
      <w:r w:rsidR="007B488C" w:rsidRPr="00345EBE">
        <w:rPr>
          <w:rFonts w:eastAsia="Calibri"/>
          <w:szCs w:val="24"/>
          <w:vertAlign w:val="superscript"/>
        </w:rPr>
        <w:t>e</w:t>
      </w:r>
      <w:r w:rsidR="007B488C">
        <w:rPr>
          <w:rFonts w:eastAsia="Calibri"/>
          <w:szCs w:val="24"/>
        </w:rPr>
        <w:t xml:space="preserve"> édition du Salon régional de l’artisanat (SARA</w:t>
      </w:r>
      <w:r w:rsidR="007B488C" w:rsidRPr="00C54CA7">
        <w:rPr>
          <w:rFonts w:eastAsia="Calibri"/>
          <w:szCs w:val="24"/>
        </w:rPr>
        <w:t>)</w:t>
      </w:r>
      <w:r w:rsidRPr="00B21CEC">
        <w:rPr>
          <w:rFonts w:eastAsia="Calibri"/>
          <w:szCs w:val="24"/>
        </w:rPr>
        <w:t xml:space="preserve">, l’octroi de </w:t>
      </w:r>
      <w:r w:rsidRPr="00B21CEC">
        <w:rPr>
          <w:rFonts w:eastAsia="Calibri"/>
          <w:szCs w:val="24"/>
        </w:rPr>
        <w:lastRenderedPageBreak/>
        <w:t xml:space="preserve">943,79 millions FCFA de crédit aux artisans et le port du Faso dan </w:t>
      </w:r>
      <w:proofErr w:type="spellStart"/>
      <w:r w:rsidRPr="00B21CEC">
        <w:rPr>
          <w:rFonts w:eastAsia="Calibri"/>
          <w:szCs w:val="24"/>
        </w:rPr>
        <w:t>fani</w:t>
      </w:r>
      <w:proofErr w:type="spellEnd"/>
      <w:r w:rsidRPr="00B21CEC">
        <w:rPr>
          <w:rFonts w:eastAsia="Calibri"/>
          <w:szCs w:val="24"/>
        </w:rPr>
        <w:t xml:space="preserve"> comme uniforme dans deux institutions.</w:t>
      </w:r>
    </w:p>
    <w:p w14:paraId="32A895C8" w14:textId="07A5C12A"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Sur le plan du développement des infrastructures hydrauliques, routières, aéroportuaires et de télécommunication, les avancées les plus nettes se situent au niveau de l’exécution des actions que sont : (i) la relance des travaux d’infrastructures hydrauliques (</w:t>
      </w:r>
      <w:r w:rsidR="00F27C90">
        <w:rPr>
          <w:rFonts w:eastAsia="Calibri"/>
          <w:szCs w:val="24"/>
        </w:rPr>
        <w:t>03109</w:t>
      </w:r>
      <w:r w:rsidRPr="00B21CEC">
        <w:rPr>
          <w:rFonts w:eastAsia="Calibri"/>
          <w:szCs w:val="24"/>
        </w:rPr>
        <w:t>)</w:t>
      </w:r>
      <w:r w:rsidR="00F27C90">
        <w:rPr>
          <w:rFonts w:eastAsia="Calibri"/>
          <w:szCs w:val="24"/>
        </w:rPr>
        <w:t xml:space="preserve"> avec </w:t>
      </w:r>
      <w:r w:rsidRPr="00B21CEC">
        <w:rPr>
          <w:rFonts w:eastAsia="Calibri"/>
          <w:szCs w:val="24"/>
        </w:rPr>
        <w:t xml:space="preserve">la réalisation de </w:t>
      </w:r>
      <w:r w:rsidR="00D3589A">
        <w:rPr>
          <w:rFonts w:eastAsia="Calibri"/>
          <w:szCs w:val="24"/>
        </w:rPr>
        <w:t>trois</w:t>
      </w:r>
      <w:r w:rsidRPr="00B21CEC">
        <w:rPr>
          <w:rFonts w:eastAsia="Calibri"/>
          <w:szCs w:val="24"/>
        </w:rPr>
        <w:t xml:space="preserve"> (03) nouveaux barrages ; (ii) l’entretien et la maintenance des ouvrages de mobilisation et de valorisation des ressources en eau (</w:t>
      </w:r>
      <w:r w:rsidR="00F27C90">
        <w:rPr>
          <w:rFonts w:eastAsia="Calibri"/>
          <w:szCs w:val="24"/>
        </w:rPr>
        <w:t>03110</w:t>
      </w:r>
      <w:r w:rsidRPr="00B21CEC">
        <w:rPr>
          <w:rFonts w:eastAsia="Calibri"/>
          <w:szCs w:val="24"/>
        </w:rPr>
        <w:t>) en raison de l’entretien de 17 barrages et de la sécurisation de 2 autres ;</w:t>
      </w:r>
      <w:r w:rsidR="00037426">
        <w:rPr>
          <w:rFonts w:eastAsia="Calibri"/>
          <w:szCs w:val="24"/>
        </w:rPr>
        <w:t xml:space="preserve"> </w:t>
      </w:r>
      <w:r w:rsidRPr="00B21CEC">
        <w:rPr>
          <w:rFonts w:eastAsia="Calibri"/>
          <w:szCs w:val="24"/>
        </w:rPr>
        <w:t>(iii) la sauvegarde du patrimoine routier (</w:t>
      </w:r>
      <w:r w:rsidR="00F27C90">
        <w:rPr>
          <w:rFonts w:eastAsia="Calibri"/>
          <w:szCs w:val="24"/>
        </w:rPr>
        <w:t>03104</w:t>
      </w:r>
      <w:r w:rsidRPr="00B21CEC">
        <w:rPr>
          <w:rFonts w:eastAsia="Calibri"/>
          <w:szCs w:val="24"/>
        </w:rPr>
        <w:t xml:space="preserve">), </w:t>
      </w:r>
      <w:r w:rsidR="00037426">
        <w:rPr>
          <w:rFonts w:eastAsia="Calibri"/>
          <w:szCs w:val="24"/>
        </w:rPr>
        <w:t>avec</w:t>
      </w:r>
      <w:r w:rsidRPr="00B21CEC">
        <w:rPr>
          <w:rFonts w:eastAsia="Calibri"/>
          <w:szCs w:val="24"/>
        </w:rPr>
        <w:t xml:space="preserve"> l’exécution a permis l’entretien courant de 7 500 km de routes classées.   </w:t>
      </w:r>
    </w:p>
    <w:p w14:paraId="0886DF91" w14:textId="20E0BE6E"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En dépit de ces acquis ci-dessus engrangés par domaine et en matière de dynamisation des secteurs porteurs pour l’économie et les emplois, l’exécution de certaines actions attend d’être accélérée. Il s’agit notamment: (i)  de la sécurisation foncière des aménagements et des exploitations (</w:t>
      </w:r>
      <w:r w:rsidR="002B1451">
        <w:rPr>
          <w:rFonts w:eastAsia="Calibri"/>
          <w:szCs w:val="24"/>
        </w:rPr>
        <w:t>03073</w:t>
      </w:r>
      <w:r w:rsidRPr="00B21CEC">
        <w:rPr>
          <w:rFonts w:eastAsia="Calibri"/>
          <w:szCs w:val="24"/>
        </w:rPr>
        <w:t>) ; (ii) du renforcement de l’accès à un marché sécurisé (</w:t>
      </w:r>
      <w:r w:rsidR="002B1451">
        <w:rPr>
          <w:rFonts w:eastAsia="Calibri"/>
          <w:szCs w:val="24"/>
        </w:rPr>
        <w:t>03074</w:t>
      </w:r>
      <w:r w:rsidRPr="00B21CEC">
        <w:rPr>
          <w:rFonts w:eastAsia="Calibri"/>
          <w:szCs w:val="24"/>
        </w:rPr>
        <w:t>) ; (iii) de l’amélioration de la santé animale et la gestion durable des ressources animales (</w:t>
      </w:r>
      <w:r w:rsidR="002B1451">
        <w:rPr>
          <w:rFonts w:eastAsia="Calibri"/>
          <w:szCs w:val="24"/>
        </w:rPr>
        <w:t>03076</w:t>
      </w:r>
      <w:r w:rsidRPr="00B21CEC">
        <w:rPr>
          <w:rFonts w:eastAsia="Calibri"/>
          <w:szCs w:val="24"/>
        </w:rPr>
        <w:t>) ; (iv) de la relance des travaux d’infrastructures industrielles (</w:t>
      </w:r>
      <w:r w:rsidR="002B1451">
        <w:rPr>
          <w:rFonts w:eastAsia="Calibri"/>
          <w:szCs w:val="24"/>
        </w:rPr>
        <w:t>03083</w:t>
      </w:r>
      <w:r w:rsidRPr="00B21CEC">
        <w:rPr>
          <w:rFonts w:eastAsia="Calibri"/>
          <w:szCs w:val="24"/>
        </w:rPr>
        <w:t>)  et de la promotion de l’activité industrielle (</w:t>
      </w:r>
      <w:r w:rsidR="002B1451">
        <w:rPr>
          <w:rFonts w:eastAsia="Calibri"/>
          <w:szCs w:val="24"/>
        </w:rPr>
        <w:t>03085</w:t>
      </w:r>
      <w:r w:rsidRPr="00B21CEC">
        <w:rPr>
          <w:rFonts w:eastAsia="Calibri"/>
          <w:szCs w:val="24"/>
        </w:rPr>
        <w:t>) ; (v) de la promotion de l’exploitation minière industrielle et de l’investissement national (</w:t>
      </w:r>
      <w:r w:rsidR="002B1451">
        <w:rPr>
          <w:rFonts w:eastAsia="Calibri"/>
          <w:szCs w:val="24"/>
        </w:rPr>
        <w:t>03090</w:t>
      </w:r>
      <w:r w:rsidRPr="00B21CEC">
        <w:rPr>
          <w:rFonts w:eastAsia="Calibri"/>
          <w:szCs w:val="24"/>
        </w:rPr>
        <w:t>) ; (vi) de la poursuite de la protection et de la gestion des ressources en eau (</w:t>
      </w:r>
      <w:r w:rsidR="002B1451">
        <w:rPr>
          <w:rFonts w:eastAsia="Calibri"/>
          <w:szCs w:val="24"/>
        </w:rPr>
        <w:t>03111</w:t>
      </w:r>
      <w:r w:rsidRPr="00B21CEC">
        <w:rPr>
          <w:rFonts w:eastAsia="Calibri"/>
          <w:szCs w:val="24"/>
        </w:rPr>
        <w:t>) ; (vii) de la réduction de la surcharge sur les axes routiers (</w:t>
      </w:r>
      <w:r w:rsidR="00D435E1">
        <w:rPr>
          <w:rFonts w:eastAsia="Calibri"/>
          <w:szCs w:val="24"/>
        </w:rPr>
        <w:t>03107</w:t>
      </w:r>
      <w:r w:rsidRPr="00B21CEC">
        <w:rPr>
          <w:rFonts w:eastAsia="Calibri"/>
          <w:szCs w:val="24"/>
        </w:rPr>
        <w:t>) ; (viii) de la réalisation des infrastructures ferroviaires et aéroportuaires (</w:t>
      </w:r>
      <w:r w:rsidR="00D435E1">
        <w:rPr>
          <w:rFonts w:eastAsia="Calibri"/>
          <w:szCs w:val="24"/>
        </w:rPr>
        <w:t>03108</w:t>
      </w:r>
      <w:r w:rsidRPr="00B21CEC">
        <w:rPr>
          <w:rFonts w:eastAsia="Calibri"/>
          <w:szCs w:val="24"/>
        </w:rPr>
        <w:t xml:space="preserve">) et (xiii) de la construction du centre d’opération du réseau </w:t>
      </w:r>
      <w:proofErr w:type="spellStart"/>
      <w:r w:rsidRPr="00B21CEC">
        <w:rPr>
          <w:rFonts w:eastAsia="Calibri"/>
          <w:szCs w:val="24"/>
        </w:rPr>
        <w:t>backbone</w:t>
      </w:r>
      <w:proofErr w:type="spellEnd"/>
      <w:r w:rsidRPr="00B21CEC">
        <w:rPr>
          <w:rFonts w:eastAsia="Calibri"/>
          <w:szCs w:val="24"/>
        </w:rPr>
        <w:t xml:space="preserve"> national de Ouagadougou (</w:t>
      </w:r>
      <w:r w:rsidR="00D435E1">
        <w:rPr>
          <w:rFonts w:eastAsia="Calibri"/>
          <w:szCs w:val="24"/>
        </w:rPr>
        <w:t>03106</w:t>
      </w:r>
      <w:r w:rsidRPr="00B21CEC">
        <w:rPr>
          <w:rFonts w:eastAsia="Calibri"/>
          <w:szCs w:val="24"/>
        </w:rPr>
        <w:t>).</w:t>
      </w:r>
    </w:p>
    <w:p w14:paraId="393B8336" w14:textId="77777777"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Les principales difficultés entravant les progrès en matière de dynamisation des secteurs porteurs pour l’économie sont notamment, l’insécurité qui limite l’accès aux sites de certains chantiers, l’insuffisante mobilisation des financements, les faiblesses de certains prestataires dans l’exécution des PGES et des chantiers. </w:t>
      </w:r>
    </w:p>
    <w:p w14:paraId="3B2577AC" w14:textId="72153C6D"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Le bilan de l’exécution physique des actions du </w:t>
      </w:r>
      <w:r w:rsidR="00D3589A">
        <w:rPr>
          <w:rFonts w:eastAsia="Calibri"/>
          <w:szCs w:val="24"/>
        </w:rPr>
        <w:t>P</w:t>
      </w:r>
      <w:r w:rsidRPr="00B21CEC">
        <w:rPr>
          <w:rFonts w:eastAsia="Calibri"/>
          <w:szCs w:val="24"/>
        </w:rPr>
        <w:t>ilier 4 au 31 décembre 2023 se chiffre à 90,97% pour une exécution financière de 57,99%. Les principaux acquis par objectif stratégique de ce pilier se résument comme suit.</w:t>
      </w:r>
    </w:p>
    <w:p w14:paraId="276CDF26" w14:textId="6DE5B56B"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En matière de renforcement de la cohésion social</w:t>
      </w:r>
      <w:r w:rsidR="00D3589A">
        <w:rPr>
          <w:rFonts w:eastAsia="Calibri"/>
          <w:szCs w:val="24"/>
        </w:rPr>
        <w:t>e</w:t>
      </w:r>
      <w:r w:rsidRPr="00B21CEC">
        <w:rPr>
          <w:rFonts w:eastAsia="Calibri"/>
          <w:szCs w:val="24"/>
        </w:rPr>
        <w:t>, des résultats sont notés au niveau de : (i) la prévention et la gestion des conflits communautaires et intercommunautaires (04004) avec la formation de 1 492 membres des démembrements de l'ONAPREGECC et (ii) la sensibilisation de 180 000 membres des différentes catégories socio-professionnelles sur les thématiques liées à la prévention et à la gestion des conflits communautaires.</w:t>
      </w:r>
    </w:p>
    <w:p w14:paraId="12A8088F" w14:textId="5138C840" w:rsidR="00C45A6C" w:rsidRDefault="00C45A6C" w:rsidP="00C45A6C">
      <w:pPr>
        <w:numPr>
          <w:ilvl w:val="0"/>
          <w:numId w:val="8"/>
        </w:numPr>
        <w:shd w:val="clear" w:color="auto" w:fill="FFFFFF"/>
        <w:spacing w:before="120" w:after="120" w:line="240" w:lineRule="auto"/>
        <w:ind w:left="0"/>
        <w:rPr>
          <w:rFonts w:eastAsia="Calibri"/>
          <w:szCs w:val="24"/>
        </w:rPr>
      </w:pPr>
      <w:r>
        <w:rPr>
          <w:rFonts w:eastAsia="Calibri"/>
          <w:szCs w:val="24"/>
        </w:rPr>
        <w:t>Dans le cadre de l’accélération du traitement des dossiers pendants en justice (A4008), on note le jugement de 04 dossiers emblématiques, la tenue de 54 audiences foraines, le jugement de 87 dossiers par les pôles ECOFI et la tenue de 03 audiences du pôle anti-</w:t>
      </w:r>
      <w:proofErr w:type="spellStart"/>
      <w:r>
        <w:rPr>
          <w:rFonts w:eastAsia="Calibri"/>
          <w:szCs w:val="24"/>
        </w:rPr>
        <w:t>terro</w:t>
      </w:r>
      <w:proofErr w:type="spellEnd"/>
      <w:r>
        <w:rPr>
          <w:rFonts w:eastAsia="Calibri"/>
          <w:szCs w:val="24"/>
        </w:rPr>
        <w:t>.</w:t>
      </w:r>
    </w:p>
    <w:p w14:paraId="16B96A3B" w14:textId="10ACEF41"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Au titre de la participation aux instances statutaires de l'OHADA, le Burkina Faso a participé à une rencontre statutaire, à la Table </w:t>
      </w:r>
      <w:r w:rsidR="00D3589A">
        <w:rPr>
          <w:rFonts w:eastAsia="Calibri"/>
          <w:szCs w:val="24"/>
        </w:rPr>
        <w:t>r</w:t>
      </w:r>
      <w:r w:rsidRPr="00B21CEC">
        <w:rPr>
          <w:rFonts w:eastAsia="Calibri"/>
          <w:szCs w:val="24"/>
        </w:rPr>
        <w:t xml:space="preserve">onde </w:t>
      </w:r>
      <w:r w:rsidR="00D3589A">
        <w:rPr>
          <w:rFonts w:eastAsia="Calibri"/>
          <w:szCs w:val="24"/>
        </w:rPr>
        <w:t>a</w:t>
      </w:r>
      <w:r w:rsidRPr="00B21CEC">
        <w:rPr>
          <w:rFonts w:eastAsia="Calibri"/>
          <w:szCs w:val="24"/>
        </w:rPr>
        <w:t>fricaine sur « l’insolvabilité en termes de faible croissance et d’inflation » tenue à Kigali au Rwanda, aux 44</w:t>
      </w:r>
      <w:r w:rsidR="006363C0">
        <w:rPr>
          <w:rFonts w:eastAsia="Calibri"/>
          <w:szCs w:val="24"/>
          <w:vertAlign w:val="superscript"/>
        </w:rPr>
        <w:t>e</w:t>
      </w:r>
      <w:r w:rsidR="00D3589A">
        <w:rPr>
          <w:rFonts w:eastAsia="Calibri"/>
          <w:szCs w:val="24"/>
        </w:rPr>
        <w:t xml:space="preserve"> </w:t>
      </w:r>
      <w:r w:rsidRPr="00B21CEC">
        <w:rPr>
          <w:rFonts w:eastAsia="Calibri"/>
          <w:szCs w:val="24"/>
        </w:rPr>
        <w:t>et 45</w:t>
      </w:r>
      <w:r w:rsidR="006363C0">
        <w:rPr>
          <w:rFonts w:eastAsia="Calibri"/>
          <w:szCs w:val="24"/>
          <w:vertAlign w:val="superscript"/>
        </w:rPr>
        <w:t>e</w:t>
      </w:r>
      <w:r w:rsidR="00D3589A">
        <w:rPr>
          <w:rFonts w:eastAsia="Calibri"/>
          <w:szCs w:val="24"/>
        </w:rPr>
        <w:t xml:space="preserve"> </w:t>
      </w:r>
      <w:r w:rsidRPr="00B21CEC">
        <w:rPr>
          <w:rFonts w:eastAsia="Calibri"/>
          <w:szCs w:val="24"/>
        </w:rPr>
        <w:t xml:space="preserve">sessions du Groupe de Travail III sur le Règlement des </w:t>
      </w:r>
      <w:r w:rsidR="006363C0">
        <w:rPr>
          <w:rFonts w:eastAsia="Calibri"/>
          <w:szCs w:val="24"/>
        </w:rPr>
        <w:t>d</w:t>
      </w:r>
      <w:r w:rsidRPr="00B21CEC">
        <w:rPr>
          <w:rFonts w:eastAsia="Calibri"/>
          <w:szCs w:val="24"/>
        </w:rPr>
        <w:t xml:space="preserve">ifférends entre </w:t>
      </w:r>
      <w:r w:rsidR="006363C0">
        <w:rPr>
          <w:rFonts w:eastAsia="Calibri"/>
          <w:szCs w:val="24"/>
        </w:rPr>
        <w:t>i</w:t>
      </w:r>
      <w:r w:rsidRPr="00B21CEC">
        <w:rPr>
          <w:rFonts w:eastAsia="Calibri"/>
          <w:szCs w:val="24"/>
        </w:rPr>
        <w:t xml:space="preserve">nvestisseurs et Etats (RDIE) à </w:t>
      </w:r>
      <w:r w:rsidRPr="00B21CEC">
        <w:rPr>
          <w:rFonts w:eastAsia="Calibri"/>
          <w:szCs w:val="24"/>
        </w:rPr>
        <w:lastRenderedPageBreak/>
        <w:t>Vienne en Autriche et à New York aux Etats</w:t>
      </w:r>
      <w:r w:rsidR="006363C0">
        <w:rPr>
          <w:rFonts w:eastAsia="Calibri"/>
          <w:szCs w:val="24"/>
        </w:rPr>
        <w:t>-</w:t>
      </w:r>
      <w:r w:rsidRPr="00B21CEC">
        <w:rPr>
          <w:rFonts w:eastAsia="Calibri"/>
          <w:szCs w:val="24"/>
        </w:rPr>
        <w:t xml:space="preserve">Unis. En outre, la Commission </w:t>
      </w:r>
      <w:r w:rsidR="006363C0">
        <w:rPr>
          <w:rFonts w:eastAsia="Calibri"/>
          <w:szCs w:val="24"/>
        </w:rPr>
        <w:t>n</w:t>
      </w:r>
      <w:r w:rsidRPr="00B21CEC">
        <w:rPr>
          <w:rFonts w:eastAsia="Calibri"/>
          <w:szCs w:val="24"/>
        </w:rPr>
        <w:t xml:space="preserve">ationale OHADA a également formé les acteurs judiciaires et économiques </w:t>
      </w:r>
      <w:r w:rsidR="006363C0">
        <w:rPr>
          <w:rFonts w:eastAsia="Calibri"/>
          <w:szCs w:val="24"/>
        </w:rPr>
        <w:t xml:space="preserve">aux </w:t>
      </w:r>
      <w:r w:rsidRPr="00B21CEC">
        <w:rPr>
          <w:rFonts w:eastAsia="Calibri"/>
          <w:szCs w:val="24"/>
        </w:rPr>
        <w:t>actes uniformes.</w:t>
      </w:r>
    </w:p>
    <w:p w14:paraId="622D2077" w14:textId="77777777"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Du point de vue de gestion des politiques publiques, malgré les changements institutionnels intervenus en 2022, le dispositif de suivi et d’évaluation de la Politique nationale de développement a globalement bien fonctionné, permettant de dérouler le Plan d’action pour la stabilisation et le développement en 2023. </w:t>
      </w:r>
    </w:p>
    <w:p w14:paraId="7843568F" w14:textId="77777777"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Les instances du dispositif que sont les sessions des CSD et des CRD se sont régulièrement tenues lors de la revue à mi-parcours 2023 de la PND en juillet-août 2023 et lors de la revue annuelle 2024 en février et mars 2024. </w:t>
      </w:r>
    </w:p>
    <w:p w14:paraId="4A5CAA47" w14:textId="77777777"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Toutefois, le fonctionnement de ces cadres est apparu comme devant être amélioré avec l’animation des groupes thématiques. </w:t>
      </w:r>
    </w:p>
    <w:p w14:paraId="5FFD4939" w14:textId="5723E2E9" w:rsidR="00EB703A" w:rsidRPr="00B21CEC"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Sur le plan du financement du PA-SD, on note un renforcement des ressources endogènes en 2023. En effet, </w:t>
      </w:r>
      <w:r w:rsidR="006363C0">
        <w:rPr>
          <w:rFonts w:eastAsia="Calibri"/>
          <w:szCs w:val="24"/>
        </w:rPr>
        <w:t xml:space="preserve">à la suite du </w:t>
      </w:r>
      <w:r w:rsidRPr="00B21CEC">
        <w:rPr>
          <w:rFonts w:eastAsia="Calibri"/>
          <w:szCs w:val="24"/>
        </w:rPr>
        <w:t>rétrécissement de l’enveloppe des dons et des appuis budgétaires, des efforts ont été déployés pour relever le niveau des recettes fiscales. Concernant l’exécution des projets et programmes, l’absorption des financements obtenus par les CSD s’est fait à hauteur de 85%, tandis que le niveau de décaissement</w:t>
      </w:r>
      <w:r w:rsidR="006363C0">
        <w:rPr>
          <w:rFonts w:eastAsia="Calibri"/>
          <w:szCs w:val="24"/>
        </w:rPr>
        <w:t>,</w:t>
      </w:r>
      <w:r w:rsidRPr="00B21CEC">
        <w:rPr>
          <w:rFonts w:eastAsia="Calibri"/>
          <w:szCs w:val="24"/>
        </w:rPr>
        <w:t xml:space="preserve"> lui</w:t>
      </w:r>
      <w:r w:rsidR="006363C0">
        <w:rPr>
          <w:rFonts w:eastAsia="Calibri"/>
          <w:szCs w:val="24"/>
        </w:rPr>
        <w:t>,</w:t>
      </w:r>
      <w:r w:rsidRPr="00B21CEC">
        <w:rPr>
          <w:rFonts w:eastAsia="Calibri"/>
          <w:szCs w:val="24"/>
        </w:rPr>
        <w:t xml:space="preserve"> est resté davantage modeste (74%). Concernant l</w:t>
      </w:r>
      <w:r w:rsidR="00FA1152">
        <w:rPr>
          <w:rFonts w:eastAsia="Calibri"/>
          <w:szCs w:val="24"/>
        </w:rPr>
        <w:t>es interventions d</w:t>
      </w:r>
      <w:r w:rsidRPr="00B21CEC">
        <w:rPr>
          <w:rFonts w:eastAsia="Calibri"/>
          <w:szCs w:val="24"/>
        </w:rPr>
        <w:t xml:space="preserve">es collectivités, le taux d’exécution </w:t>
      </w:r>
      <w:r w:rsidR="00FA1152">
        <w:rPr>
          <w:rFonts w:eastAsia="Calibri"/>
          <w:szCs w:val="24"/>
        </w:rPr>
        <w:t xml:space="preserve">physique </w:t>
      </w:r>
      <w:r w:rsidR="0051757E">
        <w:rPr>
          <w:rFonts w:eastAsia="Calibri"/>
          <w:szCs w:val="24"/>
        </w:rPr>
        <w:t xml:space="preserve">des PA-SD régionaux </w:t>
      </w:r>
      <w:r w:rsidR="00FA1152">
        <w:rPr>
          <w:rFonts w:eastAsia="Calibri"/>
          <w:szCs w:val="24"/>
        </w:rPr>
        <w:t>est ressorti à 63,6%</w:t>
      </w:r>
      <w:r w:rsidR="0051757E">
        <w:rPr>
          <w:rFonts w:eastAsia="Calibri"/>
          <w:szCs w:val="24"/>
        </w:rPr>
        <w:t xml:space="preserve"> en moyenne</w:t>
      </w:r>
      <w:r w:rsidR="00FA1152">
        <w:rPr>
          <w:rFonts w:eastAsia="Calibri"/>
          <w:szCs w:val="24"/>
        </w:rPr>
        <w:t xml:space="preserve">, </w:t>
      </w:r>
      <w:r w:rsidR="0051757E">
        <w:rPr>
          <w:rFonts w:eastAsia="Calibri"/>
          <w:szCs w:val="24"/>
        </w:rPr>
        <w:t xml:space="preserve">le </w:t>
      </w:r>
      <w:r w:rsidR="00FA1152">
        <w:rPr>
          <w:rFonts w:eastAsia="Calibri"/>
          <w:szCs w:val="24"/>
        </w:rPr>
        <w:t>niveau relatif à l’investissement n’</w:t>
      </w:r>
      <w:r w:rsidR="0051757E">
        <w:rPr>
          <w:rFonts w:eastAsia="Calibri"/>
          <w:szCs w:val="24"/>
        </w:rPr>
        <w:t xml:space="preserve">étant </w:t>
      </w:r>
      <w:r w:rsidR="00FA1152">
        <w:rPr>
          <w:rFonts w:eastAsia="Calibri"/>
          <w:szCs w:val="24"/>
        </w:rPr>
        <w:t xml:space="preserve">que </w:t>
      </w:r>
      <w:r w:rsidRPr="00B21CEC">
        <w:rPr>
          <w:rFonts w:eastAsia="Calibri"/>
          <w:szCs w:val="24"/>
        </w:rPr>
        <w:t xml:space="preserve">de 34%, en raison principalement des délais de mise en place des délégations spéciales. </w:t>
      </w:r>
    </w:p>
    <w:p w14:paraId="29AA3DB6" w14:textId="76F4D9A5" w:rsidR="00EB703A" w:rsidRDefault="00EB703A"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Au regard des différents constats, la revue annuelle de performance formule les principales recommandations transversales suivantes : (</w:t>
      </w:r>
      <w:r w:rsidR="004A4F16" w:rsidRPr="002226C9">
        <w:rPr>
          <w:rFonts w:eastAsia="Calibri"/>
          <w:szCs w:val="24"/>
        </w:rPr>
        <w:t>(i) poursuivre les efforts engagés dans la dynamique de sécurisation et de reconquête du territoire ainsi que la réinstallation des populations et des services de l’Etat  ; (ii) renforcer la sécurisation des investissements ; (iii) achever la réalisation des chantiers en cours pour soutenir la relance économique et améliorer le bien-être des populations ; (iv) maintenir la dynamique de dématérialisation des procédures afin d’améliorer la productivité de l’administration et la compétitivité des services ; (v) c</w:t>
      </w:r>
      <w:r w:rsidR="004A4F16">
        <w:rPr>
          <w:rFonts w:eastAsia="Calibri"/>
          <w:szCs w:val="24"/>
        </w:rPr>
        <w:t>ombler le gap</w:t>
      </w:r>
      <w:r w:rsidR="004A4F16" w:rsidRPr="002226C9">
        <w:rPr>
          <w:rFonts w:eastAsia="Calibri"/>
          <w:szCs w:val="24"/>
        </w:rPr>
        <w:t xml:space="preserve"> du financement du PA-SD à travers l’accompagnement des PTF en sus de la mobilisation des ressources domestiques, la mise en place d’un mécanisme de suivi concerté avec les partenaires, les délais de réaction aux demandes d’Avis de non objection, l’attrait de l’investissement privé ; (vi) restructurer la dette publique en vue de dégager un espace budgétaire favorable à l’investissement  ; (vii) renforcer la contribution des CT dans la mise en œuvre du PA-SD à travers l’amélioration des ressources transférées aux collectivités territoriales et le renforcement des capacités des délégations spéciales en vue d’exécuter efficacement les investissements</w:t>
      </w:r>
      <w:r w:rsidR="004A4F16">
        <w:rPr>
          <w:rFonts w:eastAsia="Calibri"/>
          <w:szCs w:val="24"/>
        </w:rPr>
        <w:t xml:space="preserve"> sous leur maîtrise d’ouvrage et (viii) </w:t>
      </w:r>
      <w:r w:rsidR="004A4F16" w:rsidRPr="002226C9">
        <w:rPr>
          <w:rFonts w:eastAsia="Calibri"/>
          <w:szCs w:val="24"/>
        </w:rPr>
        <w:t>poursuivre les efforts de renforcement du dispositif de suivi - évaluation à travers un meilleur fonctionnement des groupes thématiques, l’amélioration de la production statistique, le financement des organes du dispositif ainsi que la représentativité des différents acteurs aux instances</w:t>
      </w:r>
      <w:r w:rsidRPr="00B21CEC">
        <w:rPr>
          <w:rFonts w:eastAsia="Calibri"/>
          <w:szCs w:val="24"/>
        </w:rPr>
        <w:t>.</w:t>
      </w:r>
    </w:p>
    <w:p w14:paraId="687A8D3C" w14:textId="77777777" w:rsidR="00891F23" w:rsidRPr="008D2129" w:rsidRDefault="00891F23" w:rsidP="00891F23"/>
    <w:p w14:paraId="02222C78" w14:textId="77777777" w:rsidR="00891F23" w:rsidRPr="008D2129" w:rsidRDefault="00891F23" w:rsidP="00071E73">
      <w:pPr>
        <w:pStyle w:val="Titre1"/>
        <w:rPr>
          <w:sz w:val="36"/>
          <w:szCs w:val="36"/>
        </w:rPr>
        <w:sectPr w:rsidR="00891F23" w:rsidRPr="008D2129" w:rsidSect="007E167D">
          <w:headerReference w:type="default" r:id="rId10"/>
          <w:footerReference w:type="default" r:id="rId11"/>
          <w:pgSz w:w="11906" w:h="16838"/>
          <w:pgMar w:top="1440" w:right="1440" w:bottom="1440" w:left="1440" w:header="708" w:footer="708" w:gutter="0"/>
          <w:pgNumType w:fmt="lowerRoman" w:start="1"/>
          <w:cols w:space="708"/>
          <w:docGrid w:linePitch="360"/>
        </w:sectPr>
      </w:pPr>
    </w:p>
    <w:p w14:paraId="09FBC013" w14:textId="7FCF6A42" w:rsidR="00E97876" w:rsidRPr="008D2129" w:rsidRDefault="008A5AEB" w:rsidP="00D67593">
      <w:pPr>
        <w:pStyle w:val="Titre1"/>
        <w:rPr>
          <w:sz w:val="36"/>
          <w:szCs w:val="36"/>
        </w:rPr>
      </w:pPr>
      <w:bookmarkStart w:id="10" w:name="_Toc163141202"/>
      <w:bookmarkStart w:id="11" w:name="_Toc164692883"/>
      <w:r w:rsidRPr="008D2129">
        <w:rPr>
          <w:sz w:val="36"/>
          <w:szCs w:val="36"/>
        </w:rPr>
        <w:lastRenderedPageBreak/>
        <w:t>Introduction</w:t>
      </w:r>
      <w:bookmarkEnd w:id="10"/>
      <w:bookmarkEnd w:id="11"/>
    </w:p>
    <w:p w14:paraId="496B1BAE" w14:textId="53730B4A" w:rsidR="00546A22" w:rsidRPr="00896441" w:rsidRDefault="00546A22" w:rsidP="00F175A7">
      <w:pPr>
        <w:numPr>
          <w:ilvl w:val="0"/>
          <w:numId w:val="8"/>
        </w:numPr>
        <w:shd w:val="clear" w:color="auto" w:fill="FFFFFF"/>
        <w:spacing w:before="120" w:after="120" w:line="240" w:lineRule="auto"/>
        <w:ind w:left="0"/>
        <w:rPr>
          <w:rFonts w:eastAsia="Calibri"/>
          <w:szCs w:val="24"/>
        </w:rPr>
      </w:pPr>
      <w:r w:rsidRPr="00896441">
        <w:rPr>
          <w:rFonts w:eastAsia="Calibri"/>
          <w:szCs w:val="24"/>
        </w:rPr>
        <w:t>La conduite de l’action publique de développement s’est faite dans un contexte demeuré difficile en 2023. En effet, au contexte sécuritaire préoccupant</w:t>
      </w:r>
      <w:r>
        <w:rPr>
          <w:rFonts w:eastAsia="Calibri"/>
          <w:szCs w:val="24"/>
        </w:rPr>
        <w:t xml:space="preserve"> </w:t>
      </w:r>
      <w:r w:rsidR="006363C0">
        <w:rPr>
          <w:rFonts w:eastAsia="Calibri"/>
          <w:szCs w:val="24"/>
        </w:rPr>
        <w:t>sur le</w:t>
      </w:r>
      <w:r>
        <w:rPr>
          <w:rFonts w:eastAsia="Calibri"/>
          <w:szCs w:val="24"/>
        </w:rPr>
        <w:t xml:space="preserve"> </w:t>
      </w:r>
      <w:r w:rsidRPr="00896441">
        <w:rPr>
          <w:rFonts w:eastAsia="Calibri"/>
          <w:szCs w:val="24"/>
        </w:rPr>
        <w:t xml:space="preserve">plan national et sous régional, des chocs exogènes résultant du conflit russo-ukrainien ont persisté, affectant </w:t>
      </w:r>
      <w:r>
        <w:rPr>
          <w:rFonts w:eastAsia="Calibri"/>
          <w:szCs w:val="24"/>
        </w:rPr>
        <w:t xml:space="preserve">à </w:t>
      </w:r>
      <w:r w:rsidRPr="00896441">
        <w:rPr>
          <w:rFonts w:eastAsia="Calibri"/>
          <w:szCs w:val="24"/>
        </w:rPr>
        <w:t xml:space="preserve">la fois l’économie et la conduite du développement. </w:t>
      </w:r>
    </w:p>
    <w:p w14:paraId="2D11AF3D" w14:textId="538D4E9A" w:rsidR="00546A22" w:rsidRPr="00896441" w:rsidRDefault="00546A22" w:rsidP="00F175A7">
      <w:pPr>
        <w:numPr>
          <w:ilvl w:val="0"/>
          <w:numId w:val="8"/>
        </w:numPr>
        <w:shd w:val="clear" w:color="auto" w:fill="FFFFFF"/>
        <w:spacing w:before="120" w:after="120" w:line="240" w:lineRule="auto"/>
        <w:ind w:left="0"/>
        <w:rPr>
          <w:rFonts w:eastAsia="Calibri"/>
          <w:szCs w:val="24"/>
        </w:rPr>
      </w:pPr>
      <w:r w:rsidRPr="00896441">
        <w:rPr>
          <w:rFonts w:eastAsia="Calibri"/>
          <w:szCs w:val="24"/>
        </w:rPr>
        <w:t>Toutefois, en raison des efforts en cours de sécurisation du territoire et de la relative bonne campagne agro-</w:t>
      </w:r>
      <w:proofErr w:type="spellStart"/>
      <w:r w:rsidRPr="00896441">
        <w:rPr>
          <w:rFonts w:eastAsia="Calibri"/>
          <w:szCs w:val="24"/>
        </w:rPr>
        <w:t>sylvo</w:t>
      </w:r>
      <w:proofErr w:type="spellEnd"/>
      <w:r w:rsidRPr="00896441">
        <w:rPr>
          <w:rFonts w:eastAsia="Calibri"/>
          <w:szCs w:val="24"/>
        </w:rPr>
        <w:t xml:space="preserve">-pastorale 2023-2024, l’activité économique </w:t>
      </w:r>
      <w:r>
        <w:rPr>
          <w:rFonts w:eastAsia="Calibri"/>
          <w:szCs w:val="24"/>
        </w:rPr>
        <w:t xml:space="preserve">a connu </w:t>
      </w:r>
      <w:r w:rsidRPr="00896441">
        <w:rPr>
          <w:rFonts w:eastAsia="Calibri"/>
          <w:szCs w:val="24"/>
        </w:rPr>
        <w:t xml:space="preserve">une accélération de son rythme de croissance pour </w:t>
      </w:r>
      <w:r>
        <w:rPr>
          <w:rFonts w:eastAsia="Calibri"/>
          <w:szCs w:val="24"/>
        </w:rPr>
        <w:t xml:space="preserve">se </w:t>
      </w:r>
      <w:r w:rsidRPr="00896441">
        <w:rPr>
          <w:rFonts w:eastAsia="Calibri"/>
          <w:szCs w:val="24"/>
        </w:rPr>
        <w:t xml:space="preserve">reprendre en 2023 comparativement à l’année 2022.  Aussi, le taux de croissance du PIB réel </w:t>
      </w:r>
      <w:r w:rsidR="00780F7C">
        <w:rPr>
          <w:rFonts w:eastAsia="Calibri"/>
          <w:szCs w:val="24"/>
        </w:rPr>
        <w:t>est ressorti à</w:t>
      </w:r>
      <w:r w:rsidRPr="00896441">
        <w:rPr>
          <w:rFonts w:eastAsia="Calibri"/>
          <w:szCs w:val="24"/>
        </w:rPr>
        <w:t xml:space="preserve"> 3,6% en 2023 contre 1,8% en 2022 du fait de la croissance de la valeur ajoutée des secteurs tertiaire (4,9%), secondaire (3,7%) et primaire (1,8%).</w:t>
      </w:r>
    </w:p>
    <w:p w14:paraId="1A7C8683" w14:textId="64FC5AEC" w:rsidR="00546A22" w:rsidRPr="00896441" w:rsidRDefault="00546A22" w:rsidP="00F175A7">
      <w:pPr>
        <w:numPr>
          <w:ilvl w:val="0"/>
          <w:numId w:val="8"/>
        </w:numPr>
        <w:shd w:val="clear" w:color="auto" w:fill="FFFFFF"/>
        <w:spacing w:before="120" w:after="120" w:line="240" w:lineRule="auto"/>
        <w:ind w:left="0"/>
        <w:rPr>
          <w:rFonts w:eastAsia="Calibri"/>
          <w:szCs w:val="24"/>
        </w:rPr>
      </w:pPr>
      <w:r w:rsidRPr="00896441">
        <w:rPr>
          <w:rFonts w:eastAsia="Calibri"/>
          <w:szCs w:val="24"/>
        </w:rPr>
        <w:t>L’opérationnalisation de la Politique nationale de développement en 2023, à travers l’exécution du Plan d’action pour la stabilisation et le développement (PA-SD), s’est déroulé</w:t>
      </w:r>
      <w:r w:rsidR="006363C0">
        <w:rPr>
          <w:rFonts w:eastAsia="Calibri"/>
          <w:szCs w:val="24"/>
        </w:rPr>
        <w:t>e</w:t>
      </w:r>
      <w:r w:rsidRPr="00896441">
        <w:rPr>
          <w:rFonts w:eastAsia="Calibri"/>
          <w:szCs w:val="24"/>
        </w:rPr>
        <w:t xml:space="preserve"> dans ce contexte </w:t>
      </w:r>
      <w:r w:rsidR="006363C0">
        <w:rPr>
          <w:rFonts w:eastAsia="Calibri"/>
          <w:szCs w:val="24"/>
        </w:rPr>
        <w:t xml:space="preserve">et </w:t>
      </w:r>
      <w:r w:rsidRPr="00896441">
        <w:rPr>
          <w:rFonts w:eastAsia="Calibri"/>
          <w:szCs w:val="24"/>
        </w:rPr>
        <w:t xml:space="preserve">a permis d’engranger de nombreux résultats escomptés. </w:t>
      </w:r>
    </w:p>
    <w:p w14:paraId="364110C7" w14:textId="07025944" w:rsidR="00546A22" w:rsidRPr="00896441" w:rsidRDefault="00546A22" w:rsidP="00F175A7">
      <w:pPr>
        <w:numPr>
          <w:ilvl w:val="0"/>
          <w:numId w:val="8"/>
        </w:numPr>
        <w:shd w:val="clear" w:color="auto" w:fill="FFFFFF"/>
        <w:spacing w:before="120" w:after="120" w:line="240" w:lineRule="auto"/>
        <w:ind w:left="0"/>
        <w:rPr>
          <w:rFonts w:eastAsia="Calibri"/>
          <w:szCs w:val="24"/>
        </w:rPr>
      </w:pPr>
      <w:r w:rsidRPr="00896441">
        <w:rPr>
          <w:rFonts w:eastAsia="Calibri"/>
          <w:szCs w:val="24"/>
        </w:rPr>
        <w:t xml:space="preserve">Ces résultats ainsi que les difficultés d’opérationnalisation du Plan d’action et les recommandations sont consignés dans le présent rapport de performance globale 2023 qui est établi sur la base des rapports sectoriels et régionaux de performance 2023, validés lors des revues sectorielles et régionales 2024, tenues sur la période allant de fin février à mars 2024. Le rapport de performance globale n’a pas vocation à rendre compte </w:t>
      </w:r>
      <w:r w:rsidR="00561B9C">
        <w:rPr>
          <w:rFonts w:eastAsia="Calibri"/>
          <w:szCs w:val="24"/>
        </w:rPr>
        <w:t xml:space="preserve">de </w:t>
      </w:r>
      <w:r w:rsidRPr="00896441">
        <w:rPr>
          <w:rFonts w:eastAsia="Calibri"/>
          <w:szCs w:val="24"/>
        </w:rPr>
        <w:t xml:space="preserve">toutes les réalisations des ministères et des collectivités territoriales, ou de tous les acquis engrangés par la mise en œuvre des 14 Politiques sectorielles et des Plans locaux de développement en vigueur dans les 13 régions administratives du Burkina Faso, mais de synthétiser les performances réalisées dans le cadre de la mise en œuvre du PA-SD. </w:t>
      </w:r>
    </w:p>
    <w:p w14:paraId="4A0BA224" w14:textId="710370AD" w:rsidR="00D67593" w:rsidRPr="00546A22" w:rsidRDefault="00546A22" w:rsidP="00F175A7">
      <w:pPr>
        <w:numPr>
          <w:ilvl w:val="0"/>
          <w:numId w:val="8"/>
        </w:numPr>
        <w:shd w:val="clear" w:color="auto" w:fill="FFFFFF"/>
        <w:spacing w:before="120" w:after="120" w:line="240" w:lineRule="auto"/>
        <w:ind w:left="0"/>
        <w:rPr>
          <w:rFonts w:eastAsia="Calibri"/>
          <w:szCs w:val="24"/>
        </w:rPr>
      </w:pPr>
      <w:r w:rsidRPr="00546A22">
        <w:rPr>
          <w:rFonts w:eastAsia="Calibri"/>
          <w:szCs w:val="24"/>
        </w:rPr>
        <w:t>Outre le bilan de mise en œuvre des actions inscrites dans le PA-SD, le rapport de performance analyse également le fonctionnement des Cadres sectoriels et régionaux de dialogue (CSD et CRD) ainsi que l’efficacité dans l’exécution du financement des projets et réformes prioritaires. Il est articulé autour des sections suivantes : (i) évolution de l’économie burkinabè en 2023 ; (ii) performances 2023 de la mise en œuvre du PA-SD par pilier ; (iii) et dispositions de mise en œuvre, du suivi et d’évaluation du PA-SD.</w:t>
      </w:r>
    </w:p>
    <w:p w14:paraId="5B4911E7" w14:textId="77777777" w:rsidR="00FE76E9" w:rsidRPr="008D2129" w:rsidRDefault="00FE76E9">
      <w:pPr>
        <w:spacing w:after="0" w:line="240" w:lineRule="auto"/>
        <w:jc w:val="left"/>
        <w:rPr>
          <w:b/>
          <w:sz w:val="28"/>
        </w:rPr>
      </w:pPr>
      <w:r w:rsidRPr="008D2129">
        <w:br w:type="page"/>
      </w:r>
    </w:p>
    <w:p w14:paraId="6D254BC2" w14:textId="7F850A2B" w:rsidR="0054008D" w:rsidRPr="00B21CEC" w:rsidRDefault="00A34537" w:rsidP="00B21CEC">
      <w:pPr>
        <w:pStyle w:val="PAT1"/>
      </w:pPr>
      <w:bookmarkStart w:id="12" w:name="_Toc163141203"/>
      <w:bookmarkStart w:id="13" w:name="_Toc164692884"/>
      <w:r w:rsidRPr="008D2129">
        <w:lastRenderedPageBreak/>
        <w:t xml:space="preserve">Evolution de l’économie </w:t>
      </w:r>
      <w:r w:rsidR="006363C0">
        <w:t>b</w:t>
      </w:r>
      <w:r w:rsidRPr="008D2129">
        <w:t xml:space="preserve">urkinabè </w:t>
      </w:r>
      <w:r w:rsidR="0044798E">
        <w:t xml:space="preserve">en </w:t>
      </w:r>
      <w:r w:rsidRPr="008D2129">
        <w:t>202</w:t>
      </w:r>
      <w:r w:rsidR="001459C5" w:rsidRPr="008D2129">
        <w:t>3</w:t>
      </w:r>
      <w:bookmarkEnd w:id="12"/>
      <w:bookmarkEnd w:id="13"/>
    </w:p>
    <w:p w14:paraId="6814615A" w14:textId="09D68012"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La mise en œuvre du PA-SD en 2023, s’est déroulée dans un environnement international et national où persistent les difficultés que rencontrent le pays et le monde depuis quelques années. </w:t>
      </w:r>
    </w:p>
    <w:p w14:paraId="70E79A46" w14:textId="25F33263"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Ainsi, au niveau international, le taux de croissance de l’économie mondiale s’est situé à 3,0% en 2023 contre 3,5% en 2022, soit une contraction de 0,5 point de pourcentage. Ce repli du rythme de croissance est dû au ralentissement prononcé de la croissance dans les « pays avancés » à 1,5% en 2023 contre 2,6% en 2022 et </w:t>
      </w:r>
      <w:r w:rsidR="00561B9C">
        <w:rPr>
          <w:rFonts w:eastAsia="Calibri"/>
          <w:szCs w:val="24"/>
        </w:rPr>
        <w:t>à</w:t>
      </w:r>
      <w:r w:rsidRPr="00B21CEC">
        <w:rPr>
          <w:rFonts w:eastAsia="Calibri"/>
          <w:szCs w:val="24"/>
        </w:rPr>
        <w:t xml:space="preserve"> la baisse modérée de son niveau dans les pays émergents et en développement à 4,0% contre 4,1% en 2022. La crise russo-ukrainienne, l’apparition de nouvelles tensions géostratégiques et le resserrement des politiques monétaires à travers le monde, participent de la décélération du rythme de la croissance économique mondiale. </w:t>
      </w:r>
    </w:p>
    <w:p w14:paraId="001674CE" w14:textId="46ADFE88"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En Afrique subsaharienne, la croissance économique est en décélération et s’établirait à 3,3% en 2023 contre 4,0% en 2022, expliquée par les crises socio-politiques en Afrique de l’Ouest, la survenue d’évènements climatiques extrêmes et la persistance des dysfonctionnements des chaînes d’approvisionnement intérieur</w:t>
      </w:r>
      <w:r w:rsidR="006363C0">
        <w:rPr>
          <w:rFonts w:eastAsia="Calibri"/>
          <w:szCs w:val="24"/>
        </w:rPr>
        <w:t>,</w:t>
      </w:r>
      <w:r w:rsidRPr="00B21CEC">
        <w:rPr>
          <w:rFonts w:eastAsia="Calibri"/>
          <w:szCs w:val="24"/>
        </w:rPr>
        <w:t xml:space="preserve"> notamment énergétique. </w:t>
      </w:r>
    </w:p>
    <w:p w14:paraId="788BC299" w14:textId="0A9EED1C"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Au niveau national, en dépit du contexte caractérisé par la dynamique de reconquête du territoire malgré la persistance des attaques terroristes, la </w:t>
      </w:r>
      <w:r w:rsidR="006363C0">
        <w:rPr>
          <w:rFonts w:eastAsia="Calibri"/>
          <w:szCs w:val="24"/>
        </w:rPr>
        <w:t>t</w:t>
      </w:r>
      <w:r w:rsidRPr="00B21CEC">
        <w:rPr>
          <w:rFonts w:eastAsia="Calibri"/>
          <w:szCs w:val="24"/>
        </w:rPr>
        <w:t>ransition politique en cours et la campagne agro-</w:t>
      </w:r>
      <w:proofErr w:type="spellStart"/>
      <w:r w:rsidRPr="00B21CEC">
        <w:rPr>
          <w:rFonts w:eastAsia="Calibri"/>
          <w:szCs w:val="24"/>
        </w:rPr>
        <w:t>sylvo</w:t>
      </w:r>
      <w:proofErr w:type="spellEnd"/>
      <w:r w:rsidRPr="00B21CEC">
        <w:rPr>
          <w:rFonts w:eastAsia="Calibri"/>
          <w:szCs w:val="24"/>
        </w:rPr>
        <w:t xml:space="preserve">-pastorale jugée favorable, l’activité économique en 2023 </w:t>
      </w:r>
      <w:r w:rsidR="00D548BD">
        <w:rPr>
          <w:rFonts w:eastAsia="Calibri"/>
          <w:szCs w:val="24"/>
        </w:rPr>
        <w:t xml:space="preserve">a connu une </w:t>
      </w:r>
      <w:r w:rsidRPr="00B21CEC">
        <w:rPr>
          <w:rFonts w:eastAsia="Calibri"/>
          <w:szCs w:val="24"/>
        </w:rPr>
        <w:t xml:space="preserve">accélération de son rythme de croissance </w:t>
      </w:r>
      <w:r w:rsidR="00167886">
        <w:rPr>
          <w:rFonts w:eastAsia="Calibri"/>
          <w:szCs w:val="24"/>
        </w:rPr>
        <w:t>comparativement à l’année 2022.</w:t>
      </w:r>
      <w:r w:rsidRPr="00B21CEC">
        <w:rPr>
          <w:rFonts w:eastAsia="Calibri"/>
          <w:szCs w:val="24"/>
        </w:rPr>
        <w:t xml:space="preserve"> Aussi, le taux de croissance du PIB réel </w:t>
      </w:r>
      <w:r w:rsidR="00D548BD">
        <w:rPr>
          <w:rFonts w:eastAsia="Calibri"/>
          <w:szCs w:val="24"/>
        </w:rPr>
        <w:t xml:space="preserve">est ressorti à </w:t>
      </w:r>
      <w:r w:rsidRPr="00B21CEC">
        <w:rPr>
          <w:rFonts w:eastAsia="Calibri"/>
          <w:szCs w:val="24"/>
        </w:rPr>
        <w:t xml:space="preserve">3,6% en 2023 contre 1,8% en 2022 du fait de la croissance de la valeur ajoutée des secteurs tertiaire (4,9%), secondaire (3,7%) et primaire (1,8%). </w:t>
      </w:r>
    </w:p>
    <w:p w14:paraId="24B55787" w14:textId="70220252"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Par rapport à la demande, la croissance </w:t>
      </w:r>
      <w:r w:rsidR="00E958AE">
        <w:rPr>
          <w:rFonts w:eastAsia="Calibri"/>
          <w:szCs w:val="24"/>
        </w:rPr>
        <w:t xml:space="preserve">du PIB </w:t>
      </w:r>
      <w:r w:rsidRPr="00B21CEC">
        <w:rPr>
          <w:rFonts w:eastAsia="Calibri"/>
          <w:szCs w:val="24"/>
        </w:rPr>
        <w:t>est portée principalement par les investissements (+2,8 points de pourcentage) et la consommation finale (+2,4 points de pourcentage). Quant aux exportations nettes, elles ont contribué négativement à la croissance (-1,6 point de pourcentage). Le PIB nominal s’établirait à 12 587,3 milliards FCFA en 2023 contre 11 969,5 milliards FCFA en 2022.</w:t>
      </w:r>
    </w:p>
    <w:p w14:paraId="4AA2DA4F" w14:textId="0A7C33CE" w:rsidR="00167886" w:rsidRPr="00167886"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Concernant l’inflation</w:t>
      </w:r>
      <w:r w:rsidR="00167886">
        <w:rPr>
          <w:rFonts w:eastAsia="Calibri"/>
          <w:szCs w:val="24"/>
        </w:rPr>
        <w:t xml:space="preserve"> en moyenne annuelle</w:t>
      </w:r>
      <w:r w:rsidRPr="00B21CEC">
        <w:rPr>
          <w:rFonts w:eastAsia="Calibri"/>
          <w:szCs w:val="24"/>
        </w:rPr>
        <w:t xml:space="preserve">, </w:t>
      </w:r>
      <w:r w:rsidR="00167886">
        <w:rPr>
          <w:rFonts w:eastAsia="Calibri"/>
          <w:szCs w:val="24"/>
        </w:rPr>
        <w:t>elle</w:t>
      </w:r>
      <w:r w:rsidR="00167886" w:rsidRPr="00167886">
        <w:rPr>
          <w:rFonts w:eastAsia="Calibri"/>
          <w:szCs w:val="24"/>
        </w:rPr>
        <w:t xml:space="preserve"> est maitrisée à 0,7% en 2023 contre 14,1% une année plu</w:t>
      </w:r>
      <w:r w:rsidR="008E5E6E">
        <w:rPr>
          <w:rFonts w:eastAsia="Calibri"/>
          <w:szCs w:val="24"/>
        </w:rPr>
        <w:t xml:space="preserve">s </w:t>
      </w:r>
      <w:r w:rsidR="00167886" w:rsidRPr="00167886">
        <w:rPr>
          <w:rFonts w:eastAsia="Calibri"/>
          <w:szCs w:val="24"/>
        </w:rPr>
        <w:t xml:space="preserve">tôt. Cette situation est expliquée par la bonne campagne agricole, la poursuite des mesures gouvernementales de lutte contre la vie chère, conjuguée à la baisse des cours mondiaux de certains produits de base, notamment ceux de l’énergie. </w:t>
      </w:r>
    </w:p>
    <w:p w14:paraId="7A3A949E" w14:textId="2AE11E10"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S’agissant des finances publiques, les recettes budgétaires enregistreraient au 31 décembre 2023, une hausse de 10,4% comparativement à fin décembre 2022. Cette hausse résulterait principalement de l’accroissement des recettes fiscales de 145,2 milliards FCFA et des autres recettes de 50,8 milliards FCFA, atténuée par la baisse des dons de 11,9 milliards FCFA. Les dépenses ont connu une hausse de 11,5%. Ce niveau est expliqué principalement par l’augmentation spéciale de 232 milliards FCFA des acquisitions nettes d’actifs non financiers. </w:t>
      </w:r>
    </w:p>
    <w:p w14:paraId="34646A69" w14:textId="7DE0C0A0" w:rsidR="00B21CEC" w:rsidRPr="007C6883" w:rsidRDefault="00B21CEC" w:rsidP="00F175A7">
      <w:pPr>
        <w:numPr>
          <w:ilvl w:val="0"/>
          <w:numId w:val="8"/>
        </w:numPr>
        <w:shd w:val="clear" w:color="auto" w:fill="FFFFFF"/>
        <w:spacing w:before="120" w:after="120" w:line="240" w:lineRule="auto"/>
        <w:ind w:left="0"/>
        <w:rPr>
          <w:rFonts w:eastAsia="Calibri"/>
          <w:szCs w:val="24"/>
        </w:rPr>
      </w:pPr>
      <w:r w:rsidRPr="0042784A">
        <w:rPr>
          <w:rFonts w:eastAsia="Calibri"/>
          <w:szCs w:val="24"/>
        </w:rPr>
        <w:lastRenderedPageBreak/>
        <w:t xml:space="preserve">En matière de dette publique, l’encours total est ressorti à </w:t>
      </w:r>
      <w:r w:rsidR="007C6883" w:rsidRPr="0042784A">
        <w:rPr>
          <w:rFonts w:eastAsia="Calibri"/>
          <w:szCs w:val="24"/>
        </w:rPr>
        <w:t>7 655,3</w:t>
      </w:r>
      <w:r w:rsidR="007C6883" w:rsidRPr="007C6883">
        <w:rPr>
          <w:szCs w:val="24"/>
        </w:rPr>
        <w:t xml:space="preserve"> </w:t>
      </w:r>
      <w:r w:rsidRPr="0042784A">
        <w:rPr>
          <w:rFonts w:eastAsia="Calibri"/>
          <w:szCs w:val="24"/>
        </w:rPr>
        <w:t xml:space="preserve">milliards FCFA au 31 </w:t>
      </w:r>
      <w:r w:rsidR="007C6883" w:rsidRPr="0042784A">
        <w:rPr>
          <w:rFonts w:eastAsia="Calibri"/>
          <w:szCs w:val="24"/>
        </w:rPr>
        <w:t xml:space="preserve">décembre </w:t>
      </w:r>
      <w:r w:rsidRPr="0042784A">
        <w:rPr>
          <w:rFonts w:eastAsia="Calibri"/>
          <w:szCs w:val="24"/>
        </w:rPr>
        <w:t xml:space="preserve">2023 contre 6 737,2 milliards FCFA au 31 décembre 2022, soit une hausse de </w:t>
      </w:r>
      <w:r w:rsidR="007C6883" w:rsidRPr="0042784A">
        <w:rPr>
          <w:rFonts w:eastAsia="Calibri"/>
          <w:szCs w:val="24"/>
        </w:rPr>
        <w:t>1</w:t>
      </w:r>
      <w:r w:rsidRPr="0042784A">
        <w:rPr>
          <w:rFonts w:eastAsia="Calibri"/>
          <w:szCs w:val="24"/>
        </w:rPr>
        <w:t>3,</w:t>
      </w:r>
      <w:r w:rsidR="007C6883" w:rsidRPr="0042784A">
        <w:rPr>
          <w:rFonts w:eastAsia="Calibri"/>
          <w:szCs w:val="24"/>
        </w:rPr>
        <w:t>6</w:t>
      </w:r>
      <w:r w:rsidRPr="0042784A">
        <w:rPr>
          <w:rFonts w:eastAsia="Calibri"/>
          <w:szCs w:val="24"/>
        </w:rPr>
        <w:t xml:space="preserve">%. Cette évolution est imputable à ses deux composantes intérieure et extérieure qui affichent des hausses respectives de </w:t>
      </w:r>
      <w:r w:rsidR="007C6883" w:rsidRPr="0042784A">
        <w:rPr>
          <w:szCs w:val="24"/>
        </w:rPr>
        <w:t>627,1</w:t>
      </w:r>
      <w:r w:rsidR="007C6883" w:rsidRPr="007C6883">
        <w:rPr>
          <w:szCs w:val="24"/>
        </w:rPr>
        <w:t xml:space="preserve"> </w:t>
      </w:r>
      <w:r w:rsidRPr="0042784A">
        <w:rPr>
          <w:rFonts w:eastAsia="Calibri"/>
          <w:szCs w:val="24"/>
        </w:rPr>
        <w:t>milliards FCFA (+</w:t>
      </w:r>
      <w:r w:rsidR="007C6883" w:rsidRPr="0042784A">
        <w:rPr>
          <w:rFonts w:eastAsia="Calibri"/>
          <w:szCs w:val="24"/>
        </w:rPr>
        <w:t>16</w:t>
      </w:r>
      <w:r w:rsidRPr="0042784A">
        <w:rPr>
          <w:rFonts w:eastAsia="Calibri"/>
          <w:szCs w:val="24"/>
        </w:rPr>
        <w:t xml:space="preserve">,9%) et de </w:t>
      </w:r>
      <w:r w:rsidR="007C6883" w:rsidRPr="0042784A">
        <w:rPr>
          <w:szCs w:val="24"/>
        </w:rPr>
        <w:t>291</w:t>
      </w:r>
      <w:r w:rsidR="007C6883" w:rsidRPr="007C6883">
        <w:rPr>
          <w:szCs w:val="24"/>
        </w:rPr>
        <w:t xml:space="preserve"> </w:t>
      </w:r>
      <w:r w:rsidRPr="0042784A">
        <w:rPr>
          <w:rFonts w:eastAsia="Calibri"/>
          <w:szCs w:val="24"/>
        </w:rPr>
        <w:t>milliards FCFA (+</w:t>
      </w:r>
      <w:r w:rsidR="007C6883" w:rsidRPr="0042784A">
        <w:rPr>
          <w:rFonts w:eastAsia="Calibri"/>
          <w:szCs w:val="24"/>
        </w:rPr>
        <w:t>9</w:t>
      </w:r>
      <w:r w:rsidRPr="0042784A">
        <w:rPr>
          <w:rFonts w:eastAsia="Calibri"/>
          <w:szCs w:val="24"/>
        </w:rPr>
        <w:t>,</w:t>
      </w:r>
      <w:r w:rsidR="007C6883" w:rsidRPr="0042784A">
        <w:rPr>
          <w:rFonts w:eastAsia="Calibri"/>
          <w:szCs w:val="24"/>
        </w:rPr>
        <w:t>6</w:t>
      </w:r>
      <w:r w:rsidRPr="0042784A">
        <w:rPr>
          <w:rFonts w:eastAsia="Calibri"/>
          <w:szCs w:val="24"/>
        </w:rPr>
        <w:t>%) comparativement à fin décembre 2022. Le taux d’endettement se situerait à 60,8% à fin 2023 contre 56,3% à fin 2022</w:t>
      </w:r>
      <w:r w:rsidRPr="007C6883">
        <w:rPr>
          <w:rFonts w:eastAsia="Calibri"/>
          <w:szCs w:val="24"/>
        </w:rPr>
        <w:t>.</w:t>
      </w:r>
    </w:p>
    <w:p w14:paraId="0B52FF1C" w14:textId="324AB0F6" w:rsidR="00B21CEC" w:rsidRPr="00B21CEC" w:rsidRDefault="00B21CEC" w:rsidP="00F175A7">
      <w:pPr>
        <w:numPr>
          <w:ilvl w:val="0"/>
          <w:numId w:val="8"/>
        </w:numPr>
        <w:shd w:val="clear" w:color="auto" w:fill="FFFFFF"/>
        <w:spacing w:before="120" w:after="120" w:line="240" w:lineRule="auto"/>
        <w:ind w:left="0"/>
        <w:rPr>
          <w:rFonts w:eastAsia="Calibri"/>
          <w:szCs w:val="24"/>
        </w:rPr>
      </w:pPr>
      <w:r w:rsidRPr="00B21CEC">
        <w:rPr>
          <w:rFonts w:eastAsia="Calibri"/>
          <w:szCs w:val="24"/>
        </w:rPr>
        <w:t xml:space="preserve">Quant aux échanges extérieurs, l’année 2023 a été marquée par une dépréciation du cours du dollar, une baisse du cours du baril de pétrole, une bonne orientation du cours de l’or et une légère augmentation du cours du coton fibre projeté par les sociétés cotonnières. Le solde des transactions courantes serait en détérioration sur un an. </w:t>
      </w:r>
      <w:r w:rsidR="008E5E6E">
        <w:rPr>
          <w:rFonts w:eastAsia="Calibri"/>
          <w:szCs w:val="24"/>
        </w:rPr>
        <w:t>En revanche</w:t>
      </w:r>
      <w:r w:rsidRPr="00B21CEC">
        <w:rPr>
          <w:rFonts w:eastAsia="Calibri"/>
          <w:szCs w:val="24"/>
        </w:rPr>
        <w:t>, le compte de capital ressortirait excédentaire et les entrées de ressources au titre du compte financier seraient en progression. En somme, le solde global de la balance des paiements demeurerait déficitaire en 2023, en s’affichant à 217,0 milliards FCFA contre 666,7 milliards FCFA en 2022, soit une amélioration de 67,5% sur un an.</w:t>
      </w:r>
    </w:p>
    <w:p w14:paraId="0A119B29" w14:textId="77777777" w:rsidR="00B21CEC" w:rsidRPr="00B21CEC" w:rsidRDefault="00B21CEC" w:rsidP="00B21CEC">
      <w:pPr>
        <w:shd w:val="clear" w:color="auto" w:fill="FFFFFF"/>
        <w:spacing w:before="120" w:after="120" w:line="240" w:lineRule="auto"/>
        <w:rPr>
          <w:rFonts w:eastAsia="Merriweather"/>
          <w:highlight w:val="yellow"/>
        </w:rPr>
      </w:pPr>
    </w:p>
    <w:p w14:paraId="607A1A08" w14:textId="77777777" w:rsidR="00B21CEC" w:rsidRPr="00B21CEC" w:rsidRDefault="00B21CEC" w:rsidP="00B21CEC">
      <w:pPr>
        <w:keepNext/>
        <w:spacing w:before="120" w:after="0" w:line="240" w:lineRule="auto"/>
        <w:rPr>
          <w:rFonts w:eastAsia="Garamond" w:cs="Garamond"/>
          <w:b/>
        </w:rPr>
      </w:pPr>
      <w:bookmarkStart w:id="14" w:name="_heading=h.3dy6vkm" w:colFirst="0" w:colLast="0"/>
      <w:bookmarkEnd w:id="14"/>
      <w:r w:rsidRPr="00B21CEC">
        <w:rPr>
          <w:rFonts w:eastAsia="Garamond" w:cs="Garamond"/>
          <w:b/>
        </w:rPr>
        <w:t xml:space="preserve">Graphique 1 : </w:t>
      </w:r>
      <w:r w:rsidRPr="00B21CEC">
        <w:rPr>
          <w:rFonts w:eastAsia="Garamond" w:cs="Garamond"/>
        </w:rPr>
        <w:t xml:space="preserve">Evolution du taux de croissance du PIB réel et des contributions des valeurs ajoutées sectorielles </w:t>
      </w:r>
    </w:p>
    <w:p w14:paraId="47459034" w14:textId="77777777" w:rsidR="00B21CEC" w:rsidRPr="00B21CEC" w:rsidRDefault="00B21CEC" w:rsidP="00B21CEC">
      <w:pPr>
        <w:spacing w:after="0" w:line="240" w:lineRule="auto"/>
        <w:rPr>
          <w:rFonts w:eastAsia="Garamond" w:cs="Garamond"/>
        </w:rPr>
      </w:pPr>
      <w:r w:rsidRPr="00B21CEC">
        <w:rPr>
          <w:rFonts w:eastAsia="Merriweather"/>
          <w:noProof/>
          <w:lang w:eastAsia="fr-FR"/>
        </w:rPr>
        <w:drawing>
          <wp:inline distT="0" distB="0" distL="0" distR="0" wp14:anchorId="716FEC93" wp14:editId="5B44477E">
            <wp:extent cx="5759450" cy="3264196"/>
            <wp:effectExtent l="0" t="0" r="12700" b="12700"/>
            <wp:docPr id="370412139" name="Graphique 370412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B9F8ED" w14:textId="00A3D166" w:rsidR="00B21CEC" w:rsidRPr="00B21CEC" w:rsidRDefault="00B21CEC" w:rsidP="00B21CEC">
      <w:pPr>
        <w:rPr>
          <w:rFonts w:eastAsia="Garamond" w:cs="Garamond"/>
        </w:rPr>
      </w:pPr>
      <w:r w:rsidRPr="00B21CEC">
        <w:rPr>
          <w:rFonts w:eastAsia="Garamond" w:cs="Garamond"/>
          <w:b/>
          <w:highlight w:val="white"/>
          <w:u w:val="single"/>
        </w:rPr>
        <w:t>Source </w:t>
      </w:r>
      <w:r w:rsidRPr="00B21CEC">
        <w:rPr>
          <w:rFonts w:eastAsia="Garamond" w:cs="Garamond"/>
          <w:i/>
          <w:highlight w:val="white"/>
        </w:rPr>
        <w:t>: C</w:t>
      </w:r>
      <w:r w:rsidR="004D5D0F">
        <w:rPr>
          <w:rFonts w:eastAsia="Garamond" w:cs="Garamond"/>
          <w:i/>
          <w:highlight w:val="white"/>
        </w:rPr>
        <w:t>omité de prévision et de conjoncture</w:t>
      </w:r>
      <w:r w:rsidRPr="00B21CEC">
        <w:rPr>
          <w:rFonts w:eastAsia="Garamond" w:cs="Garamond"/>
          <w:i/>
          <w:highlight w:val="white"/>
        </w:rPr>
        <w:t>, décembre 2023</w:t>
      </w:r>
    </w:p>
    <w:p w14:paraId="438F745D" w14:textId="345A7DCE" w:rsidR="009B2FF8" w:rsidRDefault="009B2FF8">
      <w:pPr>
        <w:spacing w:after="0" w:line="240" w:lineRule="auto"/>
        <w:jc w:val="left"/>
        <w:rPr>
          <w:rFonts w:eastAsia="Merriweather"/>
          <w:highlight w:val="yellow"/>
        </w:rPr>
      </w:pPr>
      <w:r>
        <w:rPr>
          <w:rFonts w:eastAsia="Merriweather"/>
          <w:highlight w:val="yellow"/>
        </w:rPr>
        <w:br w:type="page"/>
      </w:r>
    </w:p>
    <w:p w14:paraId="7E2C8E2D" w14:textId="26D8F9B7" w:rsidR="00E715FF" w:rsidRPr="00E715FF" w:rsidRDefault="00DF1E58" w:rsidP="00E715FF">
      <w:pPr>
        <w:pStyle w:val="PAT1"/>
      </w:pPr>
      <w:bookmarkStart w:id="15" w:name="_Toc163141204"/>
      <w:bookmarkStart w:id="16" w:name="_Toc164692885"/>
      <w:r w:rsidRPr="008D2129">
        <w:lastRenderedPageBreak/>
        <w:t>Performances</w:t>
      </w:r>
      <w:r w:rsidR="00A226A2" w:rsidRPr="008D2129">
        <w:t xml:space="preserve"> </w:t>
      </w:r>
      <w:r w:rsidR="00CA5879" w:rsidRPr="008D2129">
        <w:t xml:space="preserve">au 31 décembre </w:t>
      </w:r>
      <w:r w:rsidRPr="008D2129">
        <w:t>2023 de la mise en œuvre du PA-SD par pilier</w:t>
      </w:r>
      <w:bookmarkEnd w:id="15"/>
      <w:bookmarkEnd w:id="16"/>
    </w:p>
    <w:p w14:paraId="735940AE" w14:textId="3E34B841" w:rsidR="009C6361" w:rsidRDefault="00E715FF" w:rsidP="00F175A7">
      <w:pPr>
        <w:numPr>
          <w:ilvl w:val="0"/>
          <w:numId w:val="8"/>
        </w:numPr>
        <w:shd w:val="clear" w:color="auto" w:fill="FFFFFF"/>
        <w:spacing w:before="120" w:after="120" w:line="240" w:lineRule="auto"/>
        <w:ind w:left="0"/>
        <w:rPr>
          <w:rFonts w:eastAsia="Calibri"/>
          <w:szCs w:val="24"/>
        </w:rPr>
      </w:pPr>
      <w:r w:rsidRPr="00E31E23">
        <w:t>Cette section est consacrée à la présentation des performances</w:t>
      </w:r>
      <w:r w:rsidR="009A285E">
        <w:t xml:space="preserve"> enregistrées en</w:t>
      </w:r>
      <w:r w:rsidRPr="00E31E23">
        <w:t xml:space="preserve"> 2023 d</w:t>
      </w:r>
      <w:r w:rsidR="009A285E">
        <w:t xml:space="preserve">ans </w:t>
      </w:r>
      <w:r w:rsidRPr="00E31E23">
        <w:t xml:space="preserve">la mise en œuvre </w:t>
      </w:r>
      <w:r w:rsidR="00B330D9">
        <w:t xml:space="preserve">des actions programmées à travers les </w:t>
      </w:r>
      <w:r w:rsidR="009A285E">
        <w:t>4</w:t>
      </w:r>
      <w:r w:rsidR="00B330D9">
        <w:t xml:space="preserve"> piliers </w:t>
      </w:r>
      <w:r w:rsidRPr="00E31E23">
        <w:t>du PA-SD</w:t>
      </w:r>
      <w:r w:rsidR="00B330D9">
        <w:t>.</w:t>
      </w:r>
    </w:p>
    <w:p w14:paraId="0B819CF8" w14:textId="0C8BC731" w:rsidR="00E4733A" w:rsidRPr="008D2129" w:rsidRDefault="00E4733A" w:rsidP="00664E91">
      <w:pPr>
        <w:shd w:val="clear" w:color="auto" w:fill="FFFFFF"/>
        <w:spacing w:before="120" w:after="120" w:line="240" w:lineRule="auto"/>
        <w:rPr>
          <w:rFonts w:eastAsia="Calibri"/>
          <w:szCs w:val="24"/>
        </w:rPr>
      </w:pPr>
    </w:p>
    <w:p w14:paraId="3040A972" w14:textId="69B95D3E" w:rsidR="00E715FF" w:rsidRPr="00E715FF" w:rsidRDefault="00EA252D" w:rsidP="00E715FF">
      <w:pPr>
        <w:pStyle w:val="PAT2"/>
      </w:pPr>
      <w:bookmarkStart w:id="17" w:name="_Toc163141205"/>
      <w:bookmarkStart w:id="18" w:name="_Toc164692886"/>
      <w:r w:rsidRPr="008D2129">
        <w:t>Pilier 1 : Lutter contre le terrorisme et restaurer l’intégrité territoriale</w:t>
      </w:r>
      <w:bookmarkEnd w:id="17"/>
      <w:bookmarkEnd w:id="18"/>
    </w:p>
    <w:p w14:paraId="3E4E6545" w14:textId="67E859D4" w:rsidR="002B1C07" w:rsidRPr="008D2129" w:rsidRDefault="009A285E" w:rsidP="00F175A7">
      <w:pPr>
        <w:numPr>
          <w:ilvl w:val="0"/>
          <w:numId w:val="8"/>
        </w:numPr>
        <w:shd w:val="clear" w:color="auto" w:fill="FFFFFF"/>
        <w:spacing w:before="120" w:after="120" w:line="240" w:lineRule="auto"/>
        <w:ind w:left="0"/>
        <w:rPr>
          <w:rFonts w:eastAsia="Calibri"/>
          <w:szCs w:val="24"/>
        </w:rPr>
      </w:pPr>
      <w:r>
        <w:t xml:space="preserve">Les actions à mettre en œuvre dans le cadre de la lutte contre le terrorisme et la restauration de l’intégrité du territoire se répartissent dans les </w:t>
      </w:r>
      <w:r w:rsidRPr="008D20C6">
        <w:t xml:space="preserve">deux axes </w:t>
      </w:r>
      <w:r>
        <w:t xml:space="preserve">ci-après de </w:t>
      </w:r>
      <w:r w:rsidR="00E715FF" w:rsidRPr="008D20C6">
        <w:t>la PND</w:t>
      </w:r>
      <w:r>
        <w:t>,</w:t>
      </w:r>
      <w:r w:rsidR="00E715FF" w:rsidRPr="008D20C6">
        <w:t xml:space="preserve"> à savoir</w:t>
      </w:r>
      <w:r>
        <w:t>,</w:t>
      </w:r>
      <w:r w:rsidR="00E715FF" w:rsidRPr="008D20C6">
        <w:t xml:space="preserve"> Consolider la résilience, la sécurité, la cohésion sociale et la paix </w:t>
      </w:r>
      <w:r>
        <w:t>(</w:t>
      </w:r>
      <w:r w:rsidRPr="008D20C6">
        <w:t xml:space="preserve">Axe </w:t>
      </w:r>
      <w:r>
        <w:t xml:space="preserve">1) </w:t>
      </w:r>
      <w:r w:rsidR="00E715FF" w:rsidRPr="008D20C6">
        <w:t xml:space="preserve">et Dynamiser les secteurs porteurs pour l'économie et les emplois </w:t>
      </w:r>
      <w:r w:rsidR="00AC3CD4">
        <w:t>(</w:t>
      </w:r>
      <w:r w:rsidR="00AC3CD4" w:rsidRPr="008D20C6">
        <w:t>Axe</w:t>
      </w:r>
      <w:r w:rsidR="00AC3CD4">
        <w:t xml:space="preserve"> 4)</w:t>
      </w:r>
      <w:r>
        <w:t>.</w:t>
      </w:r>
    </w:p>
    <w:p w14:paraId="6088891D" w14:textId="2E362215" w:rsidR="002B1C07" w:rsidRPr="003B41CB" w:rsidRDefault="002B1C07" w:rsidP="00D04649">
      <w:pPr>
        <w:pStyle w:val="PAT3"/>
      </w:pPr>
      <w:bookmarkStart w:id="19" w:name="_Toc163141206"/>
      <w:r w:rsidRPr="003B41CB">
        <w:t>Axe 1 : Consolider la résilience, la sécurité, la cohésion sociale et la paix</w:t>
      </w:r>
      <w:bookmarkEnd w:id="19"/>
    </w:p>
    <w:p w14:paraId="6207679C" w14:textId="418F8354" w:rsidR="006066B5" w:rsidRPr="008D2129" w:rsidRDefault="009A285E" w:rsidP="00F175A7">
      <w:pPr>
        <w:numPr>
          <w:ilvl w:val="0"/>
          <w:numId w:val="8"/>
        </w:numPr>
        <w:shd w:val="clear" w:color="auto" w:fill="FFFFFF"/>
        <w:spacing w:before="120" w:after="120" w:line="240" w:lineRule="auto"/>
        <w:ind w:left="0"/>
        <w:rPr>
          <w:rFonts w:eastAsia="Calibri"/>
          <w:szCs w:val="24"/>
        </w:rPr>
      </w:pPr>
      <w:r>
        <w:t xml:space="preserve">Le premier axe stratégique de la PND se met en œuvre à travers les actions programmées en vue de la réalisation de son </w:t>
      </w:r>
      <w:r w:rsidR="003B41CB" w:rsidRPr="00E31E23">
        <w:t>objectif stratégique 1.2 : renforcer la sécurité intérieure du pays et la défense du territoire</w:t>
      </w:r>
      <w:r w:rsidR="00A226A2" w:rsidRPr="008D2129">
        <w:rPr>
          <w:rFonts w:eastAsia="Calibri"/>
          <w:szCs w:val="24"/>
        </w:rPr>
        <w:t>.</w:t>
      </w:r>
    </w:p>
    <w:p w14:paraId="7BF813AF" w14:textId="39662F20" w:rsidR="003B41CB" w:rsidRPr="003B41CB" w:rsidRDefault="00EA252D" w:rsidP="003B41CB">
      <w:pPr>
        <w:pStyle w:val="PAT4"/>
      </w:pPr>
      <w:bookmarkStart w:id="20" w:name="_Toc163141207"/>
      <w:r w:rsidRPr="008D2129">
        <w:t>Objectif stratégique 1.2 : Renforcer la sécurité intérieure du pays et la défense du territoire national</w:t>
      </w:r>
      <w:bookmarkEnd w:id="20"/>
    </w:p>
    <w:p w14:paraId="31E5B756" w14:textId="77777777" w:rsidR="003B41CB" w:rsidRPr="00E31E23" w:rsidRDefault="003B41CB" w:rsidP="00F175A7">
      <w:pPr>
        <w:numPr>
          <w:ilvl w:val="0"/>
          <w:numId w:val="8"/>
        </w:numPr>
        <w:shd w:val="clear" w:color="auto" w:fill="FFFFFF"/>
        <w:spacing w:before="120" w:after="120" w:line="240" w:lineRule="auto"/>
        <w:ind w:left="0"/>
      </w:pPr>
      <w:r w:rsidRPr="008D20C6">
        <w:t>Le renforcement de la sécurité intérieure du pays et de la défense du territoire national se concrétise à travers la mise en œuvre de dix-sept (17) actions déclinées dans le PA-SD et au niveau sectoriel dont les niveaux de réalisation au 31 décembre 2023 se présentent ci-après.</w:t>
      </w:r>
    </w:p>
    <w:p w14:paraId="54B73828" w14:textId="40EAF5A6" w:rsidR="003B41CB" w:rsidRPr="00E31E23" w:rsidRDefault="003B41CB" w:rsidP="00F175A7">
      <w:pPr>
        <w:numPr>
          <w:ilvl w:val="0"/>
          <w:numId w:val="8"/>
        </w:numPr>
        <w:shd w:val="clear" w:color="auto" w:fill="FFFFFF"/>
        <w:spacing w:before="120" w:after="120" w:line="240" w:lineRule="auto"/>
        <w:ind w:left="0"/>
      </w:pPr>
      <w:r w:rsidRPr="008D20C6">
        <w:t xml:space="preserve">La première action est relative </w:t>
      </w:r>
      <w:r w:rsidRPr="00F175A7">
        <w:rPr>
          <w:b/>
        </w:rPr>
        <w:t>à l’amélioration de la participation citoyenne dans la lutte contre le terrorisme (01001)</w:t>
      </w:r>
      <w:r w:rsidRPr="008D20C6">
        <w:t>. Elle est mise en œuvre par les CSD-DS et JDH. A fin décembre 2023, la cible de l’indicateur d’action a été atteinte</w:t>
      </w:r>
      <w:r w:rsidR="009A285E">
        <w:t xml:space="preserve">, car </w:t>
      </w:r>
      <w:r w:rsidRPr="008D20C6">
        <w:t xml:space="preserve">51 initiatives de participation citoyenne ont été promues pour </w:t>
      </w:r>
      <w:r w:rsidR="009A285E">
        <w:t xml:space="preserve">seulement </w:t>
      </w:r>
      <w:r w:rsidRPr="008D20C6">
        <w:t>20</w:t>
      </w:r>
      <w:r w:rsidR="009A285E">
        <w:t xml:space="preserve"> attendues</w:t>
      </w:r>
      <w:r w:rsidRPr="008D20C6">
        <w:t>. Cette performance a été rendue possible grâce au bon niveau d’exécution de six (6) des huit (8) extrants programmé</w:t>
      </w:r>
      <w:r w:rsidR="00B40CB2">
        <w:t>s dans le tableau ci-dessous</w:t>
      </w:r>
      <w:r w:rsidR="009A285E">
        <w:t xml:space="preserve">. Ces six extrants ont essentiellement trait à la cohésion et à la prévention des conflits. </w:t>
      </w:r>
      <w:r w:rsidRPr="008D20C6">
        <w:t>L’atteinte des cibles</w:t>
      </w:r>
      <w:r w:rsidR="009A285E">
        <w:t xml:space="preserve"> desdits extrants s’</w:t>
      </w:r>
      <w:r w:rsidR="009A285E" w:rsidRPr="008D20C6">
        <w:t>explique</w:t>
      </w:r>
      <w:r w:rsidRPr="008D20C6">
        <w:t xml:space="preserve"> par l’engouement des bénéficiaires pour les activités et l’appui des partenaires. Quant aux deux (2) autres produits, portant respectivement sur la conception et la diffusion d’outils de communication sur la radicalisation et l’extrémisme violent et la diffusion du recueil de bonnes pratiques de citoyenneté, ils n’ont pas connu un début de réalisation</w:t>
      </w:r>
      <w:r w:rsidR="009A285E">
        <w:t>, en raison</w:t>
      </w:r>
      <w:r w:rsidRPr="008D20C6">
        <w:t xml:space="preserve"> </w:t>
      </w:r>
      <w:r w:rsidR="009A285E">
        <w:t>de</w:t>
      </w:r>
      <w:r w:rsidRPr="008D20C6">
        <w:t xml:space="preserve"> l’insuffisance de ressources financières et l’opérationnalisation tardive de la Direction générale des affaires religieuses, coutumières et traditionnelles (DGARCT).</w:t>
      </w:r>
    </w:p>
    <w:p w14:paraId="13F22F2D" w14:textId="0D9484D7" w:rsidR="003B41CB" w:rsidRPr="003B41CB" w:rsidRDefault="003B41CB" w:rsidP="00F175A7">
      <w:pPr>
        <w:numPr>
          <w:ilvl w:val="0"/>
          <w:numId w:val="8"/>
        </w:numPr>
        <w:shd w:val="clear" w:color="auto" w:fill="FFFFFF"/>
        <w:spacing w:before="120" w:after="120" w:line="240" w:lineRule="auto"/>
        <w:ind w:left="0"/>
      </w:pPr>
      <w:r w:rsidRPr="008D20C6">
        <w:t>Le tableau ci-dessous fait la synthèse de la situation des indicateurs de l’action « amélioration de la participation citoyenne dans la lutte contre le terrorisme (01001</w:t>
      </w:r>
      <w:proofErr w:type="gramStart"/>
      <w:r w:rsidRPr="008D20C6">
        <w:t>)»</w:t>
      </w:r>
      <w:proofErr w:type="gramEnd"/>
      <w:r w:rsidRPr="008D20C6">
        <w:t xml:space="preserve">. </w:t>
      </w:r>
      <w:bookmarkStart w:id="21" w:name="_heading=h.mq6u09vkbjhm" w:colFirst="0" w:colLast="0"/>
      <w:bookmarkEnd w:id="21"/>
    </w:p>
    <w:p w14:paraId="4D088041" w14:textId="1F87032C" w:rsidR="003B41CB" w:rsidRPr="00F175A7" w:rsidRDefault="00943B03" w:rsidP="00943B03">
      <w:pPr>
        <w:pStyle w:val="Lgende"/>
        <w:rPr>
          <w:i w:val="0"/>
          <w:iCs w:val="0"/>
          <w:color w:val="auto"/>
          <w:sz w:val="22"/>
          <w:szCs w:val="22"/>
        </w:rPr>
      </w:pPr>
      <w:bookmarkStart w:id="22" w:name="_Toc164503588"/>
      <w:r w:rsidRPr="00F175A7">
        <w:rPr>
          <w:b/>
          <w:bCs/>
          <w:i w:val="0"/>
          <w:iCs w:val="0"/>
          <w:color w:val="auto"/>
          <w:sz w:val="22"/>
          <w:szCs w:val="22"/>
          <w:u w:val="single"/>
        </w:rPr>
        <w:lastRenderedPageBreak/>
        <w:t xml:space="preserve">Tableau </w:t>
      </w:r>
      <w:r w:rsidRPr="00F175A7">
        <w:rPr>
          <w:b/>
          <w:bCs/>
          <w:i w:val="0"/>
          <w:iCs w:val="0"/>
          <w:color w:val="auto"/>
          <w:sz w:val="22"/>
          <w:szCs w:val="22"/>
          <w:u w:val="single"/>
        </w:rPr>
        <w:fldChar w:fldCharType="begin"/>
      </w:r>
      <w:r w:rsidRPr="00F175A7">
        <w:rPr>
          <w:b/>
          <w:bCs/>
          <w:i w:val="0"/>
          <w:iCs w:val="0"/>
          <w:color w:val="auto"/>
          <w:sz w:val="22"/>
          <w:szCs w:val="22"/>
          <w:u w:val="single"/>
        </w:rPr>
        <w:instrText xml:space="preserve"> SEQ Tableau \* ARABIC </w:instrText>
      </w:r>
      <w:r w:rsidRPr="00F175A7">
        <w:rPr>
          <w:b/>
          <w:bCs/>
          <w:i w:val="0"/>
          <w:iCs w:val="0"/>
          <w:color w:val="auto"/>
          <w:sz w:val="22"/>
          <w:szCs w:val="22"/>
          <w:u w:val="single"/>
        </w:rPr>
        <w:fldChar w:fldCharType="separate"/>
      </w:r>
      <w:r w:rsidR="007C2E4E">
        <w:rPr>
          <w:b/>
          <w:bCs/>
          <w:i w:val="0"/>
          <w:iCs w:val="0"/>
          <w:noProof/>
          <w:color w:val="auto"/>
          <w:sz w:val="22"/>
          <w:szCs w:val="22"/>
          <w:u w:val="single"/>
        </w:rPr>
        <w:t>1</w:t>
      </w:r>
      <w:r w:rsidRPr="00F175A7">
        <w:rPr>
          <w:b/>
          <w:bCs/>
          <w:i w:val="0"/>
          <w:iCs w:val="0"/>
          <w:color w:val="auto"/>
          <w:sz w:val="22"/>
          <w:szCs w:val="22"/>
          <w:u w:val="single"/>
        </w:rPr>
        <w:fldChar w:fldCharType="end"/>
      </w:r>
      <w:r w:rsidR="003B41CB" w:rsidRPr="00F175A7">
        <w:rPr>
          <w:i w:val="0"/>
          <w:iCs w:val="0"/>
          <w:color w:val="auto"/>
          <w:sz w:val="22"/>
          <w:szCs w:val="22"/>
        </w:rPr>
        <w:t>: situation des indicateurs de produits de l’action « amélioration de la participation citoyenne dans la lutte contre le terrorisme » au 31 décembre 2023</w:t>
      </w:r>
      <w:bookmarkEnd w:id="22"/>
    </w:p>
    <w:tbl>
      <w:tblPr>
        <w:tblStyle w:val="GridTable4-Accent111"/>
        <w:tblW w:w="5000" w:type="pct"/>
        <w:tblLook w:val="04A0" w:firstRow="1" w:lastRow="0" w:firstColumn="1" w:lastColumn="0" w:noHBand="0" w:noVBand="1"/>
      </w:tblPr>
      <w:tblGrid>
        <w:gridCol w:w="5396"/>
        <w:gridCol w:w="1170"/>
        <w:gridCol w:w="1260"/>
        <w:gridCol w:w="1190"/>
      </w:tblGrid>
      <w:tr w:rsidR="003B41CB" w:rsidRPr="00D01825" w14:paraId="09D5EF0E" w14:textId="77777777" w:rsidTr="00D0182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992" w:type="pct"/>
          </w:tcPr>
          <w:p w14:paraId="5A2D0C36" w14:textId="13385042" w:rsidR="003B41CB" w:rsidRPr="00D01825" w:rsidRDefault="003B41CB" w:rsidP="00F175A7">
            <w:pPr>
              <w:spacing w:after="0" w:line="240" w:lineRule="auto"/>
              <w:rPr>
                <w:sz w:val="22"/>
              </w:rPr>
            </w:pPr>
            <w:r w:rsidRPr="00D01825">
              <w:rPr>
                <w:rFonts w:eastAsia="Times New Roman" w:cs="Times New Roman"/>
                <w:sz w:val="22"/>
              </w:rPr>
              <w:t>Indicateur</w:t>
            </w:r>
            <w:r w:rsidR="008F33DB">
              <w:rPr>
                <w:rFonts w:eastAsia="Times New Roman" w:cs="Times New Roman"/>
                <w:sz w:val="22"/>
              </w:rPr>
              <w:t>s</w:t>
            </w:r>
            <w:r w:rsidRPr="00D01825">
              <w:rPr>
                <w:rFonts w:eastAsia="Times New Roman" w:cs="Times New Roman"/>
                <w:sz w:val="22"/>
              </w:rPr>
              <w:t xml:space="preserve"> </w:t>
            </w:r>
          </w:p>
        </w:tc>
        <w:tc>
          <w:tcPr>
            <w:tcW w:w="649" w:type="pct"/>
          </w:tcPr>
          <w:p w14:paraId="0D3A6237" w14:textId="77777777" w:rsidR="003B41CB" w:rsidRPr="00D01825"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Réal. 2022</w:t>
            </w:r>
          </w:p>
        </w:tc>
        <w:tc>
          <w:tcPr>
            <w:tcW w:w="699" w:type="pct"/>
          </w:tcPr>
          <w:p w14:paraId="13D68F5B" w14:textId="77777777" w:rsidR="003B41CB" w:rsidRPr="00D01825"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Réal. 2023</w:t>
            </w:r>
          </w:p>
        </w:tc>
        <w:tc>
          <w:tcPr>
            <w:tcW w:w="660" w:type="pct"/>
          </w:tcPr>
          <w:p w14:paraId="29465274" w14:textId="77777777" w:rsidR="003B41CB" w:rsidRPr="00D01825"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Cible 2023</w:t>
            </w:r>
          </w:p>
        </w:tc>
      </w:tr>
      <w:tr w:rsidR="003B41CB" w:rsidRPr="00D01825" w14:paraId="5488430B" w14:textId="77777777" w:rsidTr="00D018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6F40A76D" w14:textId="77777777" w:rsidR="003B41CB" w:rsidRPr="00D01825" w:rsidRDefault="003B41CB" w:rsidP="00F175A7">
            <w:pPr>
              <w:spacing w:after="0" w:line="240" w:lineRule="auto"/>
              <w:rPr>
                <w:sz w:val="22"/>
              </w:rPr>
            </w:pPr>
            <w:r w:rsidRPr="00D01825">
              <w:rPr>
                <w:rFonts w:eastAsia="Times New Roman" w:cs="Times New Roman"/>
                <w:sz w:val="22"/>
              </w:rPr>
              <w:t>Nombre de régions touchées par la diffusion du recueil de bonnes pratiques en matière de de citoyenneté</w:t>
            </w:r>
          </w:p>
        </w:tc>
        <w:tc>
          <w:tcPr>
            <w:tcW w:w="649" w:type="pct"/>
          </w:tcPr>
          <w:p w14:paraId="1E63FB68"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 xml:space="preserve"> </w:t>
            </w:r>
          </w:p>
        </w:tc>
        <w:tc>
          <w:tcPr>
            <w:tcW w:w="699" w:type="pct"/>
          </w:tcPr>
          <w:p w14:paraId="7CB09387"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0</w:t>
            </w:r>
          </w:p>
        </w:tc>
        <w:tc>
          <w:tcPr>
            <w:tcW w:w="660" w:type="pct"/>
          </w:tcPr>
          <w:p w14:paraId="1D189E94"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13</w:t>
            </w:r>
          </w:p>
        </w:tc>
      </w:tr>
      <w:tr w:rsidR="003B41CB" w:rsidRPr="00D01825" w14:paraId="079CCEA5" w14:textId="77777777" w:rsidTr="00D0182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0A80EE71" w14:textId="77777777" w:rsidR="003B41CB" w:rsidRPr="00D01825" w:rsidRDefault="003B41CB" w:rsidP="00F175A7">
            <w:pPr>
              <w:spacing w:after="0" w:line="240" w:lineRule="auto"/>
              <w:rPr>
                <w:sz w:val="22"/>
              </w:rPr>
            </w:pPr>
            <w:r w:rsidRPr="00D01825">
              <w:rPr>
                <w:rFonts w:eastAsia="Times New Roman" w:cs="Times New Roman"/>
                <w:sz w:val="22"/>
              </w:rPr>
              <w:t>Nombre d’outils (sketchs, spots, films documentaires) de communication sur la radicalisation et l’extrémisme violent conçus et diffusés</w:t>
            </w:r>
          </w:p>
        </w:tc>
        <w:tc>
          <w:tcPr>
            <w:tcW w:w="649" w:type="pct"/>
          </w:tcPr>
          <w:p w14:paraId="0F4818AE"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9</w:t>
            </w:r>
          </w:p>
        </w:tc>
        <w:tc>
          <w:tcPr>
            <w:tcW w:w="699" w:type="pct"/>
          </w:tcPr>
          <w:p w14:paraId="5BE78474"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0</w:t>
            </w:r>
          </w:p>
        </w:tc>
        <w:tc>
          <w:tcPr>
            <w:tcW w:w="660" w:type="pct"/>
          </w:tcPr>
          <w:p w14:paraId="5BD14DA6"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3</w:t>
            </w:r>
          </w:p>
        </w:tc>
      </w:tr>
      <w:tr w:rsidR="003B41CB" w:rsidRPr="00D01825" w14:paraId="6FBFC4CA" w14:textId="77777777" w:rsidTr="00D018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25B054A7" w14:textId="77777777" w:rsidR="003B41CB" w:rsidRPr="00D01825" w:rsidRDefault="003B41CB" w:rsidP="00F175A7">
            <w:pPr>
              <w:spacing w:after="0" w:line="240" w:lineRule="auto"/>
              <w:rPr>
                <w:sz w:val="22"/>
              </w:rPr>
            </w:pPr>
            <w:r w:rsidRPr="00D01825">
              <w:rPr>
                <w:rFonts w:eastAsia="Times New Roman" w:cs="Times New Roman"/>
                <w:sz w:val="22"/>
              </w:rPr>
              <w:t xml:space="preserve">Taux d'actions </w:t>
            </w:r>
            <w:proofErr w:type="spellStart"/>
            <w:r w:rsidRPr="00D01825">
              <w:rPr>
                <w:rFonts w:eastAsia="Times New Roman" w:cs="Times New Roman"/>
                <w:sz w:val="22"/>
              </w:rPr>
              <w:t>civilo</w:t>
            </w:r>
            <w:proofErr w:type="spellEnd"/>
            <w:r w:rsidRPr="00D01825">
              <w:rPr>
                <w:rFonts w:eastAsia="Times New Roman" w:cs="Times New Roman"/>
                <w:sz w:val="22"/>
              </w:rPr>
              <w:t>-militaires prises en charge</w:t>
            </w:r>
          </w:p>
        </w:tc>
        <w:tc>
          <w:tcPr>
            <w:tcW w:w="649" w:type="pct"/>
          </w:tcPr>
          <w:p w14:paraId="78AC53CB"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100</w:t>
            </w:r>
          </w:p>
        </w:tc>
        <w:tc>
          <w:tcPr>
            <w:tcW w:w="699" w:type="pct"/>
          </w:tcPr>
          <w:p w14:paraId="06179DBE"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100</w:t>
            </w:r>
          </w:p>
        </w:tc>
        <w:tc>
          <w:tcPr>
            <w:tcW w:w="660" w:type="pct"/>
          </w:tcPr>
          <w:p w14:paraId="530B3366"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100</w:t>
            </w:r>
          </w:p>
        </w:tc>
      </w:tr>
      <w:tr w:rsidR="003B41CB" w:rsidRPr="00D01825" w14:paraId="3BEA8DA0" w14:textId="77777777" w:rsidTr="00D0182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2AED7970" w14:textId="4A205EBC" w:rsidR="003B41CB" w:rsidRPr="00D01825" w:rsidRDefault="003B41CB" w:rsidP="00F175A7">
            <w:pPr>
              <w:spacing w:after="0" w:line="240" w:lineRule="auto"/>
              <w:rPr>
                <w:sz w:val="22"/>
              </w:rPr>
            </w:pPr>
            <w:r w:rsidRPr="00D01825">
              <w:rPr>
                <w:rFonts w:eastAsia="Times New Roman" w:cs="Times New Roman"/>
                <w:sz w:val="22"/>
              </w:rPr>
              <w:t xml:space="preserve">Nombre de PDI et acteurs communautaires sensibilisés </w:t>
            </w:r>
            <w:r w:rsidR="00B40CB2">
              <w:rPr>
                <w:rFonts w:eastAsia="Times New Roman" w:cs="Times New Roman"/>
                <w:sz w:val="22"/>
              </w:rPr>
              <w:t xml:space="preserve">à </w:t>
            </w:r>
            <w:r w:rsidRPr="00D01825">
              <w:rPr>
                <w:rFonts w:eastAsia="Times New Roman" w:cs="Times New Roman"/>
                <w:sz w:val="22"/>
              </w:rPr>
              <w:t xml:space="preserve">la culture de la paix, la prévention de la radicalisation et </w:t>
            </w:r>
            <w:r w:rsidR="00B40CB2">
              <w:rPr>
                <w:rFonts w:eastAsia="Times New Roman" w:cs="Times New Roman"/>
                <w:sz w:val="22"/>
              </w:rPr>
              <w:t>au</w:t>
            </w:r>
            <w:r w:rsidRPr="00D01825">
              <w:rPr>
                <w:rFonts w:eastAsia="Times New Roman" w:cs="Times New Roman"/>
                <w:sz w:val="22"/>
              </w:rPr>
              <w:t xml:space="preserve"> renforcement de la résilience</w:t>
            </w:r>
          </w:p>
        </w:tc>
        <w:tc>
          <w:tcPr>
            <w:tcW w:w="649" w:type="pct"/>
          </w:tcPr>
          <w:p w14:paraId="7358817F"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1100</w:t>
            </w:r>
          </w:p>
        </w:tc>
        <w:tc>
          <w:tcPr>
            <w:tcW w:w="699" w:type="pct"/>
          </w:tcPr>
          <w:p w14:paraId="256CCDBD"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760</w:t>
            </w:r>
          </w:p>
        </w:tc>
        <w:tc>
          <w:tcPr>
            <w:tcW w:w="660" w:type="pct"/>
          </w:tcPr>
          <w:p w14:paraId="5A1D9504"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500</w:t>
            </w:r>
          </w:p>
        </w:tc>
      </w:tr>
      <w:tr w:rsidR="003B41CB" w:rsidRPr="00D01825" w14:paraId="44DB0FC4" w14:textId="77777777" w:rsidTr="00D018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3047FE6E" w14:textId="4D4DAE20" w:rsidR="003B41CB" w:rsidRPr="00D01825" w:rsidRDefault="003B41CB" w:rsidP="00B40CB2">
            <w:pPr>
              <w:spacing w:after="0" w:line="240" w:lineRule="auto"/>
              <w:rPr>
                <w:sz w:val="22"/>
              </w:rPr>
            </w:pPr>
            <w:r w:rsidRPr="00D01825">
              <w:rPr>
                <w:rFonts w:eastAsia="Times New Roman" w:cs="Times New Roman"/>
                <w:sz w:val="22"/>
              </w:rPr>
              <w:t xml:space="preserve">Nombre d'amazones de la cohésion sociale formées </w:t>
            </w:r>
            <w:r w:rsidR="00B40CB2">
              <w:rPr>
                <w:rFonts w:eastAsia="Times New Roman" w:cs="Times New Roman"/>
                <w:sz w:val="22"/>
              </w:rPr>
              <w:t>aux</w:t>
            </w:r>
            <w:r w:rsidRPr="00D01825">
              <w:rPr>
                <w:rFonts w:eastAsia="Times New Roman" w:cs="Times New Roman"/>
                <w:sz w:val="22"/>
              </w:rPr>
              <w:t xml:space="preserve"> violences basées sur le genre</w:t>
            </w:r>
          </w:p>
        </w:tc>
        <w:tc>
          <w:tcPr>
            <w:tcW w:w="649" w:type="pct"/>
          </w:tcPr>
          <w:p w14:paraId="54F88A7E"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ND</w:t>
            </w:r>
          </w:p>
        </w:tc>
        <w:tc>
          <w:tcPr>
            <w:tcW w:w="699" w:type="pct"/>
          </w:tcPr>
          <w:p w14:paraId="5DE5D704"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58</w:t>
            </w:r>
          </w:p>
        </w:tc>
        <w:tc>
          <w:tcPr>
            <w:tcW w:w="660" w:type="pct"/>
          </w:tcPr>
          <w:p w14:paraId="5576AD16"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15</w:t>
            </w:r>
          </w:p>
        </w:tc>
      </w:tr>
      <w:tr w:rsidR="003B41CB" w:rsidRPr="00D01825" w14:paraId="234B5D0E" w14:textId="77777777" w:rsidTr="00D0182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22F8A5D3" w14:textId="381DD5C5" w:rsidR="003B41CB" w:rsidRPr="00D01825" w:rsidRDefault="003B41CB" w:rsidP="00C91997">
            <w:pPr>
              <w:spacing w:after="0" w:line="240" w:lineRule="auto"/>
              <w:rPr>
                <w:sz w:val="22"/>
              </w:rPr>
            </w:pPr>
            <w:r w:rsidRPr="00D01825">
              <w:rPr>
                <w:rFonts w:eastAsia="Times New Roman" w:cs="Times New Roman"/>
                <w:sz w:val="22"/>
              </w:rPr>
              <w:t xml:space="preserve">Nombre de leaders PDI et de communautés hôtes formés </w:t>
            </w:r>
            <w:r w:rsidR="00C91997">
              <w:rPr>
                <w:rFonts w:eastAsia="Times New Roman" w:cs="Times New Roman"/>
                <w:sz w:val="22"/>
              </w:rPr>
              <w:t xml:space="preserve">à la </w:t>
            </w:r>
            <w:r w:rsidRPr="00D01825">
              <w:rPr>
                <w:rFonts w:eastAsia="Times New Roman" w:cs="Times New Roman"/>
                <w:sz w:val="22"/>
              </w:rPr>
              <w:t>technique de prévention et de médiation des conflits communautaires</w:t>
            </w:r>
          </w:p>
        </w:tc>
        <w:tc>
          <w:tcPr>
            <w:tcW w:w="649" w:type="pct"/>
          </w:tcPr>
          <w:p w14:paraId="37FE5E67"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ND</w:t>
            </w:r>
          </w:p>
        </w:tc>
        <w:tc>
          <w:tcPr>
            <w:tcW w:w="699" w:type="pct"/>
          </w:tcPr>
          <w:p w14:paraId="34786B96"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412</w:t>
            </w:r>
          </w:p>
        </w:tc>
        <w:tc>
          <w:tcPr>
            <w:tcW w:w="660" w:type="pct"/>
          </w:tcPr>
          <w:p w14:paraId="0AC42EFD"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D01825">
              <w:rPr>
                <w:rFonts w:eastAsia="Times New Roman" w:cs="Times New Roman"/>
                <w:sz w:val="22"/>
              </w:rPr>
              <w:t>334</w:t>
            </w:r>
          </w:p>
        </w:tc>
      </w:tr>
      <w:tr w:rsidR="003B41CB" w:rsidRPr="00D01825" w14:paraId="27269297" w14:textId="77777777" w:rsidTr="00D018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1D3D9DF5" w14:textId="77777777" w:rsidR="003B41CB" w:rsidRPr="00D01825" w:rsidRDefault="003B41CB" w:rsidP="00F175A7">
            <w:pPr>
              <w:spacing w:after="0" w:line="240" w:lineRule="auto"/>
              <w:rPr>
                <w:sz w:val="22"/>
              </w:rPr>
            </w:pPr>
            <w:r w:rsidRPr="00D01825">
              <w:rPr>
                <w:rFonts w:eastAsia="Times New Roman" w:cs="Times New Roman"/>
                <w:sz w:val="22"/>
              </w:rPr>
              <w:t>Nombre d'organes de prévention des conflits dont les membres sont sensibilisés et formés</w:t>
            </w:r>
          </w:p>
        </w:tc>
        <w:tc>
          <w:tcPr>
            <w:tcW w:w="649" w:type="pct"/>
          </w:tcPr>
          <w:p w14:paraId="5FE17880"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ND</w:t>
            </w:r>
          </w:p>
        </w:tc>
        <w:tc>
          <w:tcPr>
            <w:tcW w:w="699" w:type="pct"/>
          </w:tcPr>
          <w:p w14:paraId="67D89EB0"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10</w:t>
            </w:r>
          </w:p>
        </w:tc>
        <w:tc>
          <w:tcPr>
            <w:tcW w:w="660" w:type="pct"/>
          </w:tcPr>
          <w:p w14:paraId="7C4CBE1E"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D01825">
              <w:rPr>
                <w:rFonts w:eastAsia="Times New Roman" w:cs="Times New Roman"/>
                <w:sz w:val="22"/>
              </w:rPr>
              <w:t>10</w:t>
            </w:r>
          </w:p>
        </w:tc>
      </w:tr>
      <w:tr w:rsidR="003B41CB" w:rsidRPr="00D01825" w14:paraId="65F8289A" w14:textId="77777777" w:rsidTr="00D0182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0DD270EB" w14:textId="77777777" w:rsidR="003B41CB" w:rsidRPr="00D01825" w:rsidRDefault="003B41CB" w:rsidP="00F175A7">
            <w:pPr>
              <w:spacing w:after="0" w:line="240" w:lineRule="auto"/>
              <w:rPr>
                <w:rFonts w:eastAsia="Times New Roman" w:cs="Times New Roman"/>
                <w:b w:val="0"/>
                <w:sz w:val="22"/>
              </w:rPr>
            </w:pPr>
            <w:r w:rsidRPr="00D01825">
              <w:rPr>
                <w:rFonts w:eastAsia="Times New Roman" w:cs="Times New Roman"/>
                <w:sz w:val="22"/>
              </w:rPr>
              <w:t>Tenue de la journée internationale du vivre-ensemble</w:t>
            </w:r>
          </w:p>
        </w:tc>
        <w:tc>
          <w:tcPr>
            <w:tcW w:w="649" w:type="pct"/>
          </w:tcPr>
          <w:p w14:paraId="5D42947A"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ND</w:t>
            </w:r>
          </w:p>
        </w:tc>
        <w:tc>
          <w:tcPr>
            <w:tcW w:w="699" w:type="pct"/>
          </w:tcPr>
          <w:p w14:paraId="5E46F37F"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w:t>
            </w:r>
          </w:p>
        </w:tc>
        <w:tc>
          <w:tcPr>
            <w:tcW w:w="660" w:type="pct"/>
          </w:tcPr>
          <w:p w14:paraId="62F82D8B"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w:t>
            </w:r>
          </w:p>
        </w:tc>
      </w:tr>
    </w:tbl>
    <w:p w14:paraId="7C3A867D" w14:textId="3E585DB5"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 </w:t>
      </w:r>
      <w:r w:rsidR="00F175A7">
        <w:rPr>
          <w:rFonts w:eastAsia="Times New Roman" w:cs="Times New Roman"/>
          <w:sz w:val="20"/>
          <w:szCs w:val="20"/>
        </w:rPr>
        <w:t xml:space="preserve">annuel </w:t>
      </w:r>
      <w:r w:rsidRPr="008D20C6">
        <w:rPr>
          <w:rFonts w:eastAsia="Times New Roman" w:cs="Times New Roman"/>
          <w:sz w:val="20"/>
          <w:szCs w:val="20"/>
        </w:rPr>
        <w:t>de performance 2023 des CSD-DS et JDH, février 2024</w:t>
      </w:r>
    </w:p>
    <w:p w14:paraId="6C4674D9" w14:textId="442E489E" w:rsidR="003B41CB" w:rsidRPr="00E31E23" w:rsidRDefault="003B41CB" w:rsidP="00F175A7">
      <w:pPr>
        <w:numPr>
          <w:ilvl w:val="0"/>
          <w:numId w:val="8"/>
        </w:numPr>
        <w:shd w:val="clear" w:color="auto" w:fill="FFFFFF"/>
        <w:spacing w:before="120" w:after="120" w:line="240" w:lineRule="auto"/>
        <w:ind w:left="0"/>
      </w:pPr>
      <w:r w:rsidRPr="008D20C6">
        <w:t>Le taux de réalisation physique de l’action est de 75%. Sur un coût prévisionnel de 550</w:t>
      </w:r>
      <w:r w:rsidR="00C91997" w:rsidRPr="00B21CEC">
        <w:rPr>
          <w:rFonts w:eastAsia="Calibri"/>
          <w:szCs w:val="24"/>
        </w:rPr>
        <w:t> </w:t>
      </w:r>
      <w:r w:rsidRPr="008D20C6">
        <w:t>000</w:t>
      </w:r>
      <w:r w:rsidR="00C91997" w:rsidRPr="00B21CEC">
        <w:rPr>
          <w:rFonts w:eastAsia="Calibri"/>
          <w:szCs w:val="24"/>
        </w:rPr>
        <w:t> </w:t>
      </w:r>
      <w:r w:rsidRPr="008D20C6">
        <w:t>000 FCFA, la réalisation financière est de 504 787 000 FCFA, soit un taux d’exécution de 91,78%</w:t>
      </w:r>
      <w:r w:rsidR="00C91997">
        <w:t>.</w:t>
      </w:r>
    </w:p>
    <w:p w14:paraId="65FDAA62" w14:textId="4EA44BAD" w:rsidR="003B41CB" w:rsidRPr="00E31E23" w:rsidRDefault="003B41CB" w:rsidP="00F175A7">
      <w:pPr>
        <w:numPr>
          <w:ilvl w:val="0"/>
          <w:numId w:val="8"/>
        </w:numPr>
        <w:shd w:val="clear" w:color="auto" w:fill="FFFFFF"/>
        <w:spacing w:before="120" w:after="120" w:line="240" w:lineRule="auto"/>
        <w:ind w:left="0"/>
      </w:pPr>
      <w:r w:rsidRPr="008D20C6">
        <w:t>La deuxième action qui porte sur le « renforcement des capacités opérationnelles des Forces de défense et de sécurité en vue de libérer les localités occupées par les terroristes » (01002) est implémentée par les CSD-DS et PASP. Les deux indicateurs d’action</w:t>
      </w:r>
      <w:r w:rsidR="00C91997">
        <w:t>,</w:t>
      </w:r>
      <w:r w:rsidRPr="008D20C6">
        <w:t xml:space="preserve"> à savoir le taux de maillage du territoire en services de sécurité opérationnels et le nombre d’éléments de FDS (EMGN, DGPN, BNSP, DGAP, DGEF)</w:t>
      </w:r>
      <w:r w:rsidR="00C91997">
        <w:t>,</w:t>
      </w:r>
      <w:r w:rsidRPr="008D20C6">
        <w:t xml:space="preserve"> n’ont pas atteint leur cible en 2023. </w:t>
      </w:r>
      <w:r w:rsidR="00CA5632">
        <w:t>Pour une cible de 73%, l</w:t>
      </w:r>
      <w:r w:rsidR="00CA5632" w:rsidRPr="00CF1213">
        <w:t>e taux de maillage du territoire est 69,23%</w:t>
      </w:r>
      <w:r w:rsidR="00CA5632">
        <w:t xml:space="preserve"> en 2023, soit le même depuis </w:t>
      </w:r>
      <w:r w:rsidR="00CA5632" w:rsidRPr="00CF1213">
        <w:t>2021</w:t>
      </w:r>
      <w:r w:rsidR="00CA5632">
        <w:t>. Quant au</w:t>
      </w:r>
      <w:r w:rsidR="00CA5632" w:rsidRPr="00CF1213">
        <w:t xml:space="preserve"> nombre d’éléments de FDS </w:t>
      </w:r>
      <w:r w:rsidR="00CA5632" w:rsidRPr="00345EBE">
        <w:t>mis à la disposition du secteur</w:t>
      </w:r>
      <w:r w:rsidR="00CA5632">
        <w:t>, il se chiffrait à</w:t>
      </w:r>
      <w:r w:rsidR="00CA5632" w:rsidRPr="00CF1213">
        <w:t xml:space="preserve"> 10</w:t>
      </w:r>
      <w:r w:rsidR="00C91997" w:rsidRPr="00B21CEC">
        <w:rPr>
          <w:rFonts w:eastAsia="Calibri"/>
          <w:szCs w:val="24"/>
        </w:rPr>
        <w:t> </w:t>
      </w:r>
      <w:r w:rsidR="00CA5632" w:rsidRPr="00CF1213">
        <w:t>185 po</w:t>
      </w:r>
      <w:r w:rsidR="00CA5632">
        <w:t>ur une cible de 12</w:t>
      </w:r>
      <w:r w:rsidR="00C91997" w:rsidRPr="00B21CEC">
        <w:rPr>
          <w:rFonts w:eastAsia="Calibri"/>
          <w:szCs w:val="24"/>
        </w:rPr>
        <w:t> </w:t>
      </w:r>
      <w:r w:rsidR="00CA5632">
        <w:t>024 éléments</w:t>
      </w:r>
      <w:r w:rsidRPr="008D20C6">
        <w:t>.</w:t>
      </w:r>
    </w:p>
    <w:p w14:paraId="4F7E4DB0" w14:textId="198436B6" w:rsidR="003B41CB" w:rsidRPr="00E31E23" w:rsidRDefault="00CA5632" w:rsidP="00F175A7">
      <w:pPr>
        <w:numPr>
          <w:ilvl w:val="0"/>
          <w:numId w:val="8"/>
        </w:numPr>
        <w:shd w:val="clear" w:color="auto" w:fill="FFFFFF"/>
        <w:spacing w:before="120" w:after="120" w:line="240" w:lineRule="auto"/>
        <w:ind w:left="0"/>
      </w:pPr>
      <w:r>
        <w:t xml:space="preserve">En 2023, </w:t>
      </w:r>
      <w:r w:rsidRPr="008D20C6">
        <w:t>les effets de l’action publique se</w:t>
      </w:r>
      <w:r>
        <w:t xml:space="preserve"> sont mis progressivement en place avec l’enregistrement de r</w:t>
      </w:r>
      <w:r w:rsidRPr="008D20C6">
        <w:t>ésultats satisfaisants dans l’exécution de produits clés aussi bien en matière de construction d’infrastructures sécuritaire</w:t>
      </w:r>
      <w:r>
        <w:t>s</w:t>
      </w:r>
      <w:r w:rsidRPr="008D20C6">
        <w:t xml:space="preserve">, </w:t>
      </w:r>
      <w:r>
        <w:t xml:space="preserve">de </w:t>
      </w:r>
      <w:r w:rsidRPr="00345EBE">
        <w:t>réorganisation du dispositif sécuritaire</w:t>
      </w:r>
      <w:r w:rsidR="003B41CB" w:rsidRPr="008D20C6">
        <w:t xml:space="preserve">, de renforcement en effectif et </w:t>
      </w:r>
      <w:r w:rsidR="004D40AE">
        <w:t>de</w:t>
      </w:r>
      <w:r w:rsidR="003B41CB" w:rsidRPr="008D20C6">
        <w:t xml:space="preserve"> professionnalisation continue des FDS </w:t>
      </w:r>
      <w:r w:rsidR="004D40AE">
        <w:t xml:space="preserve">que de fourniture en </w:t>
      </w:r>
      <w:r w:rsidR="003B41CB" w:rsidRPr="008D20C6">
        <w:t>équipement</w:t>
      </w:r>
      <w:r w:rsidR="004D40AE">
        <w:t>s</w:t>
      </w:r>
      <w:r w:rsidR="003B41CB" w:rsidRPr="008D20C6">
        <w:t xml:space="preserve"> spécifiques.</w:t>
      </w:r>
    </w:p>
    <w:p w14:paraId="3B773BD8" w14:textId="523D0837" w:rsidR="003B41CB" w:rsidRPr="00E31E23" w:rsidRDefault="003B41CB" w:rsidP="00F175A7">
      <w:pPr>
        <w:numPr>
          <w:ilvl w:val="0"/>
          <w:numId w:val="8"/>
        </w:numPr>
        <w:shd w:val="clear" w:color="auto" w:fill="FFFFFF"/>
        <w:spacing w:before="120" w:after="120" w:line="240" w:lineRule="auto"/>
        <w:ind w:left="0"/>
      </w:pPr>
      <w:r w:rsidRPr="008D20C6">
        <w:t>Relativement au renforcement des capacités en infrastructure</w:t>
      </w:r>
      <w:r w:rsidR="004D40AE">
        <w:t>s</w:t>
      </w:r>
      <w:r w:rsidRPr="008D20C6">
        <w:t xml:space="preserve"> sécuritaire</w:t>
      </w:r>
      <w:r w:rsidR="004D40AE">
        <w:t>s</w:t>
      </w:r>
      <w:r w:rsidRPr="008D20C6">
        <w:t>, de nombreux chantiers de construction entamés en 2023 sont achevés. Il s’agit, notamment des C</w:t>
      </w:r>
      <w:r w:rsidR="0072560A">
        <w:t>ommissariats de police de district (C</w:t>
      </w:r>
      <w:r w:rsidRPr="008D20C6">
        <w:t>PD</w:t>
      </w:r>
      <w:r w:rsidR="0072560A">
        <w:t>)</w:t>
      </w:r>
      <w:r w:rsidRPr="008D20C6">
        <w:t xml:space="preserve"> de </w:t>
      </w:r>
      <w:proofErr w:type="spellStart"/>
      <w:r w:rsidRPr="008D20C6">
        <w:t>Bouroum</w:t>
      </w:r>
      <w:proofErr w:type="spellEnd"/>
      <w:r w:rsidRPr="008D20C6">
        <w:t xml:space="preserve"> </w:t>
      </w:r>
      <w:proofErr w:type="spellStart"/>
      <w:r w:rsidRPr="008D20C6">
        <w:t>Bouroum</w:t>
      </w:r>
      <w:proofErr w:type="spellEnd"/>
      <w:r w:rsidRPr="008D20C6">
        <w:t xml:space="preserve">, de </w:t>
      </w:r>
      <w:proofErr w:type="spellStart"/>
      <w:r w:rsidRPr="008D20C6">
        <w:t>Dakoro</w:t>
      </w:r>
      <w:proofErr w:type="spellEnd"/>
      <w:r w:rsidRPr="008D20C6">
        <w:t xml:space="preserve"> et de Sangha, des B</w:t>
      </w:r>
      <w:r w:rsidR="0072560A">
        <w:t>rigades territoriales (B</w:t>
      </w:r>
      <w:r w:rsidRPr="008D20C6">
        <w:t>T</w:t>
      </w:r>
      <w:r w:rsidR="0072560A">
        <w:t>)</w:t>
      </w:r>
      <w:r w:rsidRPr="008D20C6">
        <w:t xml:space="preserve"> de Tema </w:t>
      </w:r>
      <w:proofErr w:type="spellStart"/>
      <w:r w:rsidR="00054D27">
        <w:t>Bokin</w:t>
      </w:r>
      <w:proofErr w:type="spellEnd"/>
      <w:r w:rsidR="00054D27">
        <w:t xml:space="preserve">, </w:t>
      </w:r>
      <w:proofErr w:type="spellStart"/>
      <w:r w:rsidR="00054D27">
        <w:t>Ziga</w:t>
      </w:r>
      <w:proofErr w:type="spellEnd"/>
      <w:r w:rsidR="00054D27">
        <w:t xml:space="preserve"> et Samba ainsi que </w:t>
      </w:r>
      <w:r w:rsidRPr="008D20C6">
        <w:t xml:space="preserve">les logements des </w:t>
      </w:r>
      <w:r w:rsidRPr="008D20C6">
        <w:lastRenderedPageBreak/>
        <w:t>escadrons de Kaya et la B</w:t>
      </w:r>
      <w:r w:rsidR="00F26121">
        <w:t>rigade de prévention routière (B</w:t>
      </w:r>
      <w:r w:rsidRPr="008D20C6">
        <w:t>PR</w:t>
      </w:r>
      <w:r w:rsidR="00F26121">
        <w:t>) de</w:t>
      </w:r>
      <w:r w:rsidRPr="008D20C6">
        <w:t xml:space="preserve"> Kaya. Quant aux réhabilitations, 21 sites l’ont été sur une prévision de 29. Il s’agit des sites de CPD </w:t>
      </w:r>
      <w:proofErr w:type="spellStart"/>
      <w:r w:rsidRPr="008D20C6">
        <w:t>Toussiana</w:t>
      </w:r>
      <w:proofErr w:type="spellEnd"/>
      <w:r w:rsidRPr="008D20C6">
        <w:t>, DRPN C</w:t>
      </w:r>
      <w:r w:rsidR="00C91997">
        <w:t>entre-</w:t>
      </w:r>
      <w:r w:rsidRPr="008D20C6">
        <w:t>E</w:t>
      </w:r>
      <w:r w:rsidR="00C91997">
        <w:t>st</w:t>
      </w:r>
      <w:r w:rsidRPr="008D20C6">
        <w:t xml:space="preserve">, GCRS Bobo, CRS Dédougou, GCRS Ouaga, CRS Ouaga-Ouest, DRPN Cascades, DRPN Sud-Ouest, CPD </w:t>
      </w:r>
      <w:proofErr w:type="spellStart"/>
      <w:r w:rsidRPr="008D20C6">
        <w:t>Nagréongo</w:t>
      </w:r>
      <w:proofErr w:type="spellEnd"/>
      <w:r w:rsidRPr="008D20C6">
        <w:t xml:space="preserve">, au profit de la Police </w:t>
      </w:r>
      <w:r w:rsidR="00C91997">
        <w:t>n</w:t>
      </w:r>
      <w:r w:rsidRPr="008D20C6">
        <w:t xml:space="preserve">ationale et les sites de BR Kaya, BT Tenkodogo, BR Fada, BT </w:t>
      </w:r>
      <w:proofErr w:type="spellStart"/>
      <w:r w:rsidRPr="008D20C6">
        <w:t>Dalo</w:t>
      </w:r>
      <w:proofErr w:type="spellEnd"/>
      <w:r w:rsidRPr="008D20C6">
        <w:t xml:space="preserve">, BT Boudry, BT Dan, BT </w:t>
      </w:r>
      <w:proofErr w:type="spellStart"/>
      <w:r w:rsidRPr="008D20C6">
        <w:t>Koumbia</w:t>
      </w:r>
      <w:proofErr w:type="spellEnd"/>
      <w:r w:rsidRPr="008D20C6">
        <w:t xml:space="preserve">, BT </w:t>
      </w:r>
      <w:proofErr w:type="spellStart"/>
      <w:r w:rsidRPr="008D20C6">
        <w:t>Nako</w:t>
      </w:r>
      <w:proofErr w:type="spellEnd"/>
      <w:r w:rsidRPr="008D20C6">
        <w:t xml:space="preserve">, BT Ouahigouya, BT </w:t>
      </w:r>
      <w:proofErr w:type="spellStart"/>
      <w:r w:rsidRPr="008D20C6">
        <w:t>Boulsa</w:t>
      </w:r>
      <w:proofErr w:type="spellEnd"/>
      <w:r w:rsidRPr="008D20C6">
        <w:t xml:space="preserve">, </w:t>
      </w:r>
      <w:r w:rsidR="00C91997">
        <w:t>c</w:t>
      </w:r>
      <w:r w:rsidRPr="008D20C6">
        <w:t xml:space="preserve">ompagnie Diapaga et compagnie Boromo au profit de la </w:t>
      </w:r>
      <w:r w:rsidR="00C91997">
        <w:t>g</w:t>
      </w:r>
      <w:r w:rsidRPr="008D20C6">
        <w:t>endarmerie.</w:t>
      </w:r>
    </w:p>
    <w:p w14:paraId="683F9E50" w14:textId="0172B9DA" w:rsidR="003B41CB" w:rsidRPr="00E31E23" w:rsidRDefault="004D40AE" w:rsidP="00F175A7">
      <w:pPr>
        <w:numPr>
          <w:ilvl w:val="0"/>
          <w:numId w:val="8"/>
        </w:numPr>
        <w:shd w:val="clear" w:color="auto" w:fill="FFFFFF"/>
        <w:spacing w:before="120" w:after="120" w:line="240" w:lineRule="auto"/>
        <w:ind w:left="0"/>
      </w:pPr>
      <w:r>
        <w:t>P</w:t>
      </w:r>
      <w:r w:rsidR="003B41CB" w:rsidRPr="008D20C6">
        <w:t>our</w:t>
      </w:r>
      <w:r>
        <w:t xml:space="preserve"> ce qui est </w:t>
      </w:r>
      <w:r w:rsidR="003B41CB" w:rsidRPr="008D20C6">
        <w:t xml:space="preserve">des infrastructures spécifiques au profit des FAN, le taux d’exécution du programme n’est qu’à 53% pour une cible annuelle de 100%. Quant à la construction de la caserne des eaux et forêts dont l’achèvement est prévu en 2024, le niveau de réalisation reste appréciable, passant de 52% </w:t>
      </w:r>
      <w:r w:rsidR="00CA5632">
        <w:t xml:space="preserve">en 2022 </w:t>
      </w:r>
      <w:r w:rsidR="003B41CB" w:rsidRPr="008D20C6">
        <w:t>à de 73% en 2023.</w:t>
      </w:r>
    </w:p>
    <w:p w14:paraId="6BA962E3" w14:textId="3FAD841A" w:rsidR="003B41CB" w:rsidRPr="00E31E23" w:rsidRDefault="003B41CB" w:rsidP="00F175A7">
      <w:pPr>
        <w:numPr>
          <w:ilvl w:val="0"/>
          <w:numId w:val="8"/>
        </w:numPr>
        <w:shd w:val="clear" w:color="auto" w:fill="FFFFFF"/>
        <w:spacing w:before="120" w:after="120" w:line="240" w:lineRule="auto"/>
        <w:ind w:left="0"/>
      </w:pPr>
      <w:r w:rsidRPr="008D20C6">
        <w:t>Même si les résultats sont appréciables en matière d’infrastructures, il n’en demeure pas moins des difficultés dont les principales sont notamment liées à des litiges avec les propriétaires terriens, l’inaccessibilité de certaines localités, l’insuffisance des crédits budgétaires et les retards dans les passations de marchés. Pour pallier ces difficultés, des échanges ont été menés avec les propriétaires terriens et des cadres de concertation ont été instaurés pour une meilleure exécution des plans de passation des marchés.</w:t>
      </w:r>
    </w:p>
    <w:p w14:paraId="5C439A05" w14:textId="77777777" w:rsidR="003B41CB" w:rsidRPr="00E31E23" w:rsidRDefault="003B41CB" w:rsidP="00F175A7">
      <w:pPr>
        <w:numPr>
          <w:ilvl w:val="0"/>
          <w:numId w:val="8"/>
        </w:numPr>
        <w:shd w:val="clear" w:color="auto" w:fill="FFFFFF"/>
        <w:spacing w:before="120" w:after="120" w:line="240" w:lineRule="auto"/>
        <w:ind w:left="0"/>
      </w:pPr>
      <w:r w:rsidRPr="008D20C6">
        <w:t>Le tableau ci-dessous fait le point sur la situation des indicateurs du volet construction de l’action.</w:t>
      </w:r>
    </w:p>
    <w:p w14:paraId="28789FE3" w14:textId="3FE3904F" w:rsidR="003B41CB" w:rsidRPr="00943B03" w:rsidRDefault="00943B03" w:rsidP="003B41CB">
      <w:pPr>
        <w:shd w:val="clear" w:color="auto" w:fill="FFFFFF"/>
        <w:spacing w:before="240" w:after="240" w:line="240" w:lineRule="auto"/>
        <w:rPr>
          <w:rFonts w:eastAsia="Times New Roman" w:cs="Times New Roman"/>
          <w:sz w:val="22"/>
        </w:rPr>
      </w:pPr>
      <w:bookmarkStart w:id="23" w:name="_Toc164503589"/>
      <w:r w:rsidRPr="00943B03">
        <w:rPr>
          <w:b/>
          <w:bCs/>
          <w:sz w:val="22"/>
          <w:u w:val="single"/>
        </w:rPr>
        <w:t xml:space="preserve">Tableau </w:t>
      </w:r>
      <w:r w:rsidRPr="00943B03">
        <w:rPr>
          <w:b/>
          <w:bCs/>
          <w:sz w:val="22"/>
          <w:u w:val="single"/>
        </w:rPr>
        <w:fldChar w:fldCharType="begin"/>
      </w:r>
      <w:r w:rsidRPr="00943B03">
        <w:rPr>
          <w:b/>
          <w:bCs/>
          <w:sz w:val="22"/>
          <w:u w:val="single"/>
        </w:rPr>
        <w:instrText xml:space="preserve"> SEQ Tableau \* ARABIC </w:instrText>
      </w:r>
      <w:r w:rsidRPr="00943B03">
        <w:rPr>
          <w:b/>
          <w:bCs/>
          <w:sz w:val="22"/>
          <w:u w:val="single"/>
        </w:rPr>
        <w:fldChar w:fldCharType="separate"/>
      </w:r>
      <w:r w:rsidR="007C2E4E">
        <w:rPr>
          <w:b/>
          <w:bCs/>
          <w:noProof/>
          <w:sz w:val="22"/>
          <w:u w:val="single"/>
        </w:rPr>
        <w:t>2</w:t>
      </w:r>
      <w:r w:rsidRPr="00943B03">
        <w:rPr>
          <w:b/>
          <w:bCs/>
          <w:sz w:val="22"/>
          <w:u w:val="single"/>
        </w:rPr>
        <w:fldChar w:fldCharType="end"/>
      </w:r>
      <w:r w:rsidR="003B41CB" w:rsidRPr="00943B03">
        <w:rPr>
          <w:rFonts w:eastAsia="Times New Roman" w:cs="Times New Roman"/>
          <w:sz w:val="22"/>
        </w:rPr>
        <w:t xml:space="preserve">: </w:t>
      </w:r>
      <w:r w:rsidR="003B41CB" w:rsidRPr="00943B03">
        <w:rPr>
          <w:sz w:val="22"/>
        </w:rPr>
        <w:t>situation des indicateurs de produits de l’action « renforcement des capacités opérationnelles des Forces de défense et de sécurité en vue de libérer les localités occupées par les terroristes », volet constructions.</w:t>
      </w:r>
      <w:bookmarkEnd w:id="23"/>
    </w:p>
    <w:tbl>
      <w:tblPr>
        <w:tblStyle w:val="GridTable4-Accent111"/>
        <w:tblW w:w="5000" w:type="pct"/>
        <w:tblLook w:val="04A0" w:firstRow="1" w:lastRow="0" w:firstColumn="1" w:lastColumn="0" w:noHBand="0" w:noVBand="1"/>
      </w:tblPr>
      <w:tblGrid>
        <w:gridCol w:w="5035"/>
        <w:gridCol w:w="1352"/>
        <w:gridCol w:w="1439"/>
        <w:gridCol w:w="1190"/>
      </w:tblGrid>
      <w:tr w:rsidR="003B41CB" w:rsidRPr="00D01825" w14:paraId="4B8F3046" w14:textId="77777777" w:rsidTr="003D2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2" w:type="pct"/>
          </w:tcPr>
          <w:p w14:paraId="369A9AC9"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color w:val="F2F2F2"/>
                <w:sz w:val="22"/>
              </w:rPr>
              <w:t>Indicateurs</w:t>
            </w:r>
          </w:p>
        </w:tc>
        <w:tc>
          <w:tcPr>
            <w:tcW w:w="750" w:type="pct"/>
          </w:tcPr>
          <w:p w14:paraId="6430EA42" w14:textId="77777777" w:rsidR="003B41CB" w:rsidRPr="00D01825"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color w:val="F2F2F2"/>
                <w:sz w:val="22"/>
              </w:rPr>
              <w:t>Réal. 2022</w:t>
            </w:r>
          </w:p>
        </w:tc>
        <w:tc>
          <w:tcPr>
            <w:tcW w:w="798" w:type="pct"/>
          </w:tcPr>
          <w:p w14:paraId="4397CCA1" w14:textId="77777777" w:rsidR="003B41CB" w:rsidRPr="00D01825"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color w:val="F2F2F2"/>
                <w:sz w:val="22"/>
              </w:rPr>
              <w:t>Réal. 2023</w:t>
            </w:r>
          </w:p>
        </w:tc>
        <w:tc>
          <w:tcPr>
            <w:tcW w:w="660" w:type="pct"/>
          </w:tcPr>
          <w:p w14:paraId="3192107C" w14:textId="77777777" w:rsidR="003B41CB" w:rsidRPr="00D01825"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color w:val="F2F2F2"/>
                <w:sz w:val="22"/>
              </w:rPr>
              <w:t>Cible 2023</w:t>
            </w:r>
          </w:p>
        </w:tc>
      </w:tr>
      <w:tr w:rsidR="003B41CB" w:rsidRPr="00D01825" w14:paraId="3E8CEA67" w14:textId="77777777" w:rsidTr="003D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4F3BD55B"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sz w:val="22"/>
              </w:rPr>
              <w:t>Nombre de nouveaux services de sécurité construits au profit de la Gendarmerie nationale</w:t>
            </w:r>
          </w:p>
        </w:tc>
        <w:tc>
          <w:tcPr>
            <w:tcW w:w="750" w:type="pct"/>
          </w:tcPr>
          <w:p w14:paraId="4574DB6D"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0</w:t>
            </w:r>
          </w:p>
        </w:tc>
        <w:tc>
          <w:tcPr>
            <w:tcW w:w="798" w:type="pct"/>
          </w:tcPr>
          <w:p w14:paraId="2F12B67F"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5</w:t>
            </w:r>
          </w:p>
        </w:tc>
        <w:tc>
          <w:tcPr>
            <w:tcW w:w="660" w:type="pct"/>
          </w:tcPr>
          <w:p w14:paraId="7BEFEE11"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5</w:t>
            </w:r>
          </w:p>
        </w:tc>
      </w:tr>
      <w:tr w:rsidR="003B41CB" w:rsidRPr="00D01825" w14:paraId="19619A1E" w14:textId="77777777" w:rsidTr="003D2260">
        <w:tc>
          <w:tcPr>
            <w:cnfStyle w:val="001000000000" w:firstRow="0" w:lastRow="0" w:firstColumn="1" w:lastColumn="0" w:oddVBand="0" w:evenVBand="0" w:oddHBand="0" w:evenHBand="0" w:firstRowFirstColumn="0" w:firstRowLastColumn="0" w:lastRowFirstColumn="0" w:lastRowLastColumn="0"/>
            <w:tcW w:w="2792" w:type="pct"/>
          </w:tcPr>
          <w:p w14:paraId="3F093E5F"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sz w:val="22"/>
              </w:rPr>
              <w:t>Nombre de nouveaux escadrons de gendarmerie construits</w:t>
            </w:r>
          </w:p>
        </w:tc>
        <w:tc>
          <w:tcPr>
            <w:tcW w:w="750" w:type="pct"/>
          </w:tcPr>
          <w:p w14:paraId="60AA8AE4"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0</w:t>
            </w:r>
          </w:p>
        </w:tc>
        <w:tc>
          <w:tcPr>
            <w:tcW w:w="798" w:type="pct"/>
          </w:tcPr>
          <w:p w14:paraId="099F3881"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0</w:t>
            </w:r>
          </w:p>
        </w:tc>
        <w:tc>
          <w:tcPr>
            <w:tcW w:w="660" w:type="pct"/>
          </w:tcPr>
          <w:p w14:paraId="3C476104"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w:t>
            </w:r>
          </w:p>
        </w:tc>
      </w:tr>
      <w:tr w:rsidR="003B41CB" w:rsidRPr="00D01825" w14:paraId="41FFE222" w14:textId="77777777" w:rsidTr="003D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50622533"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sz w:val="22"/>
              </w:rPr>
              <w:t>Nombre de nouveaux groupements de gendarmerie construits</w:t>
            </w:r>
          </w:p>
        </w:tc>
        <w:tc>
          <w:tcPr>
            <w:tcW w:w="750" w:type="pct"/>
          </w:tcPr>
          <w:p w14:paraId="6039E71F"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0</w:t>
            </w:r>
          </w:p>
        </w:tc>
        <w:tc>
          <w:tcPr>
            <w:tcW w:w="798" w:type="pct"/>
          </w:tcPr>
          <w:p w14:paraId="2864890C"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0</w:t>
            </w:r>
          </w:p>
        </w:tc>
        <w:tc>
          <w:tcPr>
            <w:tcW w:w="660" w:type="pct"/>
          </w:tcPr>
          <w:p w14:paraId="33EA63B5"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1</w:t>
            </w:r>
          </w:p>
        </w:tc>
      </w:tr>
      <w:tr w:rsidR="003B41CB" w:rsidRPr="00D01825" w14:paraId="7637C0A6" w14:textId="77777777" w:rsidTr="003D2260">
        <w:tc>
          <w:tcPr>
            <w:cnfStyle w:val="001000000000" w:firstRow="0" w:lastRow="0" w:firstColumn="1" w:lastColumn="0" w:oddVBand="0" w:evenVBand="0" w:oddHBand="0" w:evenHBand="0" w:firstRowFirstColumn="0" w:firstRowLastColumn="0" w:lastRowFirstColumn="0" w:lastRowLastColumn="0"/>
            <w:tcW w:w="2792" w:type="pct"/>
          </w:tcPr>
          <w:p w14:paraId="109301DB"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sz w:val="22"/>
              </w:rPr>
              <w:t>Nombre de nouveaux services de sécurité construits au profit de la Police nationale</w:t>
            </w:r>
          </w:p>
        </w:tc>
        <w:tc>
          <w:tcPr>
            <w:tcW w:w="750" w:type="pct"/>
          </w:tcPr>
          <w:p w14:paraId="72BAD751"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w:t>
            </w:r>
          </w:p>
        </w:tc>
        <w:tc>
          <w:tcPr>
            <w:tcW w:w="798" w:type="pct"/>
          </w:tcPr>
          <w:p w14:paraId="04E33770"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2</w:t>
            </w:r>
          </w:p>
        </w:tc>
        <w:tc>
          <w:tcPr>
            <w:tcW w:w="660" w:type="pct"/>
          </w:tcPr>
          <w:p w14:paraId="1BD284A7"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11</w:t>
            </w:r>
          </w:p>
        </w:tc>
      </w:tr>
      <w:tr w:rsidR="003B41CB" w:rsidRPr="00D01825" w14:paraId="52E8375A" w14:textId="77777777" w:rsidTr="003D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53E6932B"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sz w:val="22"/>
              </w:rPr>
              <w:t>Nombre de services de sécurité réhabilités au profit de la Gendarmerie nationale</w:t>
            </w:r>
          </w:p>
        </w:tc>
        <w:tc>
          <w:tcPr>
            <w:tcW w:w="750" w:type="pct"/>
          </w:tcPr>
          <w:p w14:paraId="4FA8C3FE"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1</w:t>
            </w:r>
          </w:p>
        </w:tc>
        <w:tc>
          <w:tcPr>
            <w:tcW w:w="798" w:type="pct"/>
          </w:tcPr>
          <w:p w14:paraId="1873CC48"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5</w:t>
            </w:r>
          </w:p>
        </w:tc>
        <w:tc>
          <w:tcPr>
            <w:tcW w:w="660" w:type="pct"/>
          </w:tcPr>
          <w:p w14:paraId="2D7093F0" w14:textId="77777777" w:rsidR="003B41CB" w:rsidRPr="00D01825"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D01825">
              <w:rPr>
                <w:rFonts w:eastAsia="Times New Roman" w:cs="Times New Roman"/>
                <w:sz w:val="22"/>
              </w:rPr>
              <w:t>12</w:t>
            </w:r>
          </w:p>
        </w:tc>
      </w:tr>
      <w:tr w:rsidR="003B41CB" w:rsidRPr="00D01825" w14:paraId="77A97D32" w14:textId="77777777" w:rsidTr="003D2260">
        <w:tc>
          <w:tcPr>
            <w:cnfStyle w:val="001000000000" w:firstRow="0" w:lastRow="0" w:firstColumn="1" w:lastColumn="0" w:oddVBand="0" w:evenVBand="0" w:oddHBand="0" w:evenHBand="0" w:firstRowFirstColumn="0" w:firstRowLastColumn="0" w:lastRowFirstColumn="0" w:lastRowLastColumn="0"/>
            <w:tcW w:w="2792" w:type="pct"/>
          </w:tcPr>
          <w:p w14:paraId="31A05761" w14:textId="77777777" w:rsidR="003B41CB" w:rsidRPr="00D01825" w:rsidRDefault="003B41CB" w:rsidP="00F175A7">
            <w:pPr>
              <w:spacing w:after="0" w:line="240" w:lineRule="auto"/>
              <w:rPr>
                <w:rFonts w:eastAsia="Times New Roman" w:cs="Times New Roman"/>
                <w:sz w:val="22"/>
              </w:rPr>
            </w:pPr>
            <w:r w:rsidRPr="00D01825">
              <w:rPr>
                <w:rFonts w:eastAsia="Times New Roman" w:cs="Times New Roman"/>
                <w:sz w:val="22"/>
              </w:rPr>
              <w:t>Nombre de services de sécurité réhabilités au profit de la Police nationale</w:t>
            </w:r>
          </w:p>
        </w:tc>
        <w:tc>
          <w:tcPr>
            <w:tcW w:w="750" w:type="pct"/>
          </w:tcPr>
          <w:p w14:paraId="6F44FC5A"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0</w:t>
            </w:r>
          </w:p>
        </w:tc>
        <w:tc>
          <w:tcPr>
            <w:tcW w:w="798" w:type="pct"/>
          </w:tcPr>
          <w:p w14:paraId="4491F9E9"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16</w:t>
            </w:r>
          </w:p>
        </w:tc>
        <w:tc>
          <w:tcPr>
            <w:tcW w:w="660" w:type="pct"/>
          </w:tcPr>
          <w:p w14:paraId="2F2D4B2B" w14:textId="77777777" w:rsidR="003B41CB" w:rsidRPr="00D01825"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01825">
              <w:rPr>
                <w:rFonts w:eastAsia="Times New Roman" w:cs="Times New Roman"/>
                <w:sz w:val="22"/>
              </w:rPr>
              <w:t>17</w:t>
            </w:r>
          </w:p>
        </w:tc>
      </w:tr>
    </w:tbl>
    <w:p w14:paraId="3C34D96E" w14:textId="622A33DF" w:rsidR="003B41CB" w:rsidRPr="007F779D"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 </w:t>
      </w:r>
      <w:r w:rsidR="00F175A7">
        <w:rPr>
          <w:rFonts w:eastAsia="Times New Roman" w:cs="Times New Roman"/>
          <w:sz w:val="20"/>
          <w:szCs w:val="20"/>
        </w:rPr>
        <w:t xml:space="preserve">annuel </w:t>
      </w:r>
      <w:r w:rsidRPr="008D20C6">
        <w:rPr>
          <w:rFonts w:eastAsia="Times New Roman" w:cs="Times New Roman"/>
          <w:sz w:val="20"/>
          <w:szCs w:val="20"/>
        </w:rPr>
        <w:t>de performance 2023 du CSD-DS, février 2024</w:t>
      </w:r>
    </w:p>
    <w:p w14:paraId="092B813B" w14:textId="7673AA80" w:rsidR="00CA5632" w:rsidRDefault="003B41CB" w:rsidP="00F175A7">
      <w:pPr>
        <w:numPr>
          <w:ilvl w:val="0"/>
          <w:numId w:val="8"/>
        </w:numPr>
        <w:shd w:val="clear" w:color="auto" w:fill="FFFFFF"/>
        <w:spacing w:before="120" w:after="120" w:line="240" w:lineRule="auto"/>
        <w:ind w:left="0"/>
      </w:pPr>
      <w:r w:rsidRPr="008D20C6">
        <w:t xml:space="preserve">S’agissant du volet </w:t>
      </w:r>
      <w:r w:rsidR="00CA5632" w:rsidRPr="00345EBE">
        <w:t>réorganisation du dispositif sécuritaire</w:t>
      </w:r>
      <w:r w:rsidRPr="008D20C6">
        <w:t xml:space="preserve">, la dynamique s’est poursuivie en 2023 en termes de création d'unités d’intervention </w:t>
      </w:r>
      <w:r w:rsidR="00561B9C">
        <w:t xml:space="preserve">et </w:t>
      </w:r>
      <w:r w:rsidRPr="008D20C6">
        <w:t xml:space="preserve">de mise à disposition et la formation du personnel des FDS comme l’illustre </w:t>
      </w:r>
      <w:r w:rsidRPr="008139E1">
        <w:rPr>
          <w:b/>
        </w:rPr>
        <w:t xml:space="preserve">le </w:t>
      </w:r>
      <w:r w:rsidR="00C91997">
        <w:rPr>
          <w:b/>
        </w:rPr>
        <w:t>T</w:t>
      </w:r>
      <w:r w:rsidRPr="008139E1">
        <w:rPr>
          <w:b/>
        </w:rPr>
        <w:t xml:space="preserve">ableau </w:t>
      </w:r>
      <w:r w:rsidR="00CA5632" w:rsidRPr="008139E1">
        <w:rPr>
          <w:b/>
        </w:rPr>
        <w:t>3</w:t>
      </w:r>
      <w:r w:rsidR="00CA5632">
        <w:t xml:space="preserve"> </w:t>
      </w:r>
      <w:r w:rsidRPr="008D20C6">
        <w:t xml:space="preserve">ci-dessous. Ainsi, les acquis majeurs ont trait à la création et l’opérationnalisation de 6 GUMI, </w:t>
      </w:r>
      <w:r w:rsidR="00167886">
        <w:t xml:space="preserve">46 UMI, </w:t>
      </w:r>
      <w:r w:rsidR="00CA5632">
        <w:t>2</w:t>
      </w:r>
      <w:r w:rsidRPr="008D20C6">
        <w:t xml:space="preserve"> USJ, 1 USI-EF et </w:t>
      </w:r>
      <w:r w:rsidR="00CA5632" w:rsidRPr="008139E1">
        <w:t>20</w:t>
      </w:r>
      <w:r w:rsidRPr="008D20C6">
        <w:t xml:space="preserve"> BIR. </w:t>
      </w:r>
    </w:p>
    <w:p w14:paraId="29FAC1B2" w14:textId="5440D272" w:rsidR="00CA5632" w:rsidRPr="00345EBE" w:rsidRDefault="00CA5632" w:rsidP="00CA5632">
      <w:pPr>
        <w:numPr>
          <w:ilvl w:val="0"/>
          <w:numId w:val="8"/>
        </w:numPr>
        <w:shd w:val="clear" w:color="auto" w:fill="FFFFFF"/>
        <w:spacing w:before="120" w:after="120" w:line="240" w:lineRule="auto"/>
        <w:ind w:left="0"/>
      </w:pPr>
      <w:r w:rsidRPr="00345EBE">
        <w:lastRenderedPageBreak/>
        <w:t>En outre,</w:t>
      </w:r>
      <w:r w:rsidR="0011208B">
        <w:t xml:space="preserve"> treize (13</w:t>
      </w:r>
      <w:r w:rsidRPr="00345EBE">
        <w:t>) forêts classées</w:t>
      </w:r>
      <w:r w:rsidR="0011208B">
        <w:t xml:space="preserve"> </w:t>
      </w:r>
      <w:r w:rsidRPr="00345EBE">
        <w:t xml:space="preserve">ont été apurées </w:t>
      </w:r>
      <w:r w:rsidR="0011208B">
        <w:t>sur quatre (04)</w:t>
      </w:r>
      <w:r w:rsidR="0011208B" w:rsidRPr="00345EBE">
        <w:t xml:space="preserve"> </w:t>
      </w:r>
      <w:r w:rsidR="0011208B">
        <w:t xml:space="preserve">prévues et </w:t>
      </w:r>
      <w:r w:rsidRPr="00345EBE">
        <w:t>trois (03) aires classées immatriculées (</w:t>
      </w:r>
      <w:proofErr w:type="spellStart"/>
      <w:r w:rsidRPr="00345EBE">
        <w:t>Bissiga</w:t>
      </w:r>
      <w:proofErr w:type="spellEnd"/>
      <w:r w:rsidRPr="00345EBE">
        <w:t xml:space="preserve">, </w:t>
      </w:r>
      <w:proofErr w:type="spellStart"/>
      <w:r w:rsidRPr="00345EBE">
        <w:t>Bounouna</w:t>
      </w:r>
      <w:proofErr w:type="spellEnd"/>
      <w:r w:rsidRPr="00345EBE">
        <w:t xml:space="preserve"> et </w:t>
      </w:r>
      <w:proofErr w:type="spellStart"/>
      <w:r w:rsidRPr="00345EBE">
        <w:t>Gonsé</w:t>
      </w:r>
      <w:proofErr w:type="spellEnd"/>
      <w:r w:rsidRPr="00345EBE">
        <w:t>)</w:t>
      </w:r>
      <w:r w:rsidR="0011208B">
        <w:t xml:space="preserve"> sur quatre (04) programmées pour une exécution financière de </w:t>
      </w:r>
      <w:r w:rsidR="0011208B" w:rsidRPr="003D2CE9">
        <w:rPr>
          <w:bCs/>
          <w:szCs w:val="24"/>
        </w:rPr>
        <w:t xml:space="preserve">184,41 </w:t>
      </w:r>
      <w:r w:rsidR="0011208B" w:rsidRPr="003C6E2F">
        <w:rPr>
          <w:bCs/>
          <w:szCs w:val="24"/>
        </w:rPr>
        <w:t xml:space="preserve">millions FCFA </w:t>
      </w:r>
      <w:r w:rsidR="0011208B">
        <w:rPr>
          <w:bCs/>
          <w:szCs w:val="24"/>
        </w:rPr>
        <w:t xml:space="preserve">contre une prévision de </w:t>
      </w:r>
      <w:r w:rsidR="0011208B" w:rsidRPr="003C6E2F">
        <w:rPr>
          <w:szCs w:val="24"/>
        </w:rPr>
        <w:t>37</w:t>
      </w:r>
      <w:r w:rsidR="0011208B">
        <w:rPr>
          <w:szCs w:val="24"/>
        </w:rPr>
        <w:t>0</w:t>
      </w:r>
      <w:r w:rsidR="0011208B" w:rsidRPr="003C6E2F">
        <w:rPr>
          <w:szCs w:val="24"/>
        </w:rPr>
        <w:t xml:space="preserve">,31 millions FCFA, correspondant à un taux d’exécution de </w:t>
      </w:r>
      <w:r w:rsidR="0011208B" w:rsidRPr="003D2CE9">
        <w:rPr>
          <w:szCs w:val="24"/>
        </w:rPr>
        <w:t>49,8</w:t>
      </w:r>
      <w:r w:rsidR="0011208B" w:rsidRPr="00492FB7">
        <w:rPr>
          <w:szCs w:val="24"/>
        </w:rPr>
        <w:t>%</w:t>
      </w:r>
      <w:r w:rsidR="0011208B">
        <w:rPr>
          <w:szCs w:val="24"/>
        </w:rPr>
        <w:t>.</w:t>
      </w:r>
    </w:p>
    <w:p w14:paraId="13E58862" w14:textId="2665DFD8" w:rsidR="00CA5632" w:rsidRPr="00345EBE" w:rsidRDefault="00CA5632" w:rsidP="00CA5632">
      <w:pPr>
        <w:shd w:val="clear" w:color="auto" w:fill="FFFFFF"/>
        <w:spacing w:before="240" w:after="240" w:line="240" w:lineRule="auto"/>
        <w:rPr>
          <w:sz w:val="22"/>
        </w:rPr>
      </w:pPr>
      <w:bookmarkStart w:id="24" w:name="_Toc164503590"/>
      <w:r w:rsidRPr="00345EBE">
        <w:rPr>
          <w:b/>
          <w:bCs/>
          <w:noProof/>
          <w:sz w:val="22"/>
          <w:u w:val="single"/>
        </w:rPr>
        <w:t xml:space="preserve">Tableau </w:t>
      </w:r>
      <w:r w:rsidRPr="00345EBE">
        <w:rPr>
          <w:b/>
          <w:bCs/>
          <w:noProof/>
          <w:sz w:val="22"/>
          <w:u w:val="single"/>
        </w:rPr>
        <w:fldChar w:fldCharType="begin"/>
      </w:r>
      <w:r w:rsidRPr="00345EBE">
        <w:rPr>
          <w:b/>
          <w:bCs/>
          <w:noProof/>
          <w:sz w:val="22"/>
          <w:u w:val="single"/>
        </w:rPr>
        <w:instrText xml:space="preserve"> SEQ Tableau \* ARABIC </w:instrText>
      </w:r>
      <w:r w:rsidRPr="00345EBE">
        <w:rPr>
          <w:b/>
          <w:bCs/>
          <w:noProof/>
          <w:sz w:val="22"/>
          <w:u w:val="single"/>
        </w:rPr>
        <w:fldChar w:fldCharType="separate"/>
      </w:r>
      <w:r w:rsidR="007C2E4E">
        <w:rPr>
          <w:b/>
          <w:bCs/>
          <w:noProof/>
          <w:sz w:val="22"/>
          <w:u w:val="single"/>
        </w:rPr>
        <w:t>3</w:t>
      </w:r>
      <w:r w:rsidRPr="00345EBE">
        <w:rPr>
          <w:b/>
          <w:bCs/>
          <w:noProof/>
          <w:sz w:val="22"/>
          <w:u w:val="single"/>
        </w:rPr>
        <w:fldChar w:fldCharType="end"/>
      </w:r>
      <w:r w:rsidRPr="008139E1">
        <w:rPr>
          <w:b/>
          <w:bCs/>
          <w:noProof/>
          <w:sz w:val="22"/>
          <w:u w:val="single"/>
        </w:rPr>
        <w:t>:</w:t>
      </w:r>
      <w:r w:rsidRPr="00345EBE">
        <w:rPr>
          <w:sz w:val="22"/>
        </w:rPr>
        <w:t xml:space="preserve"> situation des indicateurs de produits de l’action « renforcement des capacités opérationnelles des Forces de défense et de sécurité en vue de libérer les localités occupées par les terroristes », </w:t>
      </w:r>
      <w:r w:rsidRPr="00762ECA">
        <w:rPr>
          <w:sz w:val="22"/>
        </w:rPr>
        <w:t>réorganisation du dispositif sécuritaire</w:t>
      </w:r>
      <w:bookmarkEnd w:id="24"/>
    </w:p>
    <w:tbl>
      <w:tblPr>
        <w:tblStyle w:val="TableauGrille4-Accentuation119"/>
        <w:tblW w:w="5000" w:type="pct"/>
        <w:tblLook w:val="04A0" w:firstRow="1" w:lastRow="0" w:firstColumn="1" w:lastColumn="0" w:noHBand="0" w:noVBand="1"/>
      </w:tblPr>
      <w:tblGrid>
        <w:gridCol w:w="5219"/>
        <w:gridCol w:w="1260"/>
        <w:gridCol w:w="1260"/>
        <w:gridCol w:w="1277"/>
      </w:tblGrid>
      <w:tr w:rsidR="00CA5632" w:rsidRPr="00762ECA" w14:paraId="6F1A734C" w14:textId="77777777" w:rsidTr="00631F9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94" w:type="pct"/>
          </w:tcPr>
          <w:p w14:paraId="67ADCC59" w14:textId="77777777" w:rsidR="00CA5632" w:rsidRPr="009A288B" w:rsidRDefault="00CA5632" w:rsidP="00631F96">
            <w:pPr>
              <w:spacing w:after="0" w:line="240" w:lineRule="auto"/>
              <w:rPr>
                <w:color w:val="FFFFFF" w:themeColor="background1"/>
              </w:rPr>
            </w:pPr>
            <w:r w:rsidRPr="009A288B">
              <w:rPr>
                <w:rFonts w:eastAsia="Times New Roman" w:cs="Times New Roman"/>
                <w:color w:val="FFFFFF" w:themeColor="background1"/>
              </w:rPr>
              <w:t>Indicateurs</w:t>
            </w:r>
          </w:p>
        </w:tc>
        <w:tc>
          <w:tcPr>
            <w:tcW w:w="699" w:type="pct"/>
          </w:tcPr>
          <w:p w14:paraId="11856DBE" w14:textId="77777777" w:rsidR="00CA5632" w:rsidRPr="009A288B" w:rsidRDefault="00CA5632" w:rsidP="00631F96">
            <w:pPr>
              <w:spacing w:after="0" w:line="240" w:lineRule="auto"/>
              <w:ind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9A288B">
              <w:rPr>
                <w:rFonts w:eastAsia="Times New Roman" w:cs="Times New Roman"/>
                <w:color w:val="FFFFFF" w:themeColor="background1"/>
              </w:rPr>
              <w:t>Réal. 2022</w:t>
            </w:r>
          </w:p>
        </w:tc>
        <w:tc>
          <w:tcPr>
            <w:tcW w:w="699" w:type="pct"/>
          </w:tcPr>
          <w:p w14:paraId="46CFCBB8" w14:textId="77777777" w:rsidR="00CA5632" w:rsidRPr="009A288B" w:rsidRDefault="00CA5632" w:rsidP="00631F96">
            <w:pPr>
              <w:spacing w:after="0" w:line="240" w:lineRule="auto"/>
              <w:ind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9A288B">
              <w:rPr>
                <w:rFonts w:eastAsia="Times New Roman" w:cs="Times New Roman"/>
                <w:color w:val="FFFFFF" w:themeColor="background1"/>
              </w:rPr>
              <w:t>Réal. 2023</w:t>
            </w:r>
          </w:p>
        </w:tc>
        <w:tc>
          <w:tcPr>
            <w:tcW w:w="709" w:type="pct"/>
          </w:tcPr>
          <w:p w14:paraId="2CC72670" w14:textId="77777777" w:rsidR="00CA5632" w:rsidRPr="009A288B" w:rsidRDefault="00CA5632" w:rsidP="00631F96">
            <w:pPr>
              <w:spacing w:after="0" w:line="240" w:lineRule="auto"/>
              <w:ind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9A288B">
              <w:rPr>
                <w:rFonts w:eastAsia="Times New Roman" w:cs="Times New Roman"/>
                <w:color w:val="FFFFFF" w:themeColor="background1"/>
              </w:rPr>
              <w:t>Cible 2023</w:t>
            </w:r>
          </w:p>
        </w:tc>
      </w:tr>
      <w:tr w:rsidR="00CA5632" w:rsidRPr="00762ECA" w14:paraId="604F41B9" w14:textId="77777777" w:rsidTr="00631F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64C617EE" w14:textId="77777777" w:rsidR="00CA5632" w:rsidRPr="00762ECA" w:rsidRDefault="00CA5632" w:rsidP="00631F96">
            <w:pPr>
              <w:spacing w:after="0" w:line="240" w:lineRule="auto"/>
              <w:ind w:firstLine="0"/>
            </w:pPr>
            <w:r w:rsidRPr="00345EBE">
              <w:rPr>
                <w:rFonts w:eastAsia="Times New Roman" w:cs="Times New Roman"/>
              </w:rPr>
              <w:t>Nombre de GUMI créés</w:t>
            </w:r>
          </w:p>
        </w:tc>
        <w:tc>
          <w:tcPr>
            <w:tcW w:w="699" w:type="pct"/>
          </w:tcPr>
          <w:p w14:paraId="1E90DFE7"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7</w:t>
            </w:r>
          </w:p>
        </w:tc>
        <w:tc>
          <w:tcPr>
            <w:tcW w:w="699" w:type="pct"/>
          </w:tcPr>
          <w:p w14:paraId="36EA5D9C"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6</w:t>
            </w:r>
          </w:p>
        </w:tc>
        <w:tc>
          <w:tcPr>
            <w:tcW w:w="709" w:type="pct"/>
          </w:tcPr>
          <w:p w14:paraId="58160874"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5</w:t>
            </w:r>
          </w:p>
        </w:tc>
      </w:tr>
      <w:tr w:rsidR="00CA5632" w:rsidRPr="00762ECA" w14:paraId="1B3C5A3C" w14:textId="77777777" w:rsidTr="00631F96">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5B995283" w14:textId="77777777" w:rsidR="00CA5632" w:rsidRPr="00762ECA" w:rsidRDefault="00CA5632" w:rsidP="00631F96">
            <w:pPr>
              <w:spacing w:after="0" w:line="240" w:lineRule="auto"/>
              <w:ind w:firstLine="0"/>
            </w:pPr>
            <w:r w:rsidRPr="00345EBE">
              <w:rPr>
                <w:rFonts w:eastAsia="Times New Roman" w:cs="Times New Roman"/>
              </w:rPr>
              <w:t>Nombre d'unités mobiles d'intervention (UMI) mises en place</w:t>
            </w:r>
          </w:p>
        </w:tc>
        <w:tc>
          <w:tcPr>
            <w:tcW w:w="699" w:type="pct"/>
          </w:tcPr>
          <w:p w14:paraId="23FF528B"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0</w:t>
            </w:r>
          </w:p>
        </w:tc>
        <w:tc>
          <w:tcPr>
            <w:tcW w:w="699" w:type="pct"/>
          </w:tcPr>
          <w:p w14:paraId="150E6801"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46</w:t>
            </w:r>
          </w:p>
        </w:tc>
        <w:tc>
          <w:tcPr>
            <w:tcW w:w="709" w:type="pct"/>
          </w:tcPr>
          <w:p w14:paraId="64B8A91B"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31</w:t>
            </w:r>
          </w:p>
        </w:tc>
      </w:tr>
      <w:tr w:rsidR="00CA5632" w:rsidRPr="00762ECA" w14:paraId="7F2FBF1C" w14:textId="77777777" w:rsidTr="00631F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755E7913" w14:textId="00141893" w:rsidR="00CA5632" w:rsidRPr="00762ECA" w:rsidRDefault="00CA5632" w:rsidP="00631F96">
            <w:pPr>
              <w:spacing w:after="0" w:line="240" w:lineRule="auto"/>
              <w:ind w:firstLine="0"/>
            </w:pPr>
            <w:r w:rsidRPr="00345EBE">
              <w:rPr>
                <w:rFonts w:eastAsia="Times New Roman" w:cs="Times New Roman"/>
              </w:rPr>
              <w:t>Nombre de bataillon</w:t>
            </w:r>
            <w:r w:rsidR="00C91997">
              <w:rPr>
                <w:rFonts w:eastAsia="Times New Roman" w:cs="Times New Roman"/>
              </w:rPr>
              <w:t>s</w:t>
            </w:r>
            <w:r w:rsidRPr="00345EBE">
              <w:rPr>
                <w:rFonts w:eastAsia="Times New Roman" w:cs="Times New Roman"/>
              </w:rPr>
              <w:t xml:space="preserve"> d’intervention rapide</w:t>
            </w:r>
          </w:p>
        </w:tc>
        <w:tc>
          <w:tcPr>
            <w:tcW w:w="699" w:type="pct"/>
          </w:tcPr>
          <w:p w14:paraId="4457C078"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345EBE">
              <w:rPr>
                <w:rFonts w:eastAsia="Times New Roman" w:cs="Times New Roman"/>
              </w:rPr>
              <w:t xml:space="preserve"> </w:t>
            </w:r>
          </w:p>
        </w:tc>
        <w:tc>
          <w:tcPr>
            <w:tcW w:w="699" w:type="pct"/>
          </w:tcPr>
          <w:p w14:paraId="757F8B17"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345EBE">
              <w:rPr>
                <w:rFonts w:eastAsia="Times New Roman" w:cs="Times New Roman"/>
              </w:rPr>
              <w:t xml:space="preserve"> </w:t>
            </w:r>
            <w:r w:rsidRPr="00762ECA">
              <w:rPr>
                <w:rFonts w:eastAsia="Times New Roman" w:cs="Times New Roman"/>
              </w:rPr>
              <w:t>20</w:t>
            </w:r>
          </w:p>
        </w:tc>
        <w:tc>
          <w:tcPr>
            <w:tcW w:w="709" w:type="pct"/>
          </w:tcPr>
          <w:p w14:paraId="3907E6D8"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345EBE">
              <w:rPr>
                <w:rFonts w:eastAsia="Times New Roman" w:cs="Times New Roman"/>
              </w:rPr>
              <w:t xml:space="preserve"> </w:t>
            </w:r>
          </w:p>
        </w:tc>
      </w:tr>
      <w:tr w:rsidR="00CA5632" w:rsidRPr="00762ECA" w14:paraId="6B2A1987" w14:textId="77777777" w:rsidTr="00631F96">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65C3A2C9" w14:textId="77777777" w:rsidR="00CA5632" w:rsidRPr="00762ECA" w:rsidRDefault="00CA5632" w:rsidP="00631F96">
            <w:pPr>
              <w:spacing w:after="0" w:line="240" w:lineRule="auto"/>
              <w:ind w:firstLine="0"/>
            </w:pPr>
            <w:r w:rsidRPr="00345EBE">
              <w:rPr>
                <w:rFonts w:eastAsia="Times New Roman" w:cs="Times New Roman"/>
              </w:rPr>
              <w:t>Nombre d'USJ créées et opérationnalisées</w:t>
            </w:r>
          </w:p>
        </w:tc>
        <w:tc>
          <w:tcPr>
            <w:tcW w:w="699" w:type="pct"/>
          </w:tcPr>
          <w:p w14:paraId="1D48DE8D"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7</w:t>
            </w:r>
          </w:p>
        </w:tc>
        <w:tc>
          <w:tcPr>
            <w:tcW w:w="699" w:type="pct"/>
          </w:tcPr>
          <w:p w14:paraId="0F8E7F6C"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709" w:type="pct"/>
          </w:tcPr>
          <w:p w14:paraId="68BB0E8D"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t>1</w:t>
            </w:r>
          </w:p>
        </w:tc>
      </w:tr>
      <w:tr w:rsidR="00CA5632" w:rsidRPr="00762ECA" w14:paraId="19255973" w14:textId="77777777" w:rsidTr="00631F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492235DF" w14:textId="4948A6C4" w:rsidR="00CA5632" w:rsidRPr="00345EBE" w:rsidRDefault="00CA5632" w:rsidP="00631F96">
            <w:pPr>
              <w:spacing w:after="0" w:line="240" w:lineRule="auto"/>
              <w:ind w:firstLine="0"/>
            </w:pPr>
            <w:r w:rsidRPr="00345EBE">
              <w:rPr>
                <w:rFonts w:eastAsia="Times New Roman" w:cs="Times New Roman"/>
              </w:rPr>
              <w:t xml:space="preserve">Existence d'une unité spéciale opérationnelle des </w:t>
            </w:r>
            <w:r w:rsidR="00C91997">
              <w:rPr>
                <w:rFonts w:eastAsia="Times New Roman" w:cs="Times New Roman"/>
              </w:rPr>
              <w:t>e</w:t>
            </w:r>
            <w:r w:rsidRPr="00345EBE">
              <w:rPr>
                <w:rFonts w:eastAsia="Times New Roman" w:cs="Times New Roman"/>
              </w:rPr>
              <w:t xml:space="preserve">aux et </w:t>
            </w:r>
            <w:r w:rsidR="00C91997">
              <w:rPr>
                <w:rFonts w:eastAsia="Times New Roman" w:cs="Times New Roman"/>
              </w:rPr>
              <w:t>f</w:t>
            </w:r>
            <w:r w:rsidRPr="00345EBE">
              <w:rPr>
                <w:rFonts w:eastAsia="Times New Roman" w:cs="Times New Roman"/>
              </w:rPr>
              <w:t>orêts</w:t>
            </w:r>
          </w:p>
        </w:tc>
        <w:tc>
          <w:tcPr>
            <w:tcW w:w="699" w:type="pct"/>
          </w:tcPr>
          <w:p w14:paraId="40798028"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0</w:t>
            </w:r>
          </w:p>
        </w:tc>
        <w:tc>
          <w:tcPr>
            <w:tcW w:w="699" w:type="pct"/>
          </w:tcPr>
          <w:p w14:paraId="103657B3"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1</w:t>
            </w:r>
          </w:p>
        </w:tc>
        <w:tc>
          <w:tcPr>
            <w:tcW w:w="709" w:type="pct"/>
          </w:tcPr>
          <w:p w14:paraId="0FCF275A"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1</w:t>
            </w:r>
          </w:p>
        </w:tc>
      </w:tr>
      <w:tr w:rsidR="00CA5632" w:rsidRPr="00762ECA" w14:paraId="369DA9E4" w14:textId="77777777" w:rsidTr="00631F96">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48E55BA1" w14:textId="42BBB674" w:rsidR="00CA5632" w:rsidRPr="00762ECA" w:rsidRDefault="00CA5632" w:rsidP="00631F96">
            <w:pPr>
              <w:spacing w:after="0" w:line="240" w:lineRule="auto"/>
              <w:ind w:firstLine="0"/>
            </w:pPr>
            <w:r w:rsidRPr="00345EBE">
              <w:rPr>
                <w:rFonts w:eastAsia="Times New Roman" w:cs="Times New Roman"/>
              </w:rPr>
              <w:t>Nombre de cantonnement</w:t>
            </w:r>
            <w:r w:rsidR="00C91997">
              <w:rPr>
                <w:rFonts w:eastAsia="Times New Roman" w:cs="Times New Roman"/>
              </w:rPr>
              <w:t>s</w:t>
            </w:r>
            <w:r w:rsidRPr="00345EBE">
              <w:rPr>
                <w:rFonts w:eastAsia="Times New Roman" w:cs="Times New Roman"/>
              </w:rPr>
              <w:t xml:space="preserve"> des </w:t>
            </w:r>
            <w:r w:rsidR="00C91997">
              <w:rPr>
                <w:rFonts w:eastAsia="Times New Roman" w:cs="Times New Roman"/>
              </w:rPr>
              <w:t>e</w:t>
            </w:r>
            <w:r w:rsidRPr="00345EBE">
              <w:rPr>
                <w:rFonts w:eastAsia="Times New Roman" w:cs="Times New Roman"/>
              </w:rPr>
              <w:t xml:space="preserve">aux et </w:t>
            </w:r>
            <w:r w:rsidR="00C91997">
              <w:rPr>
                <w:rFonts w:eastAsia="Times New Roman" w:cs="Times New Roman"/>
              </w:rPr>
              <w:t>f</w:t>
            </w:r>
            <w:r w:rsidRPr="00345EBE">
              <w:rPr>
                <w:rFonts w:eastAsia="Times New Roman" w:cs="Times New Roman"/>
              </w:rPr>
              <w:t>orêts réalisés</w:t>
            </w:r>
          </w:p>
        </w:tc>
        <w:tc>
          <w:tcPr>
            <w:tcW w:w="699" w:type="pct"/>
          </w:tcPr>
          <w:p w14:paraId="21F91AF0"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0</w:t>
            </w:r>
          </w:p>
        </w:tc>
        <w:tc>
          <w:tcPr>
            <w:tcW w:w="699" w:type="pct"/>
          </w:tcPr>
          <w:p w14:paraId="6C8B2ECB"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3</w:t>
            </w:r>
          </w:p>
        </w:tc>
        <w:tc>
          <w:tcPr>
            <w:tcW w:w="709" w:type="pct"/>
          </w:tcPr>
          <w:p w14:paraId="328F1822" w14:textId="77777777" w:rsidR="00CA5632" w:rsidRPr="00762ECA" w:rsidRDefault="00CA5632" w:rsidP="00631F96">
            <w:pPr>
              <w:spacing w:after="0" w:line="240" w:lineRule="auto"/>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4</w:t>
            </w:r>
          </w:p>
        </w:tc>
      </w:tr>
      <w:tr w:rsidR="00CA5632" w:rsidRPr="00762ECA" w14:paraId="330374BE" w14:textId="77777777" w:rsidTr="00631F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598B6BFD" w14:textId="77777777" w:rsidR="00CA5632" w:rsidRPr="00762ECA" w:rsidRDefault="00CA5632" w:rsidP="00631F96">
            <w:pPr>
              <w:spacing w:after="0" w:line="240" w:lineRule="auto"/>
              <w:ind w:firstLine="0"/>
            </w:pPr>
            <w:r w:rsidRPr="00345EBE">
              <w:rPr>
                <w:rFonts w:eastAsia="Times New Roman" w:cs="Times New Roman"/>
              </w:rPr>
              <w:t>Nombre d'aires classées immatriculées</w:t>
            </w:r>
          </w:p>
        </w:tc>
        <w:tc>
          <w:tcPr>
            <w:tcW w:w="699" w:type="pct"/>
          </w:tcPr>
          <w:p w14:paraId="54BAB2C8"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3</w:t>
            </w:r>
          </w:p>
        </w:tc>
        <w:tc>
          <w:tcPr>
            <w:tcW w:w="699" w:type="pct"/>
          </w:tcPr>
          <w:p w14:paraId="196995C0" w14:textId="35504F18" w:rsidR="00CA5632" w:rsidRPr="00762ECA" w:rsidRDefault="00E54A67" w:rsidP="00631F96">
            <w:pPr>
              <w:spacing w:after="0" w:line="240" w:lineRule="auto"/>
              <w:cnfStyle w:val="000000100000" w:firstRow="0" w:lastRow="0" w:firstColumn="0" w:lastColumn="0" w:oddVBand="0" w:evenVBand="0" w:oddHBand="1" w:evenHBand="0" w:firstRowFirstColumn="0" w:firstRowLastColumn="0" w:lastRowFirstColumn="0" w:lastRowLastColumn="0"/>
            </w:pPr>
            <w:r>
              <w:rPr>
                <w:rFonts w:eastAsia="Times New Roman" w:cs="Times New Roman"/>
              </w:rPr>
              <w:t>3</w:t>
            </w:r>
          </w:p>
        </w:tc>
        <w:tc>
          <w:tcPr>
            <w:tcW w:w="709" w:type="pct"/>
          </w:tcPr>
          <w:p w14:paraId="02A29A3B" w14:textId="77777777" w:rsidR="00CA5632" w:rsidRPr="00762ECA" w:rsidRDefault="00CA5632" w:rsidP="00631F96">
            <w:pPr>
              <w:spacing w:after="0" w:line="240" w:lineRule="auto"/>
              <w:cnfStyle w:val="000000100000" w:firstRow="0" w:lastRow="0" w:firstColumn="0" w:lastColumn="0" w:oddVBand="0" w:evenVBand="0" w:oddHBand="1" w:evenHBand="0" w:firstRowFirstColumn="0" w:firstRowLastColumn="0" w:lastRowFirstColumn="0" w:lastRowLastColumn="0"/>
            </w:pPr>
            <w:r w:rsidRPr="00762ECA">
              <w:rPr>
                <w:rFonts w:eastAsia="Times New Roman" w:cs="Times New Roman"/>
              </w:rPr>
              <w:t>4</w:t>
            </w:r>
          </w:p>
        </w:tc>
      </w:tr>
      <w:tr w:rsidR="00CA5632" w:rsidRPr="00762ECA" w14:paraId="57A96628" w14:textId="77777777" w:rsidTr="00631F96">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26A2766B" w14:textId="77777777" w:rsidR="00CA5632" w:rsidRPr="00762ECA" w:rsidRDefault="00CA5632" w:rsidP="00631F96">
            <w:pPr>
              <w:spacing w:after="0" w:line="240" w:lineRule="auto"/>
              <w:ind w:firstLine="0"/>
              <w:contextualSpacing/>
            </w:pPr>
            <w:r w:rsidRPr="00345EBE">
              <w:rPr>
                <w:rFonts w:eastAsia="Times New Roman" w:cs="Times New Roman"/>
              </w:rPr>
              <w:t>Nombre d’aires classées apurées</w:t>
            </w:r>
          </w:p>
        </w:tc>
        <w:tc>
          <w:tcPr>
            <w:tcW w:w="699" w:type="pct"/>
          </w:tcPr>
          <w:p w14:paraId="41A5A5BC" w14:textId="77777777" w:rsidR="00CA5632" w:rsidRPr="00762ECA" w:rsidRDefault="00CA5632" w:rsidP="00631F96">
            <w:pPr>
              <w:spacing w:after="0" w:line="240" w:lineRule="auto"/>
              <w:contextualSpacing/>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4</w:t>
            </w:r>
          </w:p>
        </w:tc>
        <w:tc>
          <w:tcPr>
            <w:tcW w:w="699" w:type="pct"/>
          </w:tcPr>
          <w:p w14:paraId="0AD4065A" w14:textId="4DDC90E6" w:rsidR="00CA5632" w:rsidRPr="00762ECA" w:rsidRDefault="00E54A67" w:rsidP="00631F96">
            <w:pPr>
              <w:spacing w:after="0" w:line="240" w:lineRule="auto"/>
              <w:contextualSpacing/>
              <w:cnfStyle w:val="000000000000" w:firstRow="0" w:lastRow="0" w:firstColumn="0" w:lastColumn="0" w:oddVBand="0" w:evenVBand="0" w:oddHBand="0" w:evenHBand="0" w:firstRowFirstColumn="0" w:firstRowLastColumn="0" w:lastRowFirstColumn="0" w:lastRowLastColumn="0"/>
            </w:pPr>
            <w:r>
              <w:rPr>
                <w:rFonts w:eastAsia="Times New Roman" w:cs="Times New Roman"/>
              </w:rPr>
              <w:t>4</w:t>
            </w:r>
          </w:p>
        </w:tc>
        <w:tc>
          <w:tcPr>
            <w:tcW w:w="709" w:type="pct"/>
          </w:tcPr>
          <w:p w14:paraId="03045123" w14:textId="77777777" w:rsidR="00CA5632" w:rsidRPr="00762ECA" w:rsidRDefault="00CA5632" w:rsidP="00631F96">
            <w:pPr>
              <w:spacing w:after="0" w:line="240" w:lineRule="auto"/>
              <w:contextualSpacing/>
              <w:cnfStyle w:val="000000000000" w:firstRow="0" w:lastRow="0" w:firstColumn="0" w:lastColumn="0" w:oddVBand="0" w:evenVBand="0" w:oddHBand="0" w:evenHBand="0" w:firstRowFirstColumn="0" w:firstRowLastColumn="0" w:lastRowFirstColumn="0" w:lastRowLastColumn="0"/>
            </w:pPr>
            <w:r w:rsidRPr="00762ECA">
              <w:rPr>
                <w:rFonts w:eastAsia="Times New Roman" w:cs="Times New Roman"/>
              </w:rPr>
              <w:t>4</w:t>
            </w:r>
          </w:p>
        </w:tc>
      </w:tr>
    </w:tbl>
    <w:p w14:paraId="18C10073" w14:textId="36536A3E" w:rsidR="00CA5632" w:rsidRPr="00345EBE" w:rsidRDefault="00CA5632" w:rsidP="00CA5632">
      <w:pPr>
        <w:shd w:val="clear" w:color="auto" w:fill="FFFFFF"/>
        <w:spacing w:before="240" w:after="240" w:line="240" w:lineRule="auto"/>
        <w:contextualSpacing/>
        <w:rPr>
          <w:rFonts w:eastAsia="Times New Roman" w:cs="Times New Roman"/>
          <w:sz w:val="20"/>
          <w:szCs w:val="20"/>
        </w:rPr>
      </w:pPr>
      <w:r w:rsidRPr="00345EBE">
        <w:rPr>
          <w:rFonts w:eastAsia="Times New Roman" w:cs="Times New Roman"/>
          <w:b/>
          <w:sz w:val="20"/>
          <w:szCs w:val="20"/>
          <w:u w:val="single"/>
        </w:rPr>
        <w:t>Source</w:t>
      </w:r>
      <w:r w:rsidRPr="00345EBE">
        <w:rPr>
          <w:rFonts w:eastAsia="Times New Roman" w:cs="Times New Roman"/>
          <w:sz w:val="20"/>
          <w:szCs w:val="20"/>
        </w:rPr>
        <w:t xml:space="preserve"> : </w:t>
      </w:r>
      <w:r w:rsidR="00C91997">
        <w:rPr>
          <w:rFonts w:eastAsia="Times New Roman" w:cs="Times New Roman"/>
          <w:sz w:val="20"/>
          <w:szCs w:val="20"/>
        </w:rPr>
        <w:t>r</w:t>
      </w:r>
      <w:r w:rsidRPr="00345EBE">
        <w:rPr>
          <w:rFonts w:eastAsia="Times New Roman" w:cs="Times New Roman"/>
          <w:sz w:val="20"/>
          <w:szCs w:val="20"/>
        </w:rPr>
        <w:t>apport annuel de performance 2023 du CSD-DS, février 2024</w:t>
      </w:r>
    </w:p>
    <w:p w14:paraId="002A8BE4" w14:textId="442713F3" w:rsidR="00AE1A65" w:rsidRDefault="003B41CB" w:rsidP="00F175A7">
      <w:pPr>
        <w:numPr>
          <w:ilvl w:val="0"/>
          <w:numId w:val="8"/>
        </w:numPr>
        <w:shd w:val="clear" w:color="auto" w:fill="FFFFFF"/>
        <w:spacing w:before="120" w:after="120" w:line="240" w:lineRule="auto"/>
        <w:ind w:left="0"/>
      </w:pPr>
      <w:r w:rsidRPr="008D20C6">
        <w:t xml:space="preserve">Quant aux effectifs des FDS et VDP, le besoin de couverture a été quasiment atteint hormis celui en personnel de </w:t>
      </w:r>
      <w:r w:rsidR="00E54A67">
        <w:t xml:space="preserve">la </w:t>
      </w:r>
      <w:r w:rsidR="00C91997">
        <w:t>G</w:t>
      </w:r>
      <w:r w:rsidRPr="008D20C6">
        <w:t xml:space="preserve">endarmerie </w:t>
      </w:r>
      <w:r w:rsidR="00E54A67">
        <w:t>nationale</w:t>
      </w:r>
      <w:r w:rsidR="00E54A67" w:rsidRPr="008D20C6">
        <w:t>.</w:t>
      </w:r>
      <w:r w:rsidR="00E54A67">
        <w:t xml:space="preserve"> En effet, </w:t>
      </w:r>
      <w:r w:rsidRPr="008D20C6">
        <w:t xml:space="preserve">pour le recrutement spécial de 3000 </w:t>
      </w:r>
      <w:r w:rsidR="00C91997">
        <w:t>g</w:t>
      </w:r>
      <w:r w:rsidRPr="008D20C6">
        <w:t>endarmes auxiliaires, 1</w:t>
      </w:r>
      <w:r w:rsidR="00C91997" w:rsidRPr="00B21CEC">
        <w:rPr>
          <w:rFonts w:eastAsia="Calibri"/>
          <w:szCs w:val="24"/>
        </w:rPr>
        <w:t> </w:t>
      </w:r>
      <w:r w:rsidRPr="008D20C6">
        <w:t>500 sont en cours de formation et les 1</w:t>
      </w:r>
      <w:r w:rsidR="00C91997" w:rsidRPr="00B21CEC">
        <w:rPr>
          <w:rFonts w:eastAsia="Calibri"/>
          <w:szCs w:val="24"/>
        </w:rPr>
        <w:t> </w:t>
      </w:r>
      <w:r w:rsidRPr="008D20C6">
        <w:t>500 autres sont déjà mis à la disposition de l’</w:t>
      </w:r>
      <w:r w:rsidR="00E54A67">
        <w:t>I</w:t>
      </w:r>
      <w:r w:rsidRPr="008D20C6">
        <w:t>nstitution. Spécifiquement pour la mobilisation des 63</w:t>
      </w:r>
      <w:r w:rsidR="00C91997" w:rsidRPr="00B21CEC">
        <w:rPr>
          <w:rFonts w:eastAsia="Calibri"/>
          <w:szCs w:val="24"/>
        </w:rPr>
        <w:t> </w:t>
      </w:r>
      <w:r w:rsidRPr="008D20C6">
        <w:t>699 VDP pour une cible de 56</w:t>
      </w:r>
      <w:r w:rsidR="00C91997" w:rsidRPr="00B21CEC">
        <w:rPr>
          <w:rFonts w:eastAsia="Calibri"/>
          <w:szCs w:val="24"/>
        </w:rPr>
        <w:t> </w:t>
      </w:r>
      <w:r w:rsidRPr="008D20C6">
        <w:t xml:space="preserve">725, </w:t>
      </w:r>
      <w:r w:rsidR="00E54A67">
        <w:t xml:space="preserve">le surplus s’explique par </w:t>
      </w:r>
      <w:r w:rsidR="00E54A67" w:rsidRPr="008D20C6">
        <w:t xml:space="preserve">les besoins nouveaux du terrain et </w:t>
      </w:r>
      <w:r w:rsidR="00E54A67">
        <w:t>l’adhésion</w:t>
      </w:r>
      <w:r w:rsidR="00E54A67" w:rsidRPr="008D20C6">
        <w:t xml:space="preserve"> des populations</w:t>
      </w:r>
      <w:r w:rsidR="00E54A67">
        <w:t xml:space="preserve"> à cette initiative</w:t>
      </w:r>
      <w:r w:rsidRPr="008D20C6">
        <w:t>.</w:t>
      </w:r>
    </w:p>
    <w:p w14:paraId="1E4BE706" w14:textId="6DBE2280" w:rsidR="00AE1A65" w:rsidRDefault="00AE1A65">
      <w:pPr>
        <w:spacing w:after="0" w:line="240" w:lineRule="auto"/>
        <w:jc w:val="left"/>
      </w:pPr>
      <w:r>
        <w:br w:type="page"/>
      </w:r>
    </w:p>
    <w:p w14:paraId="7B45549C" w14:textId="7693B029" w:rsidR="003B41CB" w:rsidRPr="0042784A" w:rsidRDefault="00B201D2" w:rsidP="008139E1">
      <w:pPr>
        <w:pStyle w:val="Lgende"/>
        <w:rPr>
          <w:color w:val="auto"/>
          <w:sz w:val="22"/>
        </w:rPr>
      </w:pPr>
      <w:bookmarkStart w:id="25" w:name="_Toc164503591"/>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4</w:t>
      </w:r>
      <w:r w:rsidRPr="0042784A">
        <w:rPr>
          <w:b/>
          <w:i w:val="0"/>
          <w:color w:val="auto"/>
          <w:sz w:val="22"/>
          <w:szCs w:val="22"/>
          <w:u w:val="single"/>
        </w:rPr>
        <w:fldChar w:fldCharType="end"/>
      </w:r>
      <w:r w:rsidRPr="0042784A">
        <w:rPr>
          <w:color w:val="auto"/>
          <w:sz w:val="22"/>
          <w:szCs w:val="22"/>
        </w:rPr>
        <w:t>:</w:t>
      </w:r>
      <w:r w:rsidRPr="0042784A">
        <w:rPr>
          <w:color w:val="auto"/>
        </w:rPr>
        <w:t xml:space="preserve"> </w:t>
      </w:r>
      <w:r w:rsidRPr="0042784A">
        <w:rPr>
          <w:i w:val="0"/>
          <w:color w:val="auto"/>
          <w:sz w:val="22"/>
          <w:szCs w:val="22"/>
        </w:rPr>
        <w:t>situation des indicateurs de produits de l’action « renforcement des capacités opérationnelles des Forces de défense et de sécurité en vue de libérer les localités occupées par les terroristes », volet recrutement de personnel</w:t>
      </w:r>
      <w:bookmarkEnd w:id="25"/>
    </w:p>
    <w:tbl>
      <w:tblPr>
        <w:tblStyle w:val="TableauGrille4-Accentuation119"/>
        <w:tblW w:w="5000" w:type="pct"/>
        <w:tblLook w:val="04A0" w:firstRow="1" w:lastRow="0" w:firstColumn="1" w:lastColumn="0" w:noHBand="0" w:noVBand="1"/>
      </w:tblPr>
      <w:tblGrid>
        <w:gridCol w:w="5219"/>
        <w:gridCol w:w="1260"/>
        <w:gridCol w:w="1260"/>
        <w:gridCol w:w="1277"/>
      </w:tblGrid>
      <w:tr w:rsidR="003B41CB" w:rsidRPr="000E15F9" w14:paraId="51027F7F" w14:textId="77777777" w:rsidTr="008139E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94" w:type="pct"/>
          </w:tcPr>
          <w:p w14:paraId="2DCBDA03" w14:textId="77777777" w:rsidR="003B41CB" w:rsidRPr="000E15F9" w:rsidRDefault="003B41CB" w:rsidP="00F175A7">
            <w:pPr>
              <w:spacing w:after="0" w:line="240" w:lineRule="auto"/>
            </w:pPr>
            <w:r w:rsidRPr="000E15F9">
              <w:rPr>
                <w:rFonts w:eastAsia="Times New Roman" w:cs="Times New Roman"/>
                <w:color w:val="F2F2F2"/>
              </w:rPr>
              <w:t>Indicateurs</w:t>
            </w:r>
          </w:p>
        </w:tc>
        <w:tc>
          <w:tcPr>
            <w:tcW w:w="699" w:type="pct"/>
          </w:tcPr>
          <w:p w14:paraId="00777831" w14:textId="77777777" w:rsidR="003B41CB" w:rsidRPr="000E15F9"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0E15F9">
              <w:rPr>
                <w:rFonts w:eastAsia="Times New Roman" w:cs="Times New Roman"/>
                <w:color w:val="F2F2F2"/>
              </w:rPr>
              <w:t>Réal. 2022</w:t>
            </w:r>
          </w:p>
        </w:tc>
        <w:tc>
          <w:tcPr>
            <w:tcW w:w="699" w:type="pct"/>
          </w:tcPr>
          <w:p w14:paraId="024A8DC7" w14:textId="77777777" w:rsidR="003B41CB" w:rsidRPr="000E15F9"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0E15F9">
              <w:rPr>
                <w:rFonts w:eastAsia="Times New Roman" w:cs="Times New Roman"/>
                <w:color w:val="F2F2F2"/>
              </w:rPr>
              <w:t>Réal. 2023</w:t>
            </w:r>
          </w:p>
        </w:tc>
        <w:tc>
          <w:tcPr>
            <w:tcW w:w="709" w:type="pct"/>
          </w:tcPr>
          <w:p w14:paraId="012DB196" w14:textId="77777777" w:rsidR="003B41CB" w:rsidRPr="000E15F9"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0E15F9">
              <w:rPr>
                <w:rFonts w:eastAsia="Times New Roman" w:cs="Times New Roman"/>
                <w:color w:val="F2F2F2"/>
              </w:rPr>
              <w:t>Cible 2023</w:t>
            </w:r>
          </w:p>
        </w:tc>
      </w:tr>
      <w:tr w:rsidR="003B41CB" w:rsidRPr="000E15F9" w14:paraId="5DC8664B"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6B9881D4" w14:textId="77777777" w:rsidR="003B41CB" w:rsidRPr="000E15F9" w:rsidRDefault="003B41CB" w:rsidP="00F175A7">
            <w:pPr>
              <w:spacing w:after="0" w:line="240" w:lineRule="auto"/>
              <w:ind w:firstLine="0"/>
            </w:pPr>
            <w:r w:rsidRPr="000E15F9">
              <w:rPr>
                <w:rFonts w:eastAsia="Times New Roman" w:cs="Times New Roman"/>
              </w:rPr>
              <w:t>Nombre de nouveaux agents mis à la disposition de la Gendarmerie nationale</w:t>
            </w:r>
          </w:p>
        </w:tc>
        <w:tc>
          <w:tcPr>
            <w:tcW w:w="699" w:type="pct"/>
          </w:tcPr>
          <w:p w14:paraId="54B988F7"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750</w:t>
            </w:r>
          </w:p>
        </w:tc>
        <w:tc>
          <w:tcPr>
            <w:tcW w:w="699" w:type="pct"/>
          </w:tcPr>
          <w:p w14:paraId="6CC85BBF"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2 700</w:t>
            </w:r>
          </w:p>
        </w:tc>
        <w:tc>
          <w:tcPr>
            <w:tcW w:w="709" w:type="pct"/>
          </w:tcPr>
          <w:p w14:paraId="5D749D6E"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4 250</w:t>
            </w:r>
          </w:p>
        </w:tc>
      </w:tr>
      <w:tr w:rsidR="003B41CB" w:rsidRPr="000E15F9" w14:paraId="0808D154"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6C092336" w14:textId="77777777" w:rsidR="003B41CB" w:rsidRPr="000E15F9" w:rsidRDefault="003B41CB" w:rsidP="00F175A7">
            <w:pPr>
              <w:spacing w:after="0" w:line="240" w:lineRule="auto"/>
              <w:ind w:firstLine="0"/>
            </w:pPr>
            <w:r w:rsidRPr="000E15F9">
              <w:rPr>
                <w:rFonts w:eastAsia="Times New Roman" w:cs="Times New Roman"/>
              </w:rPr>
              <w:t>Nombre de militaires mis à la disposition de l'EMGA</w:t>
            </w:r>
          </w:p>
        </w:tc>
        <w:tc>
          <w:tcPr>
            <w:tcW w:w="699" w:type="pct"/>
          </w:tcPr>
          <w:p w14:paraId="3598B1E6"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19155</w:t>
            </w:r>
          </w:p>
        </w:tc>
        <w:tc>
          <w:tcPr>
            <w:tcW w:w="699" w:type="pct"/>
          </w:tcPr>
          <w:p w14:paraId="3DED91F5"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6 000</w:t>
            </w:r>
          </w:p>
        </w:tc>
        <w:tc>
          <w:tcPr>
            <w:tcW w:w="709" w:type="pct"/>
          </w:tcPr>
          <w:p w14:paraId="5E052FD4"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6 385</w:t>
            </w:r>
          </w:p>
        </w:tc>
      </w:tr>
      <w:tr w:rsidR="003B41CB" w:rsidRPr="000E15F9" w14:paraId="75A53574"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555339EA" w14:textId="77777777" w:rsidR="003B41CB" w:rsidRPr="000E15F9" w:rsidRDefault="003B41CB" w:rsidP="00F175A7">
            <w:pPr>
              <w:spacing w:after="0" w:line="240" w:lineRule="auto"/>
              <w:ind w:firstLine="0"/>
            </w:pPr>
            <w:r w:rsidRPr="000E15F9">
              <w:rPr>
                <w:rFonts w:eastAsia="Times New Roman" w:cs="Times New Roman"/>
              </w:rPr>
              <w:t>Nombre de VDP recrutés, formés et équipés</w:t>
            </w:r>
          </w:p>
        </w:tc>
        <w:tc>
          <w:tcPr>
            <w:tcW w:w="699" w:type="pct"/>
          </w:tcPr>
          <w:p w14:paraId="74E19AE6"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56 725</w:t>
            </w:r>
          </w:p>
        </w:tc>
        <w:tc>
          <w:tcPr>
            <w:tcW w:w="699" w:type="pct"/>
          </w:tcPr>
          <w:p w14:paraId="0E00620B"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63 699</w:t>
            </w:r>
          </w:p>
        </w:tc>
        <w:tc>
          <w:tcPr>
            <w:tcW w:w="709" w:type="pct"/>
          </w:tcPr>
          <w:p w14:paraId="3FBDF678"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56 725</w:t>
            </w:r>
          </w:p>
        </w:tc>
      </w:tr>
      <w:tr w:rsidR="003B41CB" w:rsidRPr="000E15F9" w14:paraId="63997571"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5E009781" w14:textId="1B937085" w:rsidR="003B41CB" w:rsidRPr="000E15F9" w:rsidRDefault="003B41CB" w:rsidP="00F175A7">
            <w:pPr>
              <w:spacing w:after="0" w:line="240" w:lineRule="auto"/>
              <w:ind w:firstLine="0"/>
            </w:pPr>
            <w:r w:rsidRPr="000E15F9">
              <w:rPr>
                <w:rFonts w:eastAsia="Times New Roman" w:cs="Times New Roman"/>
              </w:rPr>
              <w:t>Nombre de nouveaux agents mis à la disposition de la Brigade nationale de sapeurs-pompiers</w:t>
            </w:r>
          </w:p>
        </w:tc>
        <w:tc>
          <w:tcPr>
            <w:tcW w:w="699" w:type="pct"/>
          </w:tcPr>
          <w:p w14:paraId="57C10D26"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750</w:t>
            </w:r>
          </w:p>
        </w:tc>
        <w:tc>
          <w:tcPr>
            <w:tcW w:w="699" w:type="pct"/>
          </w:tcPr>
          <w:p w14:paraId="24224A1E"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249</w:t>
            </w:r>
          </w:p>
        </w:tc>
        <w:tc>
          <w:tcPr>
            <w:tcW w:w="709" w:type="pct"/>
          </w:tcPr>
          <w:p w14:paraId="5282162C"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250</w:t>
            </w:r>
          </w:p>
        </w:tc>
      </w:tr>
      <w:tr w:rsidR="003B41CB" w:rsidRPr="000E15F9" w14:paraId="0AE70955"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113B59A1" w14:textId="77777777" w:rsidR="003B41CB" w:rsidRPr="000E15F9" w:rsidRDefault="003B41CB" w:rsidP="00F175A7">
            <w:pPr>
              <w:spacing w:after="0" w:line="240" w:lineRule="auto"/>
              <w:ind w:firstLine="0"/>
            </w:pPr>
            <w:r w:rsidRPr="000E15F9">
              <w:rPr>
                <w:rFonts w:eastAsia="Times New Roman" w:cs="Times New Roman"/>
              </w:rPr>
              <w:t>Nombre de nouveaux agents mis à la disposition de la Police nationale</w:t>
            </w:r>
          </w:p>
        </w:tc>
        <w:tc>
          <w:tcPr>
            <w:tcW w:w="699" w:type="pct"/>
          </w:tcPr>
          <w:p w14:paraId="2CEA2658"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750</w:t>
            </w:r>
          </w:p>
        </w:tc>
        <w:tc>
          <w:tcPr>
            <w:tcW w:w="699" w:type="pct"/>
          </w:tcPr>
          <w:p w14:paraId="2DCDC1EE"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750</w:t>
            </w:r>
          </w:p>
        </w:tc>
        <w:tc>
          <w:tcPr>
            <w:tcW w:w="709" w:type="pct"/>
          </w:tcPr>
          <w:p w14:paraId="499597A2"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750</w:t>
            </w:r>
          </w:p>
        </w:tc>
      </w:tr>
      <w:tr w:rsidR="003B41CB" w:rsidRPr="000E15F9" w14:paraId="120A84D8"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5C5DAF6F" w14:textId="77777777" w:rsidR="003B41CB" w:rsidRPr="000E15F9" w:rsidRDefault="003B41CB" w:rsidP="00F175A7">
            <w:pPr>
              <w:spacing w:after="0" w:line="240" w:lineRule="auto"/>
              <w:ind w:firstLine="0"/>
            </w:pPr>
            <w:r w:rsidRPr="000E15F9">
              <w:rPr>
                <w:rFonts w:eastAsia="Times New Roman" w:cs="Times New Roman"/>
              </w:rPr>
              <w:t>Nombre de nouveaux agents mis à la disposition de la Garde de sécurité pénitentiaire</w:t>
            </w:r>
          </w:p>
        </w:tc>
        <w:tc>
          <w:tcPr>
            <w:tcW w:w="699" w:type="pct"/>
          </w:tcPr>
          <w:p w14:paraId="11201FF3"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377</w:t>
            </w:r>
          </w:p>
        </w:tc>
        <w:tc>
          <w:tcPr>
            <w:tcW w:w="699" w:type="pct"/>
          </w:tcPr>
          <w:p w14:paraId="187672F7"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388</w:t>
            </w:r>
          </w:p>
        </w:tc>
        <w:tc>
          <w:tcPr>
            <w:tcW w:w="709" w:type="pct"/>
          </w:tcPr>
          <w:p w14:paraId="13251E5D"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376</w:t>
            </w:r>
          </w:p>
        </w:tc>
      </w:tr>
      <w:tr w:rsidR="003B41CB" w:rsidRPr="000E15F9" w14:paraId="6CE2D08D"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389708A5" w14:textId="02504DAD" w:rsidR="003B41CB" w:rsidRPr="000E15F9" w:rsidRDefault="003B41CB" w:rsidP="00F175A7">
            <w:pPr>
              <w:spacing w:after="0" w:line="240" w:lineRule="auto"/>
              <w:ind w:firstLine="0"/>
            </w:pPr>
            <w:r w:rsidRPr="000E15F9">
              <w:rPr>
                <w:rFonts w:eastAsia="Times New Roman" w:cs="Times New Roman"/>
              </w:rPr>
              <w:t xml:space="preserve">Nombre </w:t>
            </w:r>
            <w:r w:rsidR="00C91997">
              <w:rPr>
                <w:rFonts w:eastAsia="Times New Roman" w:cs="Times New Roman"/>
              </w:rPr>
              <w:t>d’</w:t>
            </w:r>
            <w:r w:rsidRPr="000E15F9">
              <w:rPr>
                <w:rFonts w:eastAsia="Times New Roman" w:cs="Times New Roman"/>
              </w:rPr>
              <w:t xml:space="preserve">agents des </w:t>
            </w:r>
            <w:r w:rsidR="00C91997">
              <w:rPr>
                <w:rFonts w:eastAsia="Times New Roman" w:cs="Times New Roman"/>
              </w:rPr>
              <w:t>e</w:t>
            </w:r>
            <w:r w:rsidRPr="000E15F9">
              <w:rPr>
                <w:rFonts w:eastAsia="Times New Roman" w:cs="Times New Roman"/>
              </w:rPr>
              <w:t>aux et forêts recrutés</w:t>
            </w:r>
          </w:p>
        </w:tc>
        <w:tc>
          <w:tcPr>
            <w:tcW w:w="699" w:type="pct"/>
          </w:tcPr>
          <w:p w14:paraId="153361EF"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ND</w:t>
            </w:r>
          </w:p>
        </w:tc>
        <w:tc>
          <w:tcPr>
            <w:tcW w:w="699" w:type="pct"/>
          </w:tcPr>
          <w:p w14:paraId="6F40C5F1"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110</w:t>
            </w:r>
          </w:p>
        </w:tc>
        <w:tc>
          <w:tcPr>
            <w:tcW w:w="709" w:type="pct"/>
          </w:tcPr>
          <w:p w14:paraId="22F6B0A1"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110</w:t>
            </w:r>
          </w:p>
        </w:tc>
      </w:tr>
      <w:tr w:rsidR="003B41CB" w:rsidRPr="000E15F9" w14:paraId="25CB4D5D"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546796AD" w14:textId="77777777" w:rsidR="003B41CB" w:rsidRPr="000E15F9" w:rsidRDefault="003B41CB" w:rsidP="00F175A7">
            <w:pPr>
              <w:spacing w:after="0" w:line="240" w:lineRule="auto"/>
              <w:ind w:firstLine="0"/>
            </w:pPr>
            <w:r w:rsidRPr="000E15F9">
              <w:rPr>
                <w:rFonts w:eastAsia="Times New Roman" w:cs="Times New Roman"/>
              </w:rPr>
              <w:t>Nombre d'agents recrutés et formés sur mesure spéciale</w:t>
            </w:r>
          </w:p>
        </w:tc>
        <w:tc>
          <w:tcPr>
            <w:tcW w:w="699" w:type="pct"/>
          </w:tcPr>
          <w:p w14:paraId="250C4297"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0</w:t>
            </w:r>
          </w:p>
        </w:tc>
        <w:tc>
          <w:tcPr>
            <w:tcW w:w="699" w:type="pct"/>
          </w:tcPr>
          <w:p w14:paraId="6263693B"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1 950</w:t>
            </w:r>
          </w:p>
        </w:tc>
        <w:tc>
          <w:tcPr>
            <w:tcW w:w="709" w:type="pct"/>
          </w:tcPr>
          <w:p w14:paraId="1AC8D620"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2 000</w:t>
            </w:r>
          </w:p>
        </w:tc>
      </w:tr>
      <w:tr w:rsidR="003B41CB" w:rsidRPr="000E15F9" w14:paraId="1BBD54C6"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0363A40F" w14:textId="5DC09188" w:rsidR="003B41CB" w:rsidRPr="000E15F9" w:rsidRDefault="003B41CB" w:rsidP="00F175A7">
            <w:pPr>
              <w:spacing w:after="0" w:line="240" w:lineRule="auto"/>
              <w:ind w:firstLine="0"/>
            </w:pPr>
            <w:r w:rsidRPr="000E15F9">
              <w:rPr>
                <w:rFonts w:eastAsia="Times New Roman" w:cs="Times New Roman"/>
              </w:rPr>
              <w:t>Nombre d</w:t>
            </w:r>
            <w:r w:rsidR="00C91997">
              <w:rPr>
                <w:rFonts w:eastAsia="Times New Roman" w:cs="Times New Roman"/>
              </w:rPr>
              <w:t>’</w:t>
            </w:r>
            <w:r w:rsidRPr="000E15F9">
              <w:rPr>
                <w:rFonts w:eastAsia="Times New Roman" w:cs="Times New Roman"/>
              </w:rPr>
              <w:t>agents des FSI formé</w:t>
            </w:r>
            <w:r w:rsidR="00C91997">
              <w:rPr>
                <w:rFonts w:eastAsia="Times New Roman" w:cs="Times New Roman"/>
              </w:rPr>
              <w:t>e</w:t>
            </w:r>
            <w:r w:rsidRPr="000E15F9">
              <w:rPr>
                <w:rFonts w:eastAsia="Times New Roman" w:cs="Times New Roman"/>
              </w:rPr>
              <w:t>s sur IRAPOL</w:t>
            </w:r>
          </w:p>
        </w:tc>
        <w:tc>
          <w:tcPr>
            <w:tcW w:w="699" w:type="pct"/>
          </w:tcPr>
          <w:p w14:paraId="20997A90"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115</w:t>
            </w:r>
          </w:p>
        </w:tc>
        <w:tc>
          <w:tcPr>
            <w:tcW w:w="699" w:type="pct"/>
          </w:tcPr>
          <w:p w14:paraId="3AFFB91C"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230</w:t>
            </w:r>
          </w:p>
        </w:tc>
        <w:tc>
          <w:tcPr>
            <w:tcW w:w="709" w:type="pct"/>
          </w:tcPr>
          <w:p w14:paraId="7F6D35FE"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200</w:t>
            </w:r>
          </w:p>
        </w:tc>
      </w:tr>
      <w:tr w:rsidR="003B41CB" w:rsidRPr="000E15F9" w14:paraId="66966934"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496A0160" w14:textId="77777777" w:rsidR="003B41CB" w:rsidRPr="000E15F9" w:rsidRDefault="003B41CB" w:rsidP="00F175A7">
            <w:pPr>
              <w:spacing w:after="0" w:line="240" w:lineRule="auto"/>
              <w:ind w:firstLine="0"/>
            </w:pPr>
            <w:r w:rsidRPr="000E15F9">
              <w:rPr>
                <w:rFonts w:eastAsia="Times New Roman" w:cs="Times New Roman"/>
              </w:rPr>
              <w:t>Taux de réalisation de l'instruction et de la formation de la troupe et des cadres</w:t>
            </w:r>
          </w:p>
        </w:tc>
        <w:tc>
          <w:tcPr>
            <w:tcW w:w="699" w:type="pct"/>
          </w:tcPr>
          <w:p w14:paraId="02C3AABA"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100</w:t>
            </w:r>
          </w:p>
        </w:tc>
        <w:tc>
          <w:tcPr>
            <w:tcW w:w="699" w:type="pct"/>
          </w:tcPr>
          <w:p w14:paraId="277955CC"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100</w:t>
            </w:r>
          </w:p>
        </w:tc>
        <w:tc>
          <w:tcPr>
            <w:tcW w:w="709" w:type="pct"/>
          </w:tcPr>
          <w:p w14:paraId="74DD3DBD" w14:textId="77777777" w:rsidR="003B41CB" w:rsidRPr="000E15F9"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0E15F9">
              <w:rPr>
                <w:rFonts w:eastAsia="Times New Roman" w:cs="Times New Roman"/>
              </w:rPr>
              <w:t>100</w:t>
            </w:r>
          </w:p>
        </w:tc>
      </w:tr>
      <w:tr w:rsidR="003B41CB" w:rsidRPr="000E15F9" w14:paraId="48A66782"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334EDF4F" w14:textId="3F9BE447" w:rsidR="003B41CB" w:rsidRPr="000E15F9" w:rsidRDefault="003B41CB" w:rsidP="00F175A7">
            <w:pPr>
              <w:spacing w:after="0" w:line="240" w:lineRule="auto"/>
              <w:ind w:firstLine="0"/>
            </w:pPr>
            <w:r w:rsidRPr="000E15F9">
              <w:rPr>
                <w:rFonts w:eastAsia="Times New Roman" w:cs="Times New Roman"/>
              </w:rPr>
              <w:t xml:space="preserve">Nombre de séances d'aguerrissement et de recyclage organisées au profit des personnels de la Police </w:t>
            </w:r>
            <w:r w:rsidR="00C91997">
              <w:rPr>
                <w:rFonts w:eastAsia="Times New Roman" w:cs="Times New Roman"/>
              </w:rPr>
              <w:t>n</w:t>
            </w:r>
            <w:r w:rsidRPr="000E15F9">
              <w:rPr>
                <w:rFonts w:eastAsia="Times New Roman" w:cs="Times New Roman"/>
              </w:rPr>
              <w:t>ationale</w:t>
            </w:r>
          </w:p>
        </w:tc>
        <w:tc>
          <w:tcPr>
            <w:tcW w:w="699" w:type="pct"/>
          </w:tcPr>
          <w:p w14:paraId="73D9B75B"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30</w:t>
            </w:r>
          </w:p>
        </w:tc>
        <w:tc>
          <w:tcPr>
            <w:tcW w:w="699" w:type="pct"/>
          </w:tcPr>
          <w:p w14:paraId="025C2037"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94</w:t>
            </w:r>
          </w:p>
        </w:tc>
        <w:tc>
          <w:tcPr>
            <w:tcW w:w="709" w:type="pct"/>
          </w:tcPr>
          <w:p w14:paraId="234C7EBA" w14:textId="77777777" w:rsidR="003B41CB" w:rsidRPr="000E15F9"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0E15F9">
              <w:rPr>
                <w:rFonts w:eastAsia="Times New Roman" w:cs="Times New Roman"/>
              </w:rPr>
              <w:t>30</w:t>
            </w:r>
          </w:p>
        </w:tc>
      </w:tr>
    </w:tbl>
    <w:p w14:paraId="4469909F" w14:textId="65B42CB2"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AE1A65">
        <w:rPr>
          <w:rFonts w:eastAsia="Times New Roman" w:cs="Times New Roman"/>
          <w:sz w:val="20"/>
          <w:szCs w:val="20"/>
        </w:rPr>
        <w:t xml:space="preserve"> : r</w:t>
      </w:r>
      <w:r w:rsidRPr="008D20C6">
        <w:rPr>
          <w:rFonts w:eastAsia="Times New Roman" w:cs="Times New Roman"/>
          <w:sz w:val="20"/>
          <w:szCs w:val="20"/>
        </w:rPr>
        <w:t xml:space="preserve">apport </w:t>
      </w:r>
      <w:r w:rsidR="00F175A7">
        <w:rPr>
          <w:rFonts w:eastAsia="Times New Roman" w:cs="Times New Roman"/>
          <w:sz w:val="20"/>
          <w:szCs w:val="20"/>
        </w:rPr>
        <w:t xml:space="preserve">annuel </w:t>
      </w:r>
      <w:r w:rsidRPr="008D20C6">
        <w:rPr>
          <w:rFonts w:eastAsia="Times New Roman" w:cs="Times New Roman"/>
          <w:sz w:val="20"/>
          <w:szCs w:val="20"/>
        </w:rPr>
        <w:t>de performance 2023 du CSD-DS, février 2024</w:t>
      </w:r>
    </w:p>
    <w:p w14:paraId="20DE0339" w14:textId="0EC8A793" w:rsidR="003B41CB" w:rsidRPr="00E31E23" w:rsidRDefault="003B41CB" w:rsidP="00F175A7">
      <w:pPr>
        <w:numPr>
          <w:ilvl w:val="0"/>
          <w:numId w:val="8"/>
        </w:numPr>
        <w:shd w:val="clear" w:color="auto" w:fill="FFFFFF"/>
        <w:spacing w:before="120" w:after="120" w:line="240" w:lineRule="auto"/>
        <w:ind w:left="0"/>
      </w:pPr>
      <w:r w:rsidRPr="008D20C6">
        <w:t xml:space="preserve">Concernant le volet équipement, </w:t>
      </w:r>
      <w:r w:rsidR="00E54A67">
        <w:t>d</w:t>
      </w:r>
      <w:r w:rsidRPr="008D20C6">
        <w:t xml:space="preserve">es progrès sont </w:t>
      </w:r>
      <w:r w:rsidR="00E54A67">
        <w:t xml:space="preserve">enregistrés </w:t>
      </w:r>
      <w:r w:rsidRPr="008D20C6">
        <w:t xml:space="preserve">en 2023 en termes d’acquisition de moyens logistiques et tactiques, composés notamment d’engins à quatre et deux roues sans occulter les équipements spécifiques. Ainsi, au total 156 engins à quatre roues sur une prévision de 82 et 2 332 engins à deux roues sur une prévision de 759 ont été acquis au profit de la </w:t>
      </w:r>
      <w:r w:rsidR="00C91997">
        <w:t>g</w:t>
      </w:r>
      <w:r w:rsidRPr="008D20C6">
        <w:t xml:space="preserve">endarmerie, de la </w:t>
      </w:r>
      <w:r w:rsidR="00C91997">
        <w:t>p</w:t>
      </w:r>
      <w:r w:rsidRPr="008D20C6">
        <w:t xml:space="preserve">olice et des </w:t>
      </w:r>
      <w:r w:rsidR="00C91997">
        <w:t>e</w:t>
      </w:r>
      <w:r w:rsidRPr="008D20C6">
        <w:t xml:space="preserve">aux et </w:t>
      </w:r>
      <w:r w:rsidR="00C91997">
        <w:t>f</w:t>
      </w:r>
      <w:r w:rsidRPr="008D20C6">
        <w:t xml:space="preserve">orêts. Ce dépassement des cibles s’explique entre autres par </w:t>
      </w:r>
      <w:r w:rsidR="004D40AE">
        <w:t>les</w:t>
      </w:r>
      <w:r w:rsidRPr="008D20C6">
        <w:t xml:space="preserve"> dotations des partenaires techniques et financiers et </w:t>
      </w:r>
      <w:r w:rsidR="004D40AE">
        <w:t>l</w:t>
      </w:r>
      <w:r w:rsidRPr="008D20C6">
        <w:t xml:space="preserve">es dons des particuliers, les divers dons </w:t>
      </w:r>
      <w:r w:rsidR="004D40AE">
        <w:t>reçus</w:t>
      </w:r>
      <w:r w:rsidRPr="008D20C6">
        <w:t xml:space="preserve"> de personnes physiques et morales et la livraison effective des acquisitions d’engins </w:t>
      </w:r>
      <w:r w:rsidR="004D40AE">
        <w:t>des commandes de</w:t>
      </w:r>
      <w:r w:rsidR="004D40AE" w:rsidRPr="008D20C6">
        <w:t xml:space="preserve"> 2022</w:t>
      </w:r>
      <w:r w:rsidR="004D40AE">
        <w:t xml:space="preserve"> </w:t>
      </w:r>
      <w:r w:rsidRPr="008D20C6">
        <w:t xml:space="preserve">par la </w:t>
      </w:r>
      <w:r w:rsidR="00C91997">
        <w:t>P</w:t>
      </w:r>
      <w:r w:rsidRPr="008D20C6">
        <w:t xml:space="preserve">olice nationale. Toutefois, la direction </w:t>
      </w:r>
      <w:r w:rsidR="00E54A67">
        <w:t xml:space="preserve">générale </w:t>
      </w:r>
      <w:r w:rsidRPr="008D20C6">
        <w:t xml:space="preserve">des douanes n’a pas pu acquérir </w:t>
      </w:r>
      <w:r w:rsidR="00E54A67">
        <w:t>d</w:t>
      </w:r>
      <w:r w:rsidRPr="008D20C6">
        <w:t>es moyens roulants du fait de la suspension de la procédure de passation d</w:t>
      </w:r>
      <w:r w:rsidR="00990F0C">
        <w:t>’acquisition</w:t>
      </w:r>
      <w:r w:rsidRPr="008D20C6">
        <w:t>.</w:t>
      </w:r>
    </w:p>
    <w:p w14:paraId="002E64EC" w14:textId="7354427D" w:rsidR="003B41CB" w:rsidRPr="00E31E23" w:rsidRDefault="003B41CB" w:rsidP="00F175A7">
      <w:pPr>
        <w:numPr>
          <w:ilvl w:val="0"/>
          <w:numId w:val="8"/>
        </w:numPr>
        <w:shd w:val="clear" w:color="auto" w:fill="FFFFFF"/>
        <w:spacing w:before="120" w:after="120" w:line="240" w:lineRule="auto"/>
        <w:ind w:left="0"/>
      </w:pPr>
      <w:r w:rsidRPr="008D20C6">
        <w:t xml:space="preserve">Pour ce qui concerne la dotation des structures en équipements spécifiques, </w:t>
      </w:r>
      <w:r w:rsidR="005A73A2">
        <w:t>du</w:t>
      </w:r>
      <w:r w:rsidRPr="008D20C6">
        <w:t xml:space="preserve"> matériel et outillage technique de protection et d'intervention, </w:t>
      </w:r>
      <w:r w:rsidR="005A73A2">
        <w:t>d</w:t>
      </w:r>
      <w:r w:rsidRPr="008D20C6">
        <w:t xml:space="preserve">es moyens </w:t>
      </w:r>
      <w:r w:rsidR="004D40AE">
        <w:t xml:space="preserve">de </w:t>
      </w:r>
      <w:r w:rsidRPr="008D20C6">
        <w:t>radiocommunication, d'investigation numérique, de géolocalisation et de sécurité informatique, des équipements spécifiques d’analyse scientifique, du matériel spécifique du maintien de l’ordre ont été acquis au profit de l’EMGN, de la DGPN, de la DGEF</w:t>
      </w:r>
      <w:r w:rsidR="005A73A2">
        <w:t xml:space="preserve"> et de la DGAP</w:t>
      </w:r>
      <w:r w:rsidRPr="008D20C6">
        <w:t>.</w:t>
      </w:r>
    </w:p>
    <w:p w14:paraId="0EE26297" w14:textId="42D15A7D" w:rsidR="003B41CB" w:rsidRDefault="003B41CB" w:rsidP="00F175A7">
      <w:pPr>
        <w:numPr>
          <w:ilvl w:val="0"/>
          <w:numId w:val="8"/>
        </w:numPr>
        <w:shd w:val="clear" w:color="auto" w:fill="FFFFFF"/>
        <w:spacing w:before="120" w:after="120" w:line="240" w:lineRule="auto"/>
        <w:ind w:left="0"/>
      </w:pPr>
      <w:r w:rsidRPr="008D20C6">
        <w:t>Ces progrès ont été rendus possibles grâce à la mise en œuvre de programmes d’équipements portés par les différentes entités des FDS avec des niveaux d’exécution allant de 0% à 100% comme déclinés dans le tableau ci-après.</w:t>
      </w:r>
    </w:p>
    <w:p w14:paraId="1DECFED2" w14:textId="29F500C3" w:rsidR="003B41CB" w:rsidRPr="0042784A" w:rsidRDefault="001A006D" w:rsidP="008139E1">
      <w:pPr>
        <w:pStyle w:val="Lgende"/>
        <w:rPr>
          <w:rFonts w:eastAsia="Times New Roman" w:cs="Times New Roman"/>
          <w:color w:val="auto"/>
        </w:rPr>
      </w:pPr>
      <w:bookmarkStart w:id="26" w:name="_Toc164503592"/>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5</w:t>
      </w:r>
      <w:r w:rsidRPr="0042784A">
        <w:rPr>
          <w:b/>
          <w:i w:val="0"/>
          <w:color w:val="auto"/>
          <w:sz w:val="22"/>
          <w:szCs w:val="22"/>
          <w:u w:val="single"/>
        </w:rPr>
        <w:fldChar w:fldCharType="end"/>
      </w:r>
      <w:r w:rsidRPr="0042784A">
        <w:rPr>
          <w:i w:val="0"/>
          <w:color w:val="auto"/>
          <w:sz w:val="22"/>
          <w:szCs w:val="22"/>
        </w:rPr>
        <w:t>: situation des indicateurs de produits de l'action «renforcement des capacités opérationnelles des FDS en vue de libérer les localités occupées par les terroristes», volet équipements</w:t>
      </w:r>
      <w:bookmarkEnd w:id="26"/>
    </w:p>
    <w:tbl>
      <w:tblPr>
        <w:tblStyle w:val="TableauGrille4-Accentuation119"/>
        <w:tblW w:w="5000" w:type="pct"/>
        <w:tblLook w:val="04A0" w:firstRow="1" w:lastRow="0" w:firstColumn="1" w:lastColumn="0" w:noHBand="0" w:noVBand="1"/>
      </w:tblPr>
      <w:tblGrid>
        <w:gridCol w:w="5306"/>
        <w:gridCol w:w="1170"/>
        <w:gridCol w:w="1260"/>
        <w:gridCol w:w="1280"/>
      </w:tblGrid>
      <w:tr w:rsidR="003B41CB" w:rsidRPr="00FF315F" w14:paraId="332F012C" w14:textId="77777777" w:rsidTr="003D226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942" w:type="pct"/>
          </w:tcPr>
          <w:p w14:paraId="27F87678" w14:textId="77777777" w:rsidR="003B41CB" w:rsidRPr="00FF315F" w:rsidRDefault="003B41CB" w:rsidP="00F175A7">
            <w:pPr>
              <w:spacing w:after="0" w:line="240" w:lineRule="auto"/>
              <w:rPr>
                <w:rFonts w:eastAsia="Times New Roman" w:cs="Times New Roman"/>
              </w:rPr>
            </w:pPr>
            <w:r w:rsidRPr="00FF315F">
              <w:rPr>
                <w:rFonts w:eastAsia="Times New Roman" w:cs="Times New Roman"/>
                <w:color w:val="F2F2F2"/>
              </w:rPr>
              <w:t>Indicateurs</w:t>
            </w:r>
          </w:p>
        </w:tc>
        <w:tc>
          <w:tcPr>
            <w:tcW w:w="649" w:type="pct"/>
          </w:tcPr>
          <w:p w14:paraId="01E59DC8"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color w:val="F2F2F2"/>
              </w:rPr>
              <w:t>Réal. 2022</w:t>
            </w:r>
          </w:p>
        </w:tc>
        <w:tc>
          <w:tcPr>
            <w:tcW w:w="699" w:type="pct"/>
          </w:tcPr>
          <w:p w14:paraId="60E2C05F" w14:textId="10B6C18A"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color w:val="F2F2F2"/>
              </w:rPr>
              <w:t>Réal. 2023</w:t>
            </w:r>
          </w:p>
        </w:tc>
        <w:tc>
          <w:tcPr>
            <w:tcW w:w="710" w:type="pct"/>
          </w:tcPr>
          <w:p w14:paraId="75FAD7A0"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color w:val="F2F2F2"/>
              </w:rPr>
              <w:t>Cible 2023</w:t>
            </w:r>
          </w:p>
        </w:tc>
      </w:tr>
      <w:tr w:rsidR="003B41CB" w:rsidRPr="00FF315F" w14:paraId="2084A48C"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2D4CCC21" w14:textId="77777777"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Taux d'exécution physique du programme d'acquisition de matériel et outillage technique de protection et d'intervention au profit de la Police nationale</w:t>
            </w:r>
          </w:p>
        </w:tc>
        <w:tc>
          <w:tcPr>
            <w:tcW w:w="649" w:type="pct"/>
          </w:tcPr>
          <w:p w14:paraId="763FCAFA"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085AD37B"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90</w:t>
            </w:r>
          </w:p>
        </w:tc>
        <w:tc>
          <w:tcPr>
            <w:tcW w:w="710" w:type="pct"/>
          </w:tcPr>
          <w:p w14:paraId="1F6FD680"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53E998BE"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1BA9639B" w14:textId="1D2880A4" w:rsidR="003B41CB" w:rsidRPr="00EC0AC7" w:rsidRDefault="003B41CB" w:rsidP="00F175A7">
            <w:pPr>
              <w:spacing w:after="0" w:line="240" w:lineRule="auto"/>
              <w:ind w:firstLine="0"/>
              <w:rPr>
                <w:rFonts w:eastAsia="Times New Roman" w:cs="Times New Roman"/>
              </w:rPr>
            </w:pPr>
            <w:r w:rsidRPr="00F175A7">
              <w:rPr>
                <w:rFonts w:eastAsia="Times New Roman" w:cs="Times New Roman"/>
              </w:rPr>
              <w:t xml:space="preserve">Nombre d'unités et de </w:t>
            </w:r>
            <w:r w:rsidR="001714CB">
              <w:rPr>
                <w:rFonts w:eastAsia="Times New Roman" w:cs="Times New Roman"/>
              </w:rPr>
              <w:t>c</w:t>
            </w:r>
            <w:r w:rsidRPr="00F175A7">
              <w:rPr>
                <w:rFonts w:eastAsia="Times New Roman" w:cs="Times New Roman"/>
              </w:rPr>
              <w:t xml:space="preserve">ommissariats détruits </w:t>
            </w:r>
            <w:r w:rsidR="001714CB">
              <w:rPr>
                <w:rFonts w:eastAsia="Times New Roman" w:cs="Times New Roman"/>
              </w:rPr>
              <w:t xml:space="preserve">à la </w:t>
            </w:r>
            <w:r w:rsidRPr="00F175A7">
              <w:rPr>
                <w:rFonts w:eastAsia="Times New Roman" w:cs="Times New Roman"/>
              </w:rPr>
              <w:t xml:space="preserve">suite </w:t>
            </w:r>
            <w:r w:rsidR="001714CB">
              <w:rPr>
                <w:rFonts w:eastAsia="Times New Roman" w:cs="Times New Roman"/>
              </w:rPr>
              <w:t>des</w:t>
            </w:r>
            <w:r w:rsidRPr="00F175A7">
              <w:rPr>
                <w:rFonts w:eastAsia="Times New Roman" w:cs="Times New Roman"/>
              </w:rPr>
              <w:t xml:space="preserve"> attaques terroriste</w:t>
            </w:r>
            <w:r w:rsidR="001714CB">
              <w:rPr>
                <w:rFonts w:eastAsia="Times New Roman" w:cs="Times New Roman"/>
              </w:rPr>
              <w:t>s</w:t>
            </w:r>
            <w:r w:rsidRPr="00F175A7">
              <w:rPr>
                <w:rFonts w:eastAsia="Times New Roman" w:cs="Times New Roman"/>
              </w:rPr>
              <w:t xml:space="preserve"> rééquipés</w:t>
            </w:r>
          </w:p>
        </w:tc>
        <w:tc>
          <w:tcPr>
            <w:tcW w:w="649" w:type="pct"/>
          </w:tcPr>
          <w:p w14:paraId="4C5EF57E" w14:textId="77777777" w:rsidR="003B41CB" w:rsidRPr="00EC0AC7"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175A7">
              <w:rPr>
                <w:rFonts w:eastAsia="Times New Roman" w:cs="Times New Roman"/>
              </w:rPr>
              <w:t>PM</w:t>
            </w:r>
          </w:p>
        </w:tc>
        <w:tc>
          <w:tcPr>
            <w:tcW w:w="699" w:type="pct"/>
          </w:tcPr>
          <w:p w14:paraId="71FCC7D9" w14:textId="77777777" w:rsidR="003B41CB" w:rsidRPr="00EC0AC7"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175A7">
              <w:rPr>
                <w:rFonts w:eastAsia="Times New Roman" w:cs="Times New Roman"/>
              </w:rPr>
              <w:t>1</w:t>
            </w:r>
          </w:p>
        </w:tc>
        <w:tc>
          <w:tcPr>
            <w:tcW w:w="710" w:type="pct"/>
          </w:tcPr>
          <w:p w14:paraId="098BD150" w14:textId="77777777" w:rsidR="003B41CB" w:rsidRPr="00EC0AC7"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175A7">
              <w:rPr>
                <w:rFonts w:eastAsia="Times New Roman" w:cs="Times New Roman"/>
              </w:rPr>
              <w:t>5</w:t>
            </w:r>
          </w:p>
        </w:tc>
      </w:tr>
      <w:tr w:rsidR="003B41CB" w:rsidRPr="00FF315F" w14:paraId="208F6BD4"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43959115" w14:textId="77777777"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Taux d'exécution physique du programme d'équipement de la Police nationale</w:t>
            </w:r>
          </w:p>
        </w:tc>
        <w:tc>
          <w:tcPr>
            <w:tcW w:w="649" w:type="pct"/>
          </w:tcPr>
          <w:p w14:paraId="5BEBA739"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7A7B1251"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710" w:type="pct"/>
          </w:tcPr>
          <w:p w14:paraId="5E7A9ABF"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337EE8F4"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392860B5" w14:textId="77777777"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Nombre de lots moyens de protection individuelle acquis au profit du personnel de l'EMGN</w:t>
            </w:r>
          </w:p>
        </w:tc>
        <w:tc>
          <w:tcPr>
            <w:tcW w:w="649" w:type="pct"/>
          </w:tcPr>
          <w:p w14:paraId="5D12DE89"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 xml:space="preserve">1 </w:t>
            </w:r>
          </w:p>
        </w:tc>
        <w:tc>
          <w:tcPr>
            <w:tcW w:w="699" w:type="pct"/>
          </w:tcPr>
          <w:p w14:paraId="37F0255B"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w:t>
            </w:r>
          </w:p>
        </w:tc>
        <w:tc>
          <w:tcPr>
            <w:tcW w:w="710" w:type="pct"/>
          </w:tcPr>
          <w:p w14:paraId="12D5EA01"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 xml:space="preserve">1 </w:t>
            </w:r>
          </w:p>
        </w:tc>
      </w:tr>
      <w:tr w:rsidR="003B41CB" w:rsidRPr="00FF315F" w14:paraId="34491BD3"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26BBA226" w14:textId="32ECB757"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 xml:space="preserve">Taux d'exécution physique du programme d'acquisition de matériel de communication au profit de </w:t>
            </w:r>
            <w:r w:rsidR="001714CB">
              <w:rPr>
                <w:rFonts w:eastAsia="Times New Roman" w:cs="Times New Roman"/>
              </w:rPr>
              <w:t>l’</w:t>
            </w:r>
            <w:r w:rsidRPr="00FF315F">
              <w:rPr>
                <w:rFonts w:eastAsia="Times New Roman" w:cs="Times New Roman"/>
              </w:rPr>
              <w:t>EMGN</w:t>
            </w:r>
          </w:p>
        </w:tc>
        <w:tc>
          <w:tcPr>
            <w:tcW w:w="649" w:type="pct"/>
          </w:tcPr>
          <w:p w14:paraId="0748468D"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7AC75248"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4</w:t>
            </w:r>
          </w:p>
        </w:tc>
        <w:tc>
          <w:tcPr>
            <w:tcW w:w="710" w:type="pct"/>
          </w:tcPr>
          <w:p w14:paraId="4BAC83CD" w14:textId="77777777" w:rsidR="003B41CB" w:rsidRPr="00FF315F" w:rsidRDefault="003B41CB"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 (4 lots)</w:t>
            </w:r>
          </w:p>
        </w:tc>
      </w:tr>
      <w:tr w:rsidR="003B41CB" w:rsidRPr="00FF315F" w14:paraId="6A2D52CC"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73BD4B03" w14:textId="44117D4D"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 xml:space="preserve">Taux d'exécution physique du programme d'acquisition de matériel spécifique au profit de </w:t>
            </w:r>
            <w:r w:rsidR="001714CB">
              <w:rPr>
                <w:rFonts w:eastAsia="Times New Roman" w:cs="Times New Roman"/>
              </w:rPr>
              <w:t>l’</w:t>
            </w:r>
            <w:r w:rsidRPr="00FF315F">
              <w:rPr>
                <w:rFonts w:eastAsia="Times New Roman" w:cs="Times New Roman"/>
              </w:rPr>
              <w:t>EMGN</w:t>
            </w:r>
          </w:p>
        </w:tc>
        <w:tc>
          <w:tcPr>
            <w:tcW w:w="649" w:type="pct"/>
          </w:tcPr>
          <w:p w14:paraId="3FF3985E"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7F2925BC"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40</w:t>
            </w:r>
          </w:p>
        </w:tc>
        <w:tc>
          <w:tcPr>
            <w:tcW w:w="710" w:type="pct"/>
          </w:tcPr>
          <w:p w14:paraId="6899AA76"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33514478"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67CE4575" w14:textId="6BE9D93E"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 xml:space="preserve">Taux d'exécution physique du programme d'acquisition de matériel informatique au profit de </w:t>
            </w:r>
            <w:r w:rsidR="001714CB">
              <w:rPr>
                <w:rFonts w:eastAsia="Times New Roman" w:cs="Times New Roman"/>
              </w:rPr>
              <w:t>l’</w:t>
            </w:r>
            <w:r w:rsidRPr="00FF315F">
              <w:rPr>
                <w:rFonts w:eastAsia="Times New Roman" w:cs="Times New Roman"/>
              </w:rPr>
              <w:t>EMGN</w:t>
            </w:r>
          </w:p>
        </w:tc>
        <w:tc>
          <w:tcPr>
            <w:tcW w:w="649" w:type="pct"/>
          </w:tcPr>
          <w:p w14:paraId="6F4B822D"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3ECDEF09"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0</w:t>
            </w:r>
          </w:p>
        </w:tc>
        <w:tc>
          <w:tcPr>
            <w:tcW w:w="710" w:type="pct"/>
          </w:tcPr>
          <w:p w14:paraId="7D57FB51"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3C83F97A"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4FBC74C0" w14:textId="05DD006A"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 xml:space="preserve">Taux d'exécution physique du programme d'acquisition d'équipements spécifiques d’analyse scientifique au profit de </w:t>
            </w:r>
            <w:r w:rsidR="001714CB">
              <w:rPr>
                <w:rFonts w:eastAsia="Times New Roman" w:cs="Times New Roman"/>
              </w:rPr>
              <w:t>l’</w:t>
            </w:r>
            <w:r w:rsidRPr="00FF315F">
              <w:rPr>
                <w:rFonts w:eastAsia="Times New Roman" w:cs="Times New Roman"/>
              </w:rPr>
              <w:t>EMGN</w:t>
            </w:r>
          </w:p>
        </w:tc>
        <w:tc>
          <w:tcPr>
            <w:tcW w:w="649" w:type="pct"/>
          </w:tcPr>
          <w:p w14:paraId="0BD7DCB2"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733A3E33"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85</w:t>
            </w:r>
          </w:p>
        </w:tc>
        <w:tc>
          <w:tcPr>
            <w:tcW w:w="710" w:type="pct"/>
          </w:tcPr>
          <w:p w14:paraId="1C712ACF"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17D3E4AA"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2E069297" w14:textId="76BA29D3" w:rsidR="003B41CB" w:rsidRPr="00FF315F" w:rsidRDefault="003B41CB" w:rsidP="00561B9C">
            <w:pPr>
              <w:spacing w:after="0" w:line="240" w:lineRule="auto"/>
              <w:ind w:firstLine="0"/>
              <w:rPr>
                <w:rFonts w:eastAsia="Times New Roman" w:cs="Times New Roman"/>
              </w:rPr>
            </w:pPr>
            <w:r w:rsidRPr="00FF315F">
              <w:rPr>
                <w:rFonts w:eastAsia="Times New Roman" w:cs="Times New Roman"/>
              </w:rPr>
              <w:t>Taux d’exécution du programme d'équipement de la Douane</w:t>
            </w:r>
          </w:p>
        </w:tc>
        <w:tc>
          <w:tcPr>
            <w:tcW w:w="649" w:type="pct"/>
          </w:tcPr>
          <w:p w14:paraId="4D327974"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ND</w:t>
            </w:r>
          </w:p>
        </w:tc>
        <w:tc>
          <w:tcPr>
            <w:tcW w:w="699" w:type="pct"/>
          </w:tcPr>
          <w:p w14:paraId="246A45BD"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0</w:t>
            </w:r>
          </w:p>
        </w:tc>
        <w:tc>
          <w:tcPr>
            <w:tcW w:w="710" w:type="pct"/>
          </w:tcPr>
          <w:p w14:paraId="1C021B09"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0439C2D9"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36F810AB" w14:textId="77777777" w:rsidR="003B41CB" w:rsidRPr="00EC0AC7" w:rsidRDefault="003B41CB" w:rsidP="00F175A7">
            <w:pPr>
              <w:spacing w:after="0" w:line="240" w:lineRule="auto"/>
              <w:ind w:firstLine="0"/>
              <w:rPr>
                <w:rFonts w:eastAsia="Times New Roman" w:cs="Times New Roman"/>
              </w:rPr>
            </w:pPr>
            <w:r w:rsidRPr="00F175A7">
              <w:rPr>
                <w:rFonts w:eastAsia="Times New Roman" w:cs="Times New Roman"/>
              </w:rPr>
              <w:t>Nombre d'EP et d'unités spéciales d'intervention équipés</w:t>
            </w:r>
          </w:p>
        </w:tc>
        <w:tc>
          <w:tcPr>
            <w:tcW w:w="649" w:type="pct"/>
          </w:tcPr>
          <w:p w14:paraId="65A451D3" w14:textId="77777777" w:rsidR="003B41CB" w:rsidRPr="00EC0AC7"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175A7">
              <w:rPr>
                <w:rFonts w:eastAsia="Times New Roman" w:cs="Times New Roman"/>
              </w:rPr>
              <w:t>46</w:t>
            </w:r>
          </w:p>
        </w:tc>
        <w:tc>
          <w:tcPr>
            <w:tcW w:w="699" w:type="pct"/>
          </w:tcPr>
          <w:p w14:paraId="6BE40675" w14:textId="77777777" w:rsidR="003B41CB" w:rsidRPr="00EC0AC7"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175A7">
              <w:rPr>
                <w:rFonts w:eastAsia="Times New Roman" w:cs="Times New Roman"/>
              </w:rPr>
              <w:t>41</w:t>
            </w:r>
          </w:p>
        </w:tc>
        <w:tc>
          <w:tcPr>
            <w:tcW w:w="710" w:type="pct"/>
          </w:tcPr>
          <w:p w14:paraId="25D8AB8B" w14:textId="77777777" w:rsidR="003B41CB" w:rsidRPr="00EC0AC7"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175A7">
              <w:rPr>
                <w:rFonts w:eastAsia="Times New Roman" w:cs="Times New Roman"/>
              </w:rPr>
              <w:t>44</w:t>
            </w:r>
          </w:p>
        </w:tc>
      </w:tr>
      <w:tr w:rsidR="003B41CB" w:rsidRPr="00FF315F" w14:paraId="08319EB9"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36F4C005" w14:textId="77777777"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Taux d’exécution physique du programme d'équipement des FAN</w:t>
            </w:r>
          </w:p>
        </w:tc>
        <w:tc>
          <w:tcPr>
            <w:tcW w:w="649" w:type="pct"/>
          </w:tcPr>
          <w:p w14:paraId="66775AB4"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0BDF91E5"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710" w:type="pct"/>
          </w:tcPr>
          <w:p w14:paraId="1AECC440"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315F">
              <w:rPr>
                <w:rFonts w:eastAsia="Times New Roman" w:cs="Times New Roman"/>
              </w:rPr>
              <w:t>100</w:t>
            </w:r>
          </w:p>
        </w:tc>
      </w:tr>
      <w:tr w:rsidR="003B41CB" w:rsidRPr="00FF315F" w14:paraId="6B3F581E"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72A2E004" w14:textId="4FABE500" w:rsidR="003B41CB" w:rsidRPr="00FF315F" w:rsidRDefault="003B41CB" w:rsidP="00F175A7">
            <w:pPr>
              <w:spacing w:after="0" w:line="240" w:lineRule="auto"/>
              <w:ind w:firstLine="0"/>
              <w:rPr>
                <w:rFonts w:eastAsia="Times New Roman" w:cs="Times New Roman"/>
              </w:rPr>
            </w:pPr>
            <w:r w:rsidRPr="00FF315F">
              <w:rPr>
                <w:rFonts w:eastAsia="Times New Roman" w:cs="Times New Roman"/>
              </w:rPr>
              <w:t xml:space="preserve">Taux d'exécution physique du programme d'équipement des </w:t>
            </w:r>
            <w:r w:rsidR="001714CB">
              <w:rPr>
                <w:rFonts w:eastAsia="Times New Roman" w:cs="Times New Roman"/>
              </w:rPr>
              <w:t>e</w:t>
            </w:r>
            <w:r w:rsidRPr="00FF315F">
              <w:rPr>
                <w:rFonts w:eastAsia="Times New Roman" w:cs="Times New Roman"/>
              </w:rPr>
              <w:t xml:space="preserve">aux et </w:t>
            </w:r>
            <w:r w:rsidR="001714CB">
              <w:rPr>
                <w:rFonts w:eastAsia="Times New Roman" w:cs="Times New Roman"/>
              </w:rPr>
              <w:t>f</w:t>
            </w:r>
            <w:r w:rsidRPr="00FF315F">
              <w:rPr>
                <w:rFonts w:eastAsia="Times New Roman" w:cs="Times New Roman"/>
              </w:rPr>
              <w:t>orêts</w:t>
            </w:r>
          </w:p>
        </w:tc>
        <w:tc>
          <w:tcPr>
            <w:tcW w:w="649" w:type="pct"/>
          </w:tcPr>
          <w:p w14:paraId="6D78FE39"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100</w:t>
            </w:r>
          </w:p>
        </w:tc>
        <w:tc>
          <w:tcPr>
            <w:tcW w:w="699" w:type="pct"/>
          </w:tcPr>
          <w:p w14:paraId="55BDCBD0"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82</w:t>
            </w:r>
          </w:p>
        </w:tc>
        <w:tc>
          <w:tcPr>
            <w:tcW w:w="710" w:type="pct"/>
          </w:tcPr>
          <w:p w14:paraId="6D40D52F"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315F">
              <w:rPr>
                <w:rFonts w:eastAsia="Times New Roman" w:cs="Times New Roman"/>
              </w:rPr>
              <w:t>100</w:t>
            </w:r>
          </w:p>
        </w:tc>
      </w:tr>
    </w:tbl>
    <w:p w14:paraId="78247466" w14:textId="390DBC1E" w:rsidR="003B41CB" w:rsidRPr="008D20C6" w:rsidRDefault="003B41CB" w:rsidP="003B41CB">
      <w:pPr>
        <w:shd w:val="clear" w:color="auto" w:fill="FFFFFF"/>
        <w:spacing w:before="240" w:after="240" w:line="240" w:lineRule="auto"/>
        <w:rPr>
          <w:rFonts w:eastAsia="Times New Roman" w:cs="Times New Roman"/>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 </w:t>
      </w:r>
      <w:r w:rsidR="00F175A7">
        <w:rPr>
          <w:rFonts w:eastAsia="Times New Roman" w:cs="Times New Roman"/>
          <w:sz w:val="20"/>
          <w:szCs w:val="20"/>
        </w:rPr>
        <w:t xml:space="preserve">annuel </w:t>
      </w:r>
      <w:r w:rsidRPr="008D20C6">
        <w:rPr>
          <w:rFonts w:eastAsia="Times New Roman" w:cs="Times New Roman"/>
          <w:sz w:val="20"/>
          <w:szCs w:val="20"/>
        </w:rPr>
        <w:t>de performance 2023 du CSD-DS, février 2024</w:t>
      </w:r>
    </w:p>
    <w:p w14:paraId="299276D9" w14:textId="5EE3704C" w:rsidR="003B41CB" w:rsidRPr="00E31E23" w:rsidRDefault="003B41CB" w:rsidP="00F175A7">
      <w:pPr>
        <w:numPr>
          <w:ilvl w:val="0"/>
          <w:numId w:val="8"/>
        </w:numPr>
        <w:shd w:val="clear" w:color="auto" w:fill="FFFFFF"/>
        <w:spacing w:before="120" w:after="120" w:line="240" w:lineRule="auto"/>
        <w:ind w:left="0"/>
      </w:pPr>
      <w:r w:rsidRPr="008D20C6">
        <w:t>Par</w:t>
      </w:r>
      <w:r w:rsidRPr="003B41CB">
        <w:t xml:space="preserve"> ailleurs, l</w:t>
      </w:r>
      <w:r w:rsidR="004D40AE">
        <w:t xml:space="preserve">’exécution </w:t>
      </w:r>
      <w:r w:rsidRPr="003B41CB">
        <w:t>de</w:t>
      </w:r>
      <w:r w:rsidR="004D40AE">
        <w:t>s</w:t>
      </w:r>
      <w:r w:rsidRPr="003B41CB">
        <w:t xml:space="preserve"> projets spécifiques de </w:t>
      </w:r>
      <w:r w:rsidR="004D40AE">
        <w:t xml:space="preserve">sécurité intérieure avance </w:t>
      </w:r>
      <w:r w:rsidRPr="003B41CB">
        <w:t>avec l’émission de 16 348 visa</w:t>
      </w:r>
      <w:r w:rsidR="005A73A2">
        <w:t>s</w:t>
      </w:r>
      <w:r w:rsidRPr="003B41CB">
        <w:t xml:space="preserve"> sur 15 000 prévus sur l</w:t>
      </w:r>
      <w:r w:rsidR="005A73A2">
        <w:t>a</w:t>
      </w:r>
      <w:r w:rsidRPr="003B41CB">
        <w:t xml:space="preserve"> plateforme </w:t>
      </w:r>
      <w:r w:rsidR="002F172C">
        <w:t>e</w:t>
      </w:r>
      <w:r w:rsidRPr="003B41CB">
        <w:t xml:space="preserve">-visa, l’interconnexion de 28 services de sécurité à </w:t>
      </w:r>
      <w:r w:rsidR="005A73A2">
        <w:t xml:space="preserve">la plateforme </w:t>
      </w:r>
      <w:r w:rsidRPr="003B41CB">
        <w:t>IRAPOL sur 25 prévus et les réalisations dans le cadre du projet SMART Burkina Faso de 50% d</w:t>
      </w:r>
      <w:r w:rsidR="00271B99">
        <w:t>es</w:t>
      </w:r>
      <w:r w:rsidRPr="003B41CB">
        <w:t xml:space="preserve"> réseau</w:t>
      </w:r>
      <w:r w:rsidR="00271B99">
        <w:t>x</w:t>
      </w:r>
      <w:r w:rsidRPr="003B41CB">
        <w:t xml:space="preserve"> </w:t>
      </w:r>
      <w:proofErr w:type="spellStart"/>
      <w:r w:rsidRPr="003B41CB">
        <w:t>backbone</w:t>
      </w:r>
      <w:proofErr w:type="spellEnd"/>
      <w:r w:rsidRPr="003B41CB">
        <w:t xml:space="preserve"> et métropolitains et </w:t>
      </w:r>
      <w:r w:rsidR="00271B99">
        <w:t xml:space="preserve">la fonctionnalité de 100% </w:t>
      </w:r>
      <w:r w:rsidRPr="003B41CB">
        <w:t>de sites caméras pour de</w:t>
      </w:r>
      <w:r w:rsidR="001714CB">
        <w:t>s</w:t>
      </w:r>
      <w:r w:rsidRPr="003B41CB">
        <w:t xml:space="preserve"> cibles respectives de 60% et 100%</w:t>
      </w:r>
      <w:r w:rsidR="00271B99">
        <w:t>.</w:t>
      </w:r>
    </w:p>
    <w:p w14:paraId="44FCAB0D" w14:textId="77777777" w:rsidR="005A73A2" w:rsidRPr="00345EBE" w:rsidRDefault="005A73A2" w:rsidP="005A73A2">
      <w:pPr>
        <w:numPr>
          <w:ilvl w:val="0"/>
          <w:numId w:val="8"/>
        </w:numPr>
        <w:shd w:val="clear" w:color="auto" w:fill="FFFFFF"/>
        <w:spacing w:before="120" w:after="120" w:line="240" w:lineRule="auto"/>
        <w:ind w:left="0"/>
      </w:pPr>
      <w:r w:rsidRPr="00345EBE">
        <w:t xml:space="preserve">Sur le plan financier, au total, 64 330 653 000 FCFA ont été exécutés sur une prévision de 75 192 606 000 FCFA dans le cadre de la mise en œuvre de cette action, soit un taux d’exécution financière de 85,55%. </w:t>
      </w:r>
    </w:p>
    <w:p w14:paraId="7E17C9DB" w14:textId="0801B2E3" w:rsidR="003B41CB" w:rsidRPr="003B41CB" w:rsidRDefault="003B41CB" w:rsidP="00F175A7">
      <w:pPr>
        <w:numPr>
          <w:ilvl w:val="0"/>
          <w:numId w:val="8"/>
        </w:numPr>
        <w:shd w:val="clear" w:color="auto" w:fill="FFFFFF"/>
        <w:spacing w:before="120" w:after="120" w:line="240" w:lineRule="auto"/>
        <w:ind w:left="0"/>
      </w:pPr>
      <w:r w:rsidRPr="003B41CB">
        <w:t xml:space="preserve">La troisième action de ce pilier est relative à « </w:t>
      </w:r>
      <w:r w:rsidRPr="00F175A7">
        <w:rPr>
          <w:b/>
        </w:rPr>
        <w:t>l’intensification de la lutte contre la criminalité et le grand banditisme (01003)</w:t>
      </w:r>
      <w:r w:rsidRPr="003B41CB">
        <w:t xml:space="preserve"> ». Mise en œuvre par le CSD-DS, les efforts engagés en 2023 ont permis certes</w:t>
      </w:r>
      <w:r w:rsidR="001714CB">
        <w:t>,</w:t>
      </w:r>
      <w:r w:rsidRPr="003B41CB">
        <w:t xml:space="preserve"> de faire baisser le nombre d’agressions/attaques à main </w:t>
      </w:r>
      <w:r w:rsidRPr="003B41CB">
        <w:lastRenderedPageBreak/>
        <w:t>armée enregistré sur le territoire</w:t>
      </w:r>
      <w:r w:rsidR="00271B99">
        <w:t>, toutefois</w:t>
      </w:r>
      <w:r w:rsidRPr="003B41CB">
        <w:t xml:space="preserve"> l’évolution des infractions demeure croissante. Au 31 décembre 2023, le nombre d’agression</w:t>
      </w:r>
      <w:r w:rsidR="00032998">
        <w:t>s</w:t>
      </w:r>
      <w:r w:rsidRPr="003B41CB">
        <w:t xml:space="preserve"> est passé de 832 cas en 2022 à 655 en 2023, soit une baisse de 21% tandis que les crimes et délits enregistrés par les services de la </w:t>
      </w:r>
      <w:r w:rsidR="001714CB">
        <w:t>p</w:t>
      </w:r>
      <w:r w:rsidRPr="003B41CB">
        <w:t xml:space="preserve">olice et la </w:t>
      </w:r>
      <w:r w:rsidR="001714CB">
        <w:t>g</w:t>
      </w:r>
      <w:r w:rsidRPr="003B41CB">
        <w:t>endarmerie ont connu une hausse de 2,5%, passant de 79 368 cas en 2022 à 81 376 cas enregistrés en 2023.</w:t>
      </w:r>
    </w:p>
    <w:p w14:paraId="71A7D509" w14:textId="77777777" w:rsidR="003B41CB" w:rsidRPr="003B41CB" w:rsidRDefault="003B41CB" w:rsidP="00F175A7">
      <w:pPr>
        <w:numPr>
          <w:ilvl w:val="0"/>
          <w:numId w:val="8"/>
        </w:numPr>
        <w:shd w:val="clear" w:color="auto" w:fill="FFFFFF"/>
        <w:spacing w:before="120" w:after="120" w:line="240" w:lineRule="auto"/>
        <w:ind w:left="0"/>
      </w:pPr>
      <w:r w:rsidRPr="003B41CB">
        <w:t>Les niveaux de réalisation de ces indicateurs d’action s’expliquent par la mise en œuvre des extrants déclinés dans le tableau ci-dessous.</w:t>
      </w:r>
    </w:p>
    <w:p w14:paraId="4EA4AB7C" w14:textId="112CF19E" w:rsidR="003B41CB" w:rsidRPr="00CB5B50" w:rsidRDefault="00CB5B50" w:rsidP="003B41CB">
      <w:pPr>
        <w:shd w:val="clear" w:color="auto" w:fill="FFFFFF"/>
        <w:spacing w:before="240" w:after="240" w:line="240" w:lineRule="auto"/>
        <w:rPr>
          <w:sz w:val="22"/>
        </w:rPr>
      </w:pPr>
      <w:bookmarkStart w:id="27" w:name="_Toc164503593"/>
      <w:r w:rsidRPr="00CB5B50">
        <w:rPr>
          <w:b/>
          <w:bCs/>
          <w:sz w:val="22"/>
          <w:u w:val="single"/>
        </w:rPr>
        <w:t xml:space="preserve">Tableau </w:t>
      </w:r>
      <w:r w:rsidRPr="00CB5B50">
        <w:rPr>
          <w:b/>
          <w:bCs/>
          <w:sz w:val="22"/>
          <w:u w:val="single"/>
        </w:rPr>
        <w:fldChar w:fldCharType="begin"/>
      </w:r>
      <w:r w:rsidRPr="00CB5B50">
        <w:rPr>
          <w:b/>
          <w:bCs/>
          <w:sz w:val="22"/>
          <w:u w:val="single"/>
        </w:rPr>
        <w:instrText xml:space="preserve"> SEQ Tableau \* ARABIC </w:instrText>
      </w:r>
      <w:r w:rsidRPr="00CB5B50">
        <w:rPr>
          <w:b/>
          <w:bCs/>
          <w:sz w:val="22"/>
          <w:u w:val="single"/>
        </w:rPr>
        <w:fldChar w:fldCharType="separate"/>
      </w:r>
      <w:r w:rsidR="007C2E4E">
        <w:rPr>
          <w:b/>
          <w:bCs/>
          <w:noProof/>
          <w:sz w:val="22"/>
          <w:u w:val="single"/>
        </w:rPr>
        <w:t>6</w:t>
      </w:r>
      <w:r w:rsidRPr="00CB5B50">
        <w:rPr>
          <w:b/>
          <w:bCs/>
          <w:sz w:val="22"/>
          <w:u w:val="single"/>
        </w:rPr>
        <w:fldChar w:fldCharType="end"/>
      </w:r>
      <w:r w:rsidR="003B41CB" w:rsidRPr="00CB5B50">
        <w:rPr>
          <w:sz w:val="22"/>
        </w:rPr>
        <w:t>: situation des indicateurs de produits de l’action « intensification de la lutte contre la criminalité et le grand banditisme »</w:t>
      </w:r>
      <w:bookmarkEnd w:id="27"/>
    </w:p>
    <w:tbl>
      <w:tblPr>
        <w:tblStyle w:val="TableauGrille4-Accentuation119"/>
        <w:tblW w:w="5000" w:type="pct"/>
        <w:tblLook w:val="04A0" w:firstRow="1" w:lastRow="0" w:firstColumn="1" w:lastColumn="0" w:noHBand="0" w:noVBand="1"/>
      </w:tblPr>
      <w:tblGrid>
        <w:gridCol w:w="4675"/>
        <w:gridCol w:w="1417"/>
        <w:gridCol w:w="1417"/>
        <w:gridCol w:w="1507"/>
      </w:tblGrid>
      <w:tr w:rsidR="003B41CB" w:rsidRPr="00F175A7" w14:paraId="12C8051C" w14:textId="77777777" w:rsidTr="009A28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2" w:type="pct"/>
          </w:tcPr>
          <w:p w14:paraId="1E539F92" w14:textId="4B3F2C9D" w:rsidR="003B41CB" w:rsidRPr="0068624E" w:rsidRDefault="003B41CB" w:rsidP="00F175A7">
            <w:pPr>
              <w:spacing w:after="0" w:line="240" w:lineRule="auto"/>
              <w:ind w:firstLine="0"/>
            </w:pPr>
            <w:r w:rsidRPr="00F175A7">
              <w:rPr>
                <w:rFonts w:eastAsia="Times New Roman" w:cs="Times New Roman"/>
              </w:rPr>
              <w:t xml:space="preserve">Indicateurs </w:t>
            </w:r>
          </w:p>
        </w:tc>
        <w:tc>
          <w:tcPr>
            <w:tcW w:w="786" w:type="pct"/>
          </w:tcPr>
          <w:p w14:paraId="091D709F" w14:textId="77777777" w:rsidR="003B41CB" w:rsidRPr="0068624E"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rPr>
                <w:rFonts w:eastAsia="Times New Roman" w:cs="Times New Roman"/>
              </w:rPr>
              <w:t>Réal. 2022</w:t>
            </w:r>
          </w:p>
        </w:tc>
        <w:tc>
          <w:tcPr>
            <w:tcW w:w="786" w:type="pct"/>
          </w:tcPr>
          <w:p w14:paraId="4976294D" w14:textId="77777777" w:rsidR="003B41CB" w:rsidRPr="0068624E"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rPr>
                <w:rFonts w:eastAsia="Times New Roman" w:cs="Times New Roman"/>
              </w:rPr>
              <w:t>Réal. 2023</w:t>
            </w:r>
          </w:p>
        </w:tc>
        <w:tc>
          <w:tcPr>
            <w:tcW w:w="836" w:type="pct"/>
          </w:tcPr>
          <w:p w14:paraId="551B48E3" w14:textId="77777777" w:rsidR="003B41CB" w:rsidRPr="0068624E"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rPr>
                <w:rFonts w:eastAsia="Times New Roman" w:cs="Times New Roman"/>
              </w:rPr>
              <w:t>Cible 2023</w:t>
            </w:r>
          </w:p>
        </w:tc>
      </w:tr>
      <w:tr w:rsidR="003B41CB" w:rsidRPr="00F175A7" w14:paraId="35CAE4B7" w14:textId="77777777" w:rsidTr="009A2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pct"/>
          </w:tcPr>
          <w:p w14:paraId="1E78B214" w14:textId="77777777" w:rsidR="003B41CB" w:rsidRPr="0068624E" w:rsidRDefault="003B41CB" w:rsidP="00F175A7">
            <w:pPr>
              <w:spacing w:after="0" w:line="240" w:lineRule="auto"/>
              <w:ind w:firstLine="0"/>
            </w:pPr>
            <w:r w:rsidRPr="00F175A7">
              <w:rPr>
                <w:rFonts w:eastAsia="Times New Roman" w:cs="Times New Roman"/>
              </w:rPr>
              <w:t>Nombre de patrouilles de sécurisation organisées</w:t>
            </w:r>
          </w:p>
        </w:tc>
        <w:tc>
          <w:tcPr>
            <w:tcW w:w="786" w:type="pct"/>
          </w:tcPr>
          <w:p w14:paraId="175477DE"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51 966</w:t>
            </w:r>
          </w:p>
        </w:tc>
        <w:tc>
          <w:tcPr>
            <w:tcW w:w="786" w:type="pct"/>
          </w:tcPr>
          <w:p w14:paraId="1E8747E2"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75 684</w:t>
            </w:r>
          </w:p>
        </w:tc>
        <w:tc>
          <w:tcPr>
            <w:tcW w:w="836" w:type="pct"/>
          </w:tcPr>
          <w:p w14:paraId="46DD6079"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70 000</w:t>
            </w:r>
          </w:p>
        </w:tc>
      </w:tr>
      <w:tr w:rsidR="003B41CB" w:rsidRPr="00F175A7" w14:paraId="7BC45ABA" w14:textId="77777777" w:rsidTr="009A288B">
        <w:tc>
          <w:tcPr>
            <w:cnfStyle w:val="001000000000" w:firstRow="0" w:lastRow="0" w:firstColumn="1" w:lastColumn="0" w:oddVBand="0" w:evenVBand="0" w:oddHBand="0" w:evenHBand="0" w:firstRowFirstColumn="0" w:firstRowLastColumn="0" w:lastRowFirstColumn="0" w:lastRowLastColumn="0"/>
            <w:tcW w:w="2592" w:type="pct"/>
          </w:tcPr>
          <w:p w14:paraId="43B50364" w14:textId="195138B7" w:rsidR="003B41CB" w:rsidRPr="0068624E" w:rsidRDefault="003B41CB" w:rsidP="00F175A7">
            <w:pPr>
              <w:spacing w:after="0" w:line="240" w:lineRule="auto"/>
              <w:ind w:firstLine="0"/>
            </w:pPr>
            <w:r w:rsidRPr="00F175A7">
              <w:rPr>
                <w:rFonts w:eastAsia="Times New Roman" w:cs="Times New Roman"/>
              </w:rPr>
              <w:t>Nombre de patrouilles de sécurisation des massifs forestiers effectué</w:t>
            </w:r>
            <w:r w:rsidR="001714CB">
              <w:rPr>
                <w:rFonts w:eastAsia="Times New Roman" w:cs="Times New Roman"/>
              </w:rPr>
              <w:t>e</w:t>
            </w:r>
            <w:r w:rsidRPr="00F175A7">
              <w:rPr>
                <w:rFonts w:eastAsia="Times New Roman" w:cs="Times New Roman"/>
              </w:rPr>
              <w:t>s</w:t>
            </w:r>
          </w:p>
        </w:tc>
        <w:tc>
          <w:tcPr>
            <w:tcW w:w="786" w:type="pct"/>
          </w:tcPr>
          <w:p w14:paraId="124FF50A"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15 291</w:t>
            </w:r>
          </w:p>
        </w:tc>
        <w:tc>
          <w:tcPr>
            <w:tcW w:w="786" w:type="pct"/>
          </w:tcPr>
          <w:p w14:paraId="20782EB7"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10 208</w:t>
            </w:r>
          </w:p>
        </w:tc>
        <w:tc>
          <w:tcPr>
            <w:tcW w:w="836" w:type="pct"/>
          </w:tcPr>
          <w:p w14:paraId="3DA4F128"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20 000</w:t>
            </w:r>
          </w:p>
        </w:tc>
      </w:tr>
    </w:tbl>
    <w:p w14:paraId="09CD9C70" w14:textId="4F74DCDA"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 </w:t>
      </w:r>
      <w:r w:rsidR="00603CB3">
        <w:rPr>
          <w:rFonts w:eastAsia="Times New Roman" w:cs="Times New Roman"/>
          <w:sz w:val="20"/>
          <w:szCs w:val="20"/>
        </w:rPr>
        <w:t xml:space="preserve">annuel </w:t>
      </w:r>
      <w:r w:rsidRPr="008D20C6">
        <w:rPr>
          <w:rFonts w:eastAsia="Times New Roman" w:cs="Times New Roman"/>
          <w:sz w:val="20"/>
          <w:szCs w:val="20"/>
        </w:rPr>
        <w:t>de performance 2023 du CSD-DS, février 2024</w:t>
      </w:r>
    </w:p>
    <w:p w14:paraId="2FF731C1" w14:textId="5657FC22" w:rsidR="003B41CB" w:rsidRPr="008139E1" w:rsidRDefault="003B41CB" w:rsidP="00F175A7">
      <w:pPr>
        <w:numPr>
          <w:ilvl w:val="0"/>
          <w:numId w:val="8"/>
        </w:numPr>
        <w:shd w:val="clear" w:color="auto" w:fill="FFFFFF"/>
        <w:spacing w:before="120" w:after="120" w:line="240" w:lineRule="auto"/>
        <w:ind w:left="0"/>
      </w:pPr>
      <w:r w:rsidRPr="003B41CB">
        <w:t>Au terme de l’année 2023, même si l’ensemble des opérations planifiées ont été engagé</w:t>
      </w:r>
      <w:r w:rsidR="001714CB">
        <w:t>e</w:t>
      </w:r>
      <w:r w:rsidRPr="003B41CB">
        <w:t xml:space="preserve">s, seule celle ayant trait à l’organisation des patrouilles de sécurisation est au-delà de la cible visée de 70 000 patrouilles. Cette performance s’explique en sus des activités classiques de sécurisation par l’opérationnalisation des orientations de </w:t>
      </w:r>
      <w:r w:rsidR="00032998">
        <w:t>S</w:t>
      </w:r>
      <w:r w:rsidRPr="003B41CB">
        <w:t xml:space="preserve">on Excellence Monsieur le Premier </w:t>
      </w:r>
      <w:r w:rsidR="001714CB">
        <w:t>m</w:t>
      </w:r>
      <w:r w:rsidRPr="00573E86">
        <w:t xml:space="preserve">inistre visant à renforcer les patrouilles de nuit dans les quartiers populaires et les zones non loties. En revanche, les opérations de sécurisation des massifs forestiers enregistrent </w:t>
      </w:r>
      <w:r w:rsidR="007D1D1B" w:rsidRPr="00573E86">
        <w:t xml:space="preserve">un </w:t>
      </w:r>
      <w:r w:rsidRPr="00573E86">
        <w:t xml:space="preserve">niveau d’exécution de </w:t>
      </w:r>
      <w:r w:rsidR="007D1D1B" w:rsidRPr="00573E86">
        <w:t>51</w:t>
      </w:r>
      <w:r w:rsidRPr="00573E86">
        <w:t>%</w:t>
      </w:r>
      <w:r w:rsidR="007D1D1B" w:rsidRPr="00573E86">
        <w:t xml:space="preserve">, dû </w:t>
      </w:r>
      <w:r w:rsidR="001714CB">
        <w:t xml:space="preserve">à </w:t>
      </w:r>
      <w:r w:rsidR="007D1D1B" w:rsidRPr="00573E86">
        <w:t xml:space="preserve">l’insuffisance des </w:t>
      </w:r>
      <w:r w:rsidR="00AE1A65">
        <w:t>ressources financières allouées</w:t>
      </w:r>
      <w:r w:rsidR="007D1D1B" w:rsidRPr="008139E1">
        <w:t>.</w:t>
      </w:r>
    </w:p>
    <w:p w14:paraId="393C9460" w14:textId="4DD8A076" w:rsidR="003B41CB" w:rsidRPr="008139E1" w:rsidRDefault="003B41CB" w:rsidP="00F175A7">
      <w:pPr>
        <w:numPr>
          <w:ilvl w:val="0"/>
          <w:numId w:val="8"/>
        </w:numPr>
        <w:shd w:val="clear" w:color="auto" w:fill="FFFFFF"/>
        <w:spacing w:before="120" w:after="120" w:line="240" w:lineRule="auto"/>
        <w:ind w:left="0"/>
      </w:pPr>
      <w:r w:rsidRPr="00573E86">
        <w:t>En termes d’engagement financier pour cette action, 1 120 388 000 FCFA ont été exécutés pour une prévision de 800 000 000 FCFA, soit un taux d’exécution de 140,05%</w:t>
      </w:r>
      <w:r w:rsidR="00CE58E0" w:rsidRPr="00573E86">
        <w:t>. Ce taux s’</w:t>
      </w:r>
      <w:r w:rsidR="00CE58E0" w:rsidRPr="008139E1">
        <w:t>explique par le réaménagement budgétaire pour la prise en charge des opérations de patrouille au niveau de la DGPN passant de 300 000 000 FCFA à 846 750 000 FCFA.</w:t>
      </w:r>
      <w:r w:rsidRPr="00573E86">
        <w:t xml:space="preserve"> </w:t>
      </w:r>
    </w:p>
    <w:p w14:paraId="641509DA" w14:textId="18C85FB6" w:rsidR="003B41CB" w:rsidRPr="003B41CB" w:rsidRDefault="003B41CB" w:rsidP="00F175A7">
      <w:pPr>
        <w:numPr>
          <w:ilvl w:val="0"/>
          <w:numId w:val="8"/>
        </w:numPr>
        <w:shd w:val="clear" w:color="auto" w:fill="FFFFFF"/>
        <w:spacing w:before="120" w:after="120" w:line="240" w:lineRule="auto"/>
        <w:ind w:left="0"/>
      </w:pPr>
      <w:r w:rsidRPr="003B41CB">
        <w:t xml:space="preserve">La quatrième action porte sur </w:t>
      </w:r>
      <w:r w:rsidRPr="00F175A7">
        <w:rPr>
          <w:b/>
        </w:rPr>
        <w:t>la « réinstallation des services de l'</w:t>
      </w:r>
      <w:r w:rsidR="001714CB">
        <w:rPr>
          <w:b/>
        </w:rPr>
        <w:t>E</w:t>
      </w:r>
      <w:r w:rsidRPr="00F175A7">
        <w:rPr>
          <w:b/>
        </w:rPr>
        <w:t xml:space="preserve">tat dans les localités libérées de l'emprise des groupes </w:t>
      </w:r>
      <w:r w:rsidR="001714CB">
        <w:rPr>
          <w:b/>
        </w:rPr>
        <w:t>a</w:t>
      </w:r>
      <w:r w:rsidRPr="00F175A7">
        <w:rPr>
          <w:b/>
        </w:rPr>
        <w:t xml:space="preserve">rmés </w:t>
      </w:r>
      <w:r w:rsidR="001714CB">
        <w:rPr>
          <w:b/>
        </w:rPr>
        <w:t>t</w:t>
      </w:r>
      <w:r w:rsidRPr="00F175A7">
        <w:rPr>
          <w:b/>
        </w:rPr>
        <w:t>erroristes » (01004)</w:t>
      </w:r>
      <w:r w:rsidRPr="003B41CB">
        <w:t xml:space="preserve">. Mise </w:t>
      </w:r>
      <w:r w:rsidRPr="00573E86">
        <w:t>en œuvre par les CSD</w:t>
      </w:r>
      <w:r w:rsidR="001714CB">
        <w:t>-</w:t>
      </w:r>
      <w:r w:rsidRPr="00573E86">
        <w:t>DS et GE, les effets de l’action se sont traduit</w:t>
      </w:r>
      <w:r w:rsidR="001714CB">
        <w:t>s</w:t>
      </w:r>
      <w:r w:rsidRPr="00573E86">
        <w:t xml:space="preserve"> par la réinstallation de </w:t>
      </w:r>
      <w:r w:rsidRPr="008139E1">
        <w:t xml:space="preserve">8 nouveaux services publics au </w:t>
      </w:r>
      <w:r w:rsidR="0065640B" w:rsidRPr="008139E1">
        <w:t>31 décembre</w:t>
      </w:r>
      <w:r w:rsidRPr="008139E1">
        <w:t xml:space="preserve"> 2023 </w:t>
      </w:r>
      <w:r w:rsidRPr="00573E86">
        <w:t xml:space="preserve">même </w:t>
      </w:r>
      <w:r w:rsidR="0065640B" w:rsidRPr="00573E86">
        <w:t xml:space="preserve">si </w:t>
      </w:r>
      <w:r w:rsidRPr="00573E86">
        <w:t xml:space="preserve">les données se rapportant au </w:t>
      </w:r>
      <w:r w:rsidRPr="003B41CB">
        <w:t>nombre de localités libérées et dont les services publics sont fonctionnels ne sont pas encore disponibles.</w:t>
      </w:r>
    </w:p>
    <w:p w14:paraId="1627EE61" w14:textId="764DEEC0" w:rsidR="003B41CB" w:rsidRPr="003B41CB" w:rsidRDefault="003B41CB" w:rsidP="00F175A7">
      <w:pPr>
        <w:numPr>
          <w:ilvl w:val="0"/>
          <w:numId w:val="8"/>
        </w:numPr>
        <w:shd w:val="clear" w:color="auto" w:fill="FFFFFF"/>
        <w:spacing w:before="120" w:after="120" w:line="240" w:lineRule="auto"/>
        <w:ind w:left="0"/>
      </w:pPr>
      <w:r w:rsidRPr="003B41CB">
        <w:t xml:space="preserve">Néanmoins, les progrès tangibles enregistrés au 31 </w:t>
      </w:r>
      <w:r w:rsidR="001714CB">
        <w:t>d</w:t>
      </w:r>
      <w:r w:rsidRPr="003B41CB">
        <w:t xml:space="preserve">écembre 2023 sont entre autres : (i) l’opérationnalisation de 06 services de </w:t>
      </w:r>
      <w:r w:rsidR="001714CB">
        <w:t>p</w:t>
      </w:r>
      <w:r w:rsidRPr="003B41CB">
        <w:t>olice fermés pour cause de terrorisme</w:t>
      </w:r>
      <w:r w:rsidR="001714CB">
        <w:t>,</w:t>
      </w:r>
      <w:r w:rsidRPr="003B41CB">
        <w:t xml:space="preserve"> notamment ceux de </w:t>
      </w:r>
      <w:proofErr w:type="spellStart"/>
      <w:r w:rsidRPr="003B41CB">
        <w:t>Solenzo</w:t>
      </w:r>
      <w:proofErr w:type="spellEnd"/>
      <w:r w:rsidR="001714CB">
        <w:t>,</w:t>
      </w:r>
      <w:r w:rsidRPr="003B41CB">
        <w:t xml:space="preserve"> </w:t>
      </w:r>
      <w:proofErr w:type="spellStart"/>
      <w:r w:rsidRPr="003B41CB">
        <w:t>Bagaré</w:t>
      </w:r>
      <w:proofErr w:type="spellEnd"/>
      <w:r w:rsidR="001714CB">
        <w:t>,</w:t>
      </w:r>
      <w:r w:rsidRPr="003B41CB">
        <w:t xml:space="preserve"> </w:t>
      </w:r>
      <w:proofErr w:type="spellStart"/>
      <w:r w:rsidRPr="003B41CB">
        <w:t>Mané</w:t>
      </w:r>
      <w:proofErr w:type="spellEnd"/>
      <w:r w:rsidR="001714CB">
        <w:t>,</w:t>
      </w:r>
      <w:r w:rsidRPr="003B41CB">
        <w:t xml:space="preserve"> </w:t>
      </w:r>
      <w:proofErr w:type="spellStart"/>
      <w:r w:rsidRPr="003B41CB">
        <w:t>Yamba</w:t>
      </w:r>
      <w:proofErr w:type="spellEnd"/>
      <w:r w:rsidRPr="003B41CB">
        <w:t xml:space="preserve">, </w:t>
      </w:r>
      <w:proofErr w:type="spellStart"/>
      <w:r w:rsidRPr="003B41CB">
        <w:t>Seytenga</w:t>
      </w:r>
      <w:proofErr w:type="spellEnd"/>
      <w:r w:rsidRPr="003B41CB">
        <w:t xml:space="preserve"> et Djibasso ; (ii) la réouverture de trois (3) BT (</w:t>
      </w:r>
      <w:proofErr w:type="spellStart"/>
      <w:r w:rsidRPr="003B41CB">
        <w:t>Ouo</w:t>
      </w:r>
      <w:proofErr w:type="spellEnd"/>
      <w:r w:rsidRPr="003B41CB">
        <w:t xml:space="preserve">, </w:t>
      </w:r>
      <w:proofErr w:type="spellStart"/>
      <w:r w:rsidRPr="003B41CB">
        <w:t>Falangoutou</w:t>
      </w:r>
      <w:proofErr w:type="spellEnd"/>
      <w:r w:rsidRPr="003B41CB">
        <w:t xml:space="preserve"> et </w:t>
      </w:r>
      <w:proofErr w:type="spellStart"/>
      <w:r w:rsidRPr="003B41CB">
        <w:t>Solenzo</w:t>
      </w:r>
      <w:proofErr w:type="spellEnd"/>
      <w:r w:rsidRPr="003B41CB">
        <w:t>), de cinq (5) sièges de circonscription administrative (</w:t>
      </w:r>
      <w:proofErr w:type="spellStart"/>
      <w:r w:rsidRPr="003B41CB">
        <w:t>Barsalogho</w:t>
      </w:r>
      <w:proofErr w:type="spellEnd"/>
      <w:r w:rsidR="001714CB">
        <w:t>,</w:t>
      </w:r>
      <w:r w:rsidRPr="003B41CB">
        <w:t xml:space="preserve"> </w:t>
      </w:r>
      <w:proofErr w:type="spellStart"/>
      <w:r w:rsidRPr="003B41CB">
        <w:t>Pisila</w:t>
      </w:r>
      <w:proofErr w:type="spellEnd"/>
      <w:r w:rsidRPr="003B41CB">
        <w:t xml:space="preserve">, </w:t>
      </w:r>
      <w:proofErr w:type="spellStart"/>
      <w:r w:rsidRPr="003B41CB">
        <w:t>Pibaoré</w:t>
      </w:r>
      <w:proofErr w:type="spellEnd"/>
      <w:r w:rsidR="001714CB">
        <w:t>,</w:t>
      </w:r>
      <w:r w:rsidRPr="003B41CB">
        <w:t xml:space="preserve"> </w:t>
      </w:r>
      <w:proofErr w:type="spellStart"/>
      <w:r w:rsidRPr="003B41CB">
        <w:t>Solenzo</w:t>
      </w:r>
      <w:proofErr w:type="spellEnd"/>
      <w:r w:rsidRPr="003B41CB">
        <w:t xml:space="preserve"> et </w:t>
      </w:r>
      <w:proofErr w:type="spellStart"/>
      <w:r w:rsidRPr="003B41CB">
        <w:t>Mané</w:t>
      </w:r>
      <w:proofErr w:type="spellEnd"/>
      <w:r w:rsidRPr="003B41CB">
        <w:t>), d’un(01) siège de collectivité territoriale (</w:t>
      </w:r>
      <w:r w:rsidR="001714CB">
        <w:t>m</w:t>
      </w:r>
      <w:r w:rsidRPr="003B41CB">
        <w:t xml:space="preserve">airie de </w:t>
      </w:r>
      <w:proofErr w:type="spellStart"/>
      <w:r w:rsidRPr="003B41CB">
        <w:t>Solenzo</w:t>
      </w:r>
      <w:proofErr w:type="spellEnd"/>
      <w:r w:rsidRPr="003B41CB">
        <w:t>) et de deux (2) juridictions (</w:t>
      </w:r>
      <w:proofErr w:type="spellStart"/>
      <w:r w:rsidRPr="003B41CB">
        <w:t>Dori</w:t>
      </w:r>
      <w:proofErr w:type="spellEnd"/>
      <w:r w:rsidRPr="003B41CB">
        <w:t xml:space="preserve"> et </w:t>
      </w:r>
      <w:proofErr w:type="spellStart"/>
      <w:r w:rsidRPr="003B41CB">
        <w:t>Djibo</w:t>
      </w:r>
      <w:proofErr w:type="spellEnd"/>
      <w:r w:rsidR="001714CB">
        <w:t>)</w:t>
      </w:r>
      <w:r w:rsidRPr="003B41CB">
        <w:t xml:space="preserve"> ; (iii) la réouverture de dix (10) circonscriptions administratives (La-</w:t>
      </w:r>
      <w:proofErr w:type="spellStart"/>
      <w:r w:rsidRPr="003B41CB">
        <w:t>Todin</w:t>
      </w:r>
      <w:proofErr w:type="spellEnd"/>
      <w:r w:rsidR="001714CB">
        <w:t>,</w:t>
      </w:r>
      <w:r w:rsidRPr="003B41CB">
        <w:t xml:space="preserve"> </w:t>
      </w:r>
      <w:proofErr w:type="spellStart"/>
      <w:r w:rsidRPr="003B41CB">
        <w:t>Bagaré</w:t>
      </w:r>
      <w:proofErr w:type="spellEnd"/>
      <w:r w:rsidR="001714CB">
        <w:t>,</w:t>
      </w:r>
      <w:r w:rsidRPr="003B41CB">
        <w:t xml:space="preserve"> </w:t>
      </w:r>
      <w:proofErr w:type="spellStart"/>
      <w:r w:rsidRPr="003B41CB">
        <w:t>Boussou</w:t>
      </w:r>
      <w:proofErr w:type="spellEnd"/>
      <w:r w:rsidR="001714CB">
        <w:t>,</w:t>
      </w:r>
      <w:r w:rsidRPr="003B41CB">
        <w:t xml:space="preserve"> Leba</w:t>
      </w:r>
      <w:r w:rsidR="001714CB">
        <w:t>,</w:t>
      </w:r>
      <w:r w:rsidRPr="003B41CB">
        <w:t xml:space="preserve"> </w:t>
      </w:r>
      <w:proofErr w:type="spellStart"/>
      <w:r w:rsidRPr="003B41CB">
        <w:t>Tangaye</w:t>
      </w:r>
      <w:proofErr w:type="spellEnd"/>
      <w:r w:rsidR="001714CB">
        <w:t>,</w:t>
      </w:r>
      <w:r w:rsidRPr="003B41CB">
        <w:t xml:space="preserve"> </w:t>
      </w:r>
      <w:proofErr w:type="spellStart"/>
      <w:r w:rsidRPr="003B41CB">
        <w:t>Oula</w:t>
      </w:r>
      <w:proofErr w:type="spellEnd"/>
      <w:r w:rsidR="001714CB">
        <w:t>,</w:t>
      </w:r>
      <w:r w:rsidRPr="003B41CB">
        <w:t xml:space="preserve"> </w:t>
      </w:r>
      <w:proofErr w:type="spellStart"/>
      <w:r w:rsidRPr="003B41CB">
        <w:t>Mangodara</w:t>
      </w:r>
      <w:proofErr w:type="spellEnd"/>
      <w:r w:rsidR="001714CB">
        <w:t>,</w:t>
      </w:r>
      <w:r w:rsidRPr="003B41CB">
        <w:t xml:space="preserve"> Sidéradougou</w:t>
      </w:r>
      <w:r w:rsidR="001714CB">
        <w:t xml:space="preserve">, </w:t>
      </w:r>
      <w:proofErr w:type="spellStart"/>
      <w:r w:rsidRPr="003B41CB">
        <w:t>Barsalogho</w:t>
      </w:r>
      <w:proofErr w:type="spellEnd"/>
      <w:r w:rsidR="001714CB">
        <w:t xml:space="preserve">, </w:t>
      </w:r>
      <w:proofErr w:type="spellStart"/>
      <w:r w:rsidRPr="003B41CB">
        <w:t>Pisila</w:t>
      </w:r>
      <w:proofErr w:type="spellEnd"/>
      <w:r w:rsidRPr="003B41CB">
        <w:t xml:space="preserve">, </w:t>
      </w:r>
      <w:proofErr w:type="spellStart"/>
      <w:r w:rsidRPr="003B41CB">
        <w:t>Pibaoré</w:t>
      </w:r>
      <w:proofErr w:type="spellEnd"/>
      <w:r w:rsidR="001714CB">
        <w:t xml:space="preserve">, </w:t>
      </w:r>
      <w:proofErr w:type="spellStart"/>
      <w:r w:rsidRPr="003B41CB">
        <w:t>Mané</w:t>
      </w:r>
      <w:proofErr w:type="spellEnd"/>
      <w:r w:rsidR="001714CB">
        <w:t>,</w:t>
      </w:r>
      <w:r w:rsidRPr="003B41CB">
        <w:t xml:space="preserve"> </w:t>
      </w:r>
      <w:proofErr w:type="spellStart"/>
      <w:r w:rsidRPr="003B41CB">
        <w:t>Ouo</w:t>
      </w:r>
      <w:proofErr w:type="spellEnd"/>
      <w:r w:rsidR="001714CB">
        <w:t>,</w:t>
      </w:r>
      <w:r w:rsidRPr="003B41CB">
        <w:t xml:space="preserve"> </w:t>
      </w:r>
      <w:proofErr w:type="spellStart"/>
      <w:r w:rsidRPr="003B41CB">
        <w:t>Bilanga</w:t>
      </w:r>
      <w:proofErr w:type="spellEnd"/>
      <w:r w:rsidR="001714CB">
        <w:t xml:space="preserve">, </w:t>
      </w:r>
      <w:proofErr w:type="spellStart"/>
      <w:r w:rsidRPr="003B41CB">
        <w:t>Bogandé</w:t>
      </w:r>
      <w:proofErr w:type="spellEnd"/>
      <w:r w:rsidR="001714CB">
        <w:t>,</w:t>
      </w:r>
      <w:r w:rsidRPr="003B41CB">
        <w:t xml:space="preserve"> </w:t>
      </w:r>
      <w:proofErr w:type="spellStart"/>
      <w:r w:rsidRPr="003B41CB">
        <w:lastRenderedPageBreak/>
        <w:t>Lankoué</w:t>
      </w:r>
      <w:proofErr w:type="spellEnd"/>
      <w:r w:rsidR="001714CB">
        <w:t>,</w:t>
      </w:r>
      <w:r w:rsidRPr="003B41CB">
        <w:t xml:space="preserve"> </w:t>
      </w:r>
      <w:proofErr w:type="spellStart"/>
      <w:r w:rsidRPr="003B41CB">
        <w:t>Kouka</w:t>
      </w:r>
      <w:proofErr w:type="spellEnd"/>
      <w:r w:rsidR="001714CB">
        <w:t>,</w:t>
      </w:r>
      <w:r w:rsidRPr="003B41CB">
        <w:t xml:space="preserve"> </w:t>
      </w:r>
      <w:proofErr w:type="spellStart"/>
      <w:r w:rsidRPr="003B41CB">
        <w:t>Balavé</w:t>
      </w:r>
      <w:proofErr w:type="spellEnd"/>
      <w:r w:rsidR="001714CB">
        <w:t>,</w:t>
      </w:r>
      <w:r w:rsidRPr="003B41CB">
        <w:t xml:space="preserve"> </w:t>
      </w:r>
      <w:proofErr w:type="spellStart"/>
      <w:r w:rsidRPr="003B41CB">
        <w:t>Ouarkoye</w:t>
      </w:r>
      <w:proofErr w:type="spellEnd"/>
      <w:r w:rsidR="001714CB">
        <w:t>,</w:t>
      </w:r>
      <w:r w:rsidRPr="003B41CB">
        <w:t xml:space="preserve"> </w:t>
      </w:r>
      <w:proofErr w:type="spellStart"/>
      <w:r w:rsidRPr="003B41CB">
        <w:t>Bodonkui</w:t>
      </w:r>
      <w:proofErr w:type="spellEnd"/>
      <w:r w:rsidR="001714CB">
        <w:t>,</w:t>
      </w:r>
      <w:r w:rsidRPr="003B41CB">
        <w:t xml:space="preserve"> </w:t>
      </w:r>
      <w:proofErr w:type="spellStart"/>
      <w:r w:rsidRPr="003B41CB">
        <w:t>Yaba</w:t>
      </w:r>
      <w:proofErr w:type="spellEnd"/>
      <w:r w:rsidR="001714CB">
        <w:t>,</w:t>
      </w:r>
      <w:r w:rsidRPr="003B41CB">
        <w:t xml:space="preserve"> </w:t>
      </w:r>
      <w:proofErr w:type="spellStart"/>
      <w:r w:rsidRPr="003B41CB">
        <w:t>Gossina</w:t>
      </w:r>
      <w:proofErr w:type="spellEnd"/>
      <w:r w:rsidRPr="003B41CB">
        <w:t xml:space="preserve">) et </w:t>
      </w:r>
      <w:r w:rsidR="00032998">
        <w:t>(</w:t>
      </w:r>
      <w:r w:rsidRPr="003B41CB">
        <w:t>iv</w:t>
      </w:r>
      <w:r w:rsidR="00032998">
        <w:t>)</w:t>
      </w:r>
      <w:r w:rsidRPr="003B41CB">
        <w:t xml:space="preserve"> la réinstallation de plus de 140 villages.</w:t>
      </w:r>
    </w:p>
    <w:p w14:paraId="14F0AE39" w14:textId="368B6715" w:rsidR="003B41CB" w:rsidRPr="003B41CB" w:rsidRDefault="003B41CB" w:rsidP="00F175A7">
      <w:pPr>
        <w:numPr>
          <w:ilvl w:val="0"/>
          <w:numId w:val="8"/>
        </w:numPr>
        <w:shd w:val="clear" w:color="auto" w:fill="FFFFFF"/>
        <w:spacing w:before="120" w:after="120" w:line="240" w:lineRule="auto"/>
        <w:ind w:left="0"/>
      </w:pPr>
      <w:r w:rsidRPr="003B41CB">
        <w:t>Quant aux autres extrants</w:t>
      </w:r>
      <w:r w:rsidR="00BC47C2">
        <w:t>,</w:t>
      </w:r>
      <w:r w:rsidRPr="003B41CB">
        <w:t xml:space="preserve"> à savoir la proportion des localités libérées et la construction/la réhabilitation des services au profit des douanes, les données n’ont pu être </w:t>
      </w:r>
      <w:r w:rsidR="0065640B">
        <w:t xml:space="preserve">rendues </w:t>
      </w:r>
      <w:r w:rsidRPr="003B41CB">
        <w:t>disponibles.</w:t>
      </w:r>
      <w:r w:rsidR="00A36AC9">
        <w:t xml:space="preserve"> Toutefois, </w:t>
      </w:r>
      <w:r w:rsidR="0028308E">
        <w:t xml:space="preserve">deux </w:t>
      </w:r>
      <w:r w:rsidR="0028308E">
        <w:rPr>
          <w:rFonts w:eastAsia="Calibri"/>
          <w:szCs w:val="24"/>
        </w:rPr>
        <w:t xml:space="preserve">postes de douane, à savoir </w:t>
      </w:r>
      <w:proofErr w:type="spellStart"/>
      <w:r w:rsidR="00A36AC9" w:rsidRPr="006530F1">
        <w:rPr>
          <w:rFonts w:eastAsia="Calibri"/>
          <w:szCs w:val="24"/>
        </w:rPr>
        <w:t>Seytenga</w:t>
      </w:r>
      <w:proofErr w:type="spellEnd"/>
      <w:r w:rsidR="00A36AC9" w:rsidRPr="006530F1">
        <w:rPr>
          <w:rFonts w:eastAsia="Calibri"/>
          <w:szCs w:val="24"/>
        </w:rPr>
        <w:t xml:space="preserve"> et </w:t>
      </w:r>
      <w:proofErr w:type="spellStart"/>
      <w:r w:rsidR="00A36AC9" w:rsidRPr="006530F1">
        <w:rPr>
          <w:rFonts w:eastAsia="Calibri"/>
          <w:szCs w:val="24"/>
        </w:rPr>
        <w:t>Galgouli</w:t>
      </w:r>
      <w:proofErr w:type="spellEnd"/>
      <w:r w:rsidR="0028308E">
        <w:rPr>
          <w:rFonts w:eastAsia="Calibri"/>
          <w:szCs w:val="24"/>
        </w:rPr>
        <w:t xml:space="preserve"> ont été délocalisés respectivement </w:t>
      </w:r>
      <w:r w:rsidR="00A36AC9" w:rsidRPr="006530F1">
        <w:rPr>
          <w:rFonts w:eastAsia="Calibri"/>
          <w:szCs w:val="24"/>
        </w:rPr>
        <w:t xml:space="preserve">à </w:t>
      </w:r>
      <w:proofErr w:type="spellStart"/>
      <w:r w:rsidR="00A36AC9" w:rsidRPr="006530F1">
        <w:rPr>
          <w:rFonts w:eastAsia="Calibri"/>
          <w:szCs w:val="24"/>
        </w:rPr>
        <w:t>Dori</w:t>
      </w:r>
      <w:proofErr w:type="spellEnd"/>
      <w:r w:rsidR="00A36AC9">
        <w:rPr>
          <w:rFonts w:eastAsia="Calibri"/>
          <w:szCs w:val="24"/>
        </w:rPr>
        <w:t xml:space="preserve"> et </w:t>
      </w:r>
      <w:proofErr w:type="spellStart"/>
      <w:r w:rsidR="00A36AC9">
        <w:rPr>
          <w:rFonts w:eastAsia="Calibri"/>
          <w:szCs w:val="24"/>
        </w:rPr>
        <w:t>Kampti</w:t>
      </w:r>
      <w:proofErr w:type="spellEnd"/>
    </w:p>
    <w:p w14:paraId="0BCA281F" w14:textId="55387247" w:rsidR="003B41CB" w:rsidRPr="008139E1" w:rsidRDefault="003B41CB" w:rsidP="00573E86">
      <w:pPr>
        <w:numPr>
          <w:ilvl w:val="0"/>
          <w:numId w:val="8"/>
        </w:numPr>
        <w:shd w:val="clear" w:color="auto" w:fill="FFFFFF"/>
        <w:spacing w:before="120" w:after="120" w:line="240" w:lineRule="auto"/>
        <w:ind w:left="0"/>
      </w:pPr>
      <w:r w:rsidRPr="003B41CB">
        <w:t>La cinquième action</w:t>
      </w:r>
      <w:r w:rsidR="0065640B">
        <w:t>,</w:t>
      </w:r>
      <w:r w:rsidRPr="003B41CB">
        <w:t xml:space="preserve"> relative à </w:t>
      </w:r>
      <w:r w:rsidRPr="00573E86">
        <w:rPr>
          <w:b/>
        </w:rPr>
        <w:t xml:space="preserve">l’opérationnalisation de la Politique de </w:t>
      </w:r>
      <w:r w:rsidR="00BC47C2">
        <w:rPr>
          <w:b/>
        </w:rPr>
        <w:t>s</w:t>
      </w:r>
      <w:r w:rsidRPr="00573E86">
        <w:rPr>
          <w:b/>
        </w:rPr>
        <w:t xml:space="preserve">écurité </w:t>
      </w:r>
      <w:r w:rsidR="00BC47C2">
        <w:rPr>
          <w:b/>
        </w:rPr>
        <w:t>n</w:t>
      </w:r>
      <w:r w:rsidRPr="00573E86">
        <w:rPr>
          <w:b/>
        </w:rPr>
        <w:t>ationale (01005)</w:t>
      </w:r>
      <w:r w:rsidR="0065640B" w:rsidRPr="00F175A7">
        <w:t>,</w:t>
      </w:r>
      <w:r w:rsidRPr="003B41CB">
        <w:t xml:space="preserve"> est mise en œuvre par le CSD-DS. Les résultats tangibles de l’année 2023 ont trait au renforcement des instruments de planification traduit par l’élaboration de deux (2) des trois documents de stratégie planifiés au rang desquels la </w:t>
      </w:r>
      <w:r w:rsidR="00BC47C2">
        <w:t>S</w:t>
      </w:r>
      <w:r w:rsidRPr="003B41CB">
        <w:t xml:space="preserve">tratégie nationale de protection civile et la </w:t>
      </w:r>
      <w:r w:rsidR="00BC47C2">
        <w:t>S</w:t>
      </w:r>
      <w:r w:rsidRPr="003B41CB">
        <w:t xml:space="preserve">tratégie nationale de lutte contre la fraude, le blanchiment des capitaux et le financement du terrorisme dans le </w:t>
      </w:r>
      <w:r w:rsidRPr="007B519F">
        <w:t>secteur aurifère. Quant à l’élaboration de la loi de programmation de la sécurité intérieur</w:t>
      </w:r>
      <w:r w:rsidR="00BC47C2">
        <w:t>e</w:t>
      </w:r>
      <w:r w:rsidRPr="008139E1">
        <w:t xml:space="preserve">, </w:t>
      </w:r>
      <w:r w:rsidR="00573E86" w:rsidRPr="008139E1">
        <w:t>elle n’est toujours pas effective en 2023 car dépendant des orientations du Secrétariat général de la défense nationale (SGDN) pour en assurer sa cohéren</w:t>
      </w:r>
      <w:r w:rsidR="00AE1A65">
        <w:t xml:space="preserve">ce avec la stratégie de </w:t>
      </w:r>
      <w:r w:rsidR="00573E86" w:rsidRPr="008139E1">
        <w:t>sécurité nationale</w:t>
      </w:r>
      <w:r w:rsidRPr="008139E1">
        <w:t>.</w:t>
      </w:r>
    </w:p>
    <w:p w14:paraId="6571E515" w14:textId="44D244E7" w:rsidR="003B41CB" w:rsidRPr="003B41CB" w:rsidRDefault="003B41CB" w:rsidP="00F175A7">
      <w:pPr>
        <w:numPr>
          <w:ilvl w:val="0"/>
          <w:numId w:val="8"/>
        </w:numPr>
        <w:shd w:val="clear" w:color="auto" w:fill="FFFFFF"/>
        <w:spacing w:before="120" w:after="120" w:line="240" w:lineRule="auto"/>
        <w:ind w:left="0"/>
      </w:pPr>
      <w:r w:rsidRPr="003B41CB">
        <w:t xml:space="preserve">Concernant, le taux d’exécution du budget d’investissement du </w:t>
      </w:r>
      <w:r w:rsidR="00BC47C2">
        <w:t>m</w:t>
      </w:r>
      <w:r w:rsidRPr="003B41CB">
        <w:t xml:space="preserve">inistère de la </w:t>
      </w:r>
      <w:r w:rsidR="00BC47C2">
        <w:t>D</w:t>
      </w:r>
      <w:r w:rsidRPr="003B41CB">
        <w:t xml:space="preserve">éfense, second indicateur de l’action, il n’est pas encore disponible. Il </w:t>
      </w:r>
      <w:r w:rsidR="00032998">
        <w:t xml:space="preserve">en </w:t>
      </w:r>
      <w:r w:rsidRPr="003B41CB">
        <w:t xml:space="preserve">est de même pour l’indicateur d’extrant portant sur le nombre de villages abritant les détachements de la </w:t>
      </w:r>
      <w:r w:rsidR="00BC47C2">
        <w:t>P</w:t>
      </w:r>
      <w:r w:rsidRPr="003B41CB">
        <w:t>olice nationale pour des raisons de complexité. En effet, la Police nationale ayant opté d’inscrire la mobilité des unités dans ses actions de reconquête du territoire, de ce fait, les positions des unités ne sont pas fixes et sont fonction des besoins du moment.</w:t>
      </w:r>
    </w:p>
    <w:p w14:paraId="5D6E3CD4" w14:textId="5A97B053" w:rsidR="003B41CB" w:rsidRPr="003B41CB" w:rsidRDefault="00BC47C2" w:rsidP="00F175A7">
      <w:pPr>
        <w:numPr>
          <w:ilvl w:val="0"/>
          <w:numId w:val="8"/>
        </w:numPr>
        <w:shd w:val="clear" w:color="auto" w:fill="FFFFFF"/>
        <w:spacing w:before="120" w:after="120" w:line="240" w:lineRule="auto"/>
        <w:ind w:left="0"/>
      </w:pPr>
      <w:r>
        <w:t>Sur le</w:t>
      </w:r>
      <w:r w:rsidR="003B41CB" w:rsidRPr="003B41CB">
        <w:t xml:space="preserve"> plan financier, le taux de réalisation des extrants est estimé à 6% pour une exécution physique de 50%</w:t>
      </w:r>
      <w:r>
        <w:t>.</w:t>
      </w:r>
    </w:p>
    <w:p w14:paraId="692087ED" w14:textId="08544BD4" w:rsidR="003B41CB" w:rsidRPr="003B41CB" w:rsidRDefault="003B41CB" w:rsidP="00F175A7">
      <w:pPr>
        <w:numPr>
          <w:ilvl w:val="0"/>
          <w:numId w:val="8"/>
        </w:numPr>
        <w:shd w:val="clear" w:color="auto" w:fill="FFFFFF"/>
        <w:spacing w:before="120" w:after="120" w:line="240" w:lineRule="auto"/>
        <w:ind w:left="0"/>
      </w:pPr>
      <w:r w:rsidRPr="003B41CB">
        <w:t>Pour ce qui est de la sixième action</w:t>
      </w:r>
      <w:r w:rsidR="0065640B">
        <w:t>,</w:t>
      </w:r>
      <w:r w:rsidRPr="003B41CB">
        <w:t xml:space="preserve"> à savoir</w:t>
      </w:r>
      <w:r w:rsidR="0065640B">
        <w:t>,</w:t>
      </w:r>
      <w:r w:rsidRPr="003B41CB">
        <w:t xml:space="preserve"> </w:t>
      </w:r>
      <w:r w:rsidRPr="00F175A7">
        <w:rPr>
          <w:b/>
        </w:rPr>
        <w:t>l</w:t>
      </w:r>
      <w:proofErr w:type="gramStart"/>
      <w:r w:rsidRPr="00F175A7">
        <w:rPr>
          <w:b/>
        </w:rPr>
        <w:t>’«</w:t>
      </w:r>
      <w:proofErr w:type="gramEnd"/>
      <w:r w:rsidRPr="00F175A7">
        <w:rPr>
          <w:b/>
        </w:rPr>
        <w:t xml:space="preserve"> amélioration de la participation des Volontaires pour la défense de la patrie dans la lutte contre le terrorisme (01006)</w:t>
      </w:r>
      <w:r w:rsidRPr="003B41CB">
        <w:t xml:space="preserve"> », mise en œuvre par le CSD-DS, l’objectif de porter à 100% la « proportion de communes à fort défi sécuritaire disposant de cellule</w:t>
      </w:r>
      <w:r w:rsidR="00BC47C2">
        <w:t>s</w:t>
      </w:r>
      <w:r w:rsidRPr="003B41CB">
        <w:t xml:space="preserve"> VDP a été atteint</w:t>
      </w:r>
      <w:r w:rsidR="00573E86">
        <w:t>e</w:t>
      </w:r>
      <w:r w:rsidRPr="003B41CB">
        <w:t xml:space="preserve"> au 31 décembre.</w:t>
      </w:r>
    </w:p>
    <w:p w14:paraId="200B730E" w14:textId="24EDB82B" w:rsidR="003B41CB" w:rsidRPr="003B41CB" w:rsidRDefault="003B41CB" w:rsidP="00F175A7">
      <w:pPr>
        <w:numPr>
          <w:ilvl w:val="0"/>
          <w:numId w:val="8"/>
        </w:numPr>
        <w:shd w:val="clear" w:color="auto" w:fill="FFFFFF"/>
        <w:spacing w:before="120" w:after="120" w:line="240" w:lineRule="auto"/>
        <w:ind w:left="0"/>
      </w:pPr>
      <w:r w:rsidRPr="003B41CB">
        <w:t>Les efforts consentis dans le cadre de cette action dont le détail est décliné dans le tableau ci-après sont matérialisés en 2023 par l’atteinte des cibles en matière de prise en charge financière et sanitaire des VDP et de leurs ayants droit.</w:t>
      </w:r>
    </w:p>
    <w:p w14:paraId="72499F66" w14:textId="528EDBF0" w:rsidR="003B41CB" w:rsidRPr="00175CE3" w:rsidRDefault="00175CE3" w:rsidP="003B41CB">
      <w:pPr>
        <w:shd w:val="clear" w:color="auto" w:fill="FFFFFF"/>
        <w:spacing w:before="240" w:after="240" w:line="240" w:lineRule="auto"/>
        <w:rPr>
          <w:sz w:val="22"/>
        </w:rPr>
      </w:pPr>
      <w:bookmarkStart w:id="28" w:name="_Toc164503594"/>
      <w:r w:rsidRPr="00175CE3">
        <w:rPr>
          <w:b/>
          <w:bCs/>
          <w:sz w:val="22"/>
          <w:u w:val="single"/>
        </w:rPr>
        <w:t xml:space="preserve">Tableau </w:t>
      </w:r>
      <w:r w:rsidRPr="00175CE3">
        <w:rPr>
          <w:b/>
          <w:bCs/>
          <w:sz w:val="22"/>
          <w:u w:val="single"/>
        </w:rPr>
        <w:fldChar w:fldCharType="begin"/>
      </w:r>
      <w:r w:rsidRPr="00175CE3">
        <w:rPr>
          <w:b/>
          <w:bCs/>
          <w:sz w:val="22"/>
          <w:u w:val="single"/>
        </w:rPr>
        <w:instrText xml:space="preserve"> SEQ Tableau \* ARABIC </w:instrText>
      </w:r>
      <w:r w:rsidRPr="00175CE3">
        <w:rPr>
          <w:b/>
          <w:bCs/>
          <w:sz w:val="22"/>
          <w:u w:val="single"/>
        </w:rPr>
        <w:fldChar w:fldCharType="separate"/>
      </w:r>
      <w:r w:rsidR="007C2E4E">
        <w:rPr>
          <w:b/>
          <w:bCs/>
          <w:noProof/>
          <w:sz w:val="22"/>
          <w:u w:val="single"/>
        </w:rPr>
        <w:t>7</w:t>
      </w:r>
      <w:r w:rsidRPr="00175CE3">
        <w:rPr>
          <w:b/>
          <w:bCs/>
          <w:sz w:val="22"/>
          <w:u w:val="single"/>
        </w:rPr>
        <w:fldChar w:fldCharType="end"/>
      </w:r>
      <w:r w:rsidR="003B41CB" w:rsidRPr="00175CE3">
        <w:rPr>
          <w:sz w:val="22"/>
        </w:rPr>
        <w:t xml:space="preserve">: situation des indicateurs de produits de l’action « amélioration de la participation des Volontaires pour la </w:t>
      </w:r>
      <w:r w:rsidR="00BC47C2">
        <w:rPr>
          <w:sz w:val="22"/>
        </w:rPr>
        <w:t>d</w:t>
      </w:r>
      <w:r w:rsidR="003B41CB" w:rsidRPr="00175CE3">
        <w:rPr>
          <w:sz w:val="22"/>
        </w:rPr>
        <w:t xml:space="preserve">éfense de la </w:t>
      </w:r>
      <w:r w:rsidR="00BC47C2">
        <w:rPr>
          <w:sz w:val="22"/>
        </w:rPr>
        <w:t>p</w:t>
      </w:r>
      <w:r w:rsidR="003B41CB" w:rsidRPr="00175CE3">
        <w:rPr>
          <w:sz w:val="22"/>
        </w:rPr>
        <w:t>atrie dans la lutte contre le terrorisme »</w:t>
      </w:r>
      <w:bookmarkEnd w:id="28"/>
    </w:p>
    <w:tbl>
      <w:tblPr>
        <w:tblStyle w:val="TableauGrille4-Accentuation119"/>
        <w:tblW w:w="5000" w:type="pct"/>
        <w:tblLook w:val="04A0" w:firstRow="1" w:lastRow="0" w:firstColumn="1" w:lastColumn="0" w:noHBand="0" w:noVBand="1"/>
      </w:tblPr>
      <w:tblGrid>
        <w:gridCol w:w="5306"/>
        <w:gridCol w:w="1170"/>
        <w:gridCol w:w="1260"/>
        <w:gridCol w:w="1280"/>
      </w:tblGrid>
      <w:tr w:rsidR="003B41CB" w:rsidRPr="00FF315F" w14:paraId="3ED49C9C" w14:textId="77777777" w:rsidTr="00FF31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2" w:type="pct"/>
          </w:tcPr>
          <w:p w14:paraId="0D74F88E" w14:textId="0141F7E4" w:rsidR="003B41CB" w:rsidRPr="00FF315F" w:rsidRDefault="003B41CB" w:rsidP="00F175A7">
            <w:pPr>
              <w:spacing w:after="0" w:line="240" w:lineRule="auto"/>
              <w:ind w:firstLine="0"/>
            </w:pPr>
            <w:r w:rsidRPr="00FF315F">
              <w:rPr>
                <w:rFonts w:eastAsia="Times New Roman" w:cs="Times New Roman"/>
              </w:rPr>
              <w:t xml:space="preserve">Indicateurs </w:t>
            </w:r>
          </w:p>
        </w:tc>
        <w:tc>
          <w:tcPr>
            <w:tcW w:w="649" w:type="pct"/>
          </w:tcPr>
          <w:p w14:paraId="5B7013A9"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2022</w:t>
            </w:r>
          </w:p>
        </w:tc>
        <w:tc>
          <w:tcPr>
            <w:tcW w:w="699" w:type="pct"/>
          </w:tcPr>
          <w:p w14:paraId="75AF1D72"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2023</w:t>
            </w:r>
          </w:p>
        </w:tc>
        <w:tc>
          <w:tcPr>
            <w:tcW w:w="710" w:type="pct"/>
          </w:tcPr>
          <w:p w14:paraId="5A09A38F"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Cible 2023</w:t>
            </w:r>
          </w:p>
        </w:tc>
      </w:tr>
      <w:tr w:rsidR="003B41CB" w:rsidRPr="00FF315F" w14:paraId="09C01CA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7D88E994" w14:textId="77777777" w:rsidR="003B41CB" w:rsidRPr="00FF315F" w:rsidRDefault="003B41CB" w:rsidP="00F175A7">
            <w:pPr>
              <w:spacing w:after="0" w:line="240" w:lineRule="auto"/>
              <w:ind w:firstLine="0"/>
            </w:pPr>
            <w:r w:rsidRPr="00FF315F">
              <w:rPr>
                <w:rFonts w:eastAsia="Times New Roman" w:cs="Times New Roman"/>
              </w:rPr>
              <w:t>Nombre de VDP ayant bénéficié de prise en charge financière</w:t>
            </w:r>
          </w:p>
        </w:tc>
        <w:tc>
          <w:tcPr>
            <w:tcW w:w="649" w:type="pct"/>
          </w:tcPr>
          <w:p w14:paraId="0875DBF7"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56 725</w:t>
            </w:r>
          </w:p>
        </w:tc>
        <w:tc>
          <w:tcPr>
            <w:tcW w:w="699" w:type="pct"/>
          </w:tcPr>
          <w:p w14:paraId="2C843653"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63699</w:t>
            </w:r>
          </w:p>
        </w:tc>
        <w:tc>
          <w:tcPr>
            <w:tcW w:w="710" w:type="pct"/>
          </w:tcPr>
          <w:p w14:paraId="6724CC57"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56 725</w:t>
            </w:r>
          </w:p>
        </w:tc>
      </w:tr>
      <w:tr w:rsidR="003B41CB" w:rsidRPr="00FF315F" w14:paraId="40F91721" w14:textId="77777777" w:rsidTr="00E52836">
        <w:tc>
          <w:tcPr>
            <w:cnfStyle w:val="001000000000" w:firstRow="0" w:lastRow="0" w:firstColumn="1" w:lastColumn="0" w:oddVBand="0" w:evenVBand="0" w:oddHBand="0" w:evenHBand="0" w:firstRowFirstColumn="0" w:firstRowLastColumn="0" w:lastRowFirstColumn="0" w:lastRowLastColumn="0"/>
            <w:tcW w:w="2942" w:type="pct"/>
          </w:tcPr>
          <w:p w14:paraId="2A1897A7" w14:textId="77777777" w:rsidR="003B41CB" w:rsidRPr="00FF315F" w:rsidRDefault="003B41CB" w:rsidP="00F175A7">
            <w:pPr>
              <w:spacing w:after="0" w:line="240" w:lineRule="auto"/>
              <w:ind w:firstLine="0"/>
            </w:pPr>
            <w:r w:rsidRPr="00FF315F">
              <w:rPr>
                <w:rFonts w:eastAsia="Times New Roman" w:cs="Times New Roman"/>
              </w:rPr>
              <w:t>Proportion des VDP victimes du terrorisme bénéficiaires d’une prise en charge sanitaire</w:t>
            </w:r>
          </w:p>
        </w:tc>
        <w:tc>
          <w:tcPr>
            <w:tcW w:w="649" w:type="pct"/>
          </w:tcPr>
          <w:p w14:paraId="0C7E98BE"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c>
          <w:tcPr>
            <w:tcW w:w="699" w:type="pct"/>
          </w:tcPr>
          <w:p w14:paraId="6FB677E7"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c>
          <w:tcPr>
            <w:tcW w:w="710" w:type="pct"/>
          </w:tcPr>
          <w:p w14:paraId="4622D2AD"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r>
      <w:tr w:rsidR="003B41CB" w:rsidRPr="00FF315F" w14:paraId="462C21E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2EF9367D" w14:textId="2CCACD5A" w:rsidR="003B41CB" w:rsidRPr="00FF315F" w:rsidRDefault="003B41CB" w:rsidP="00F175A7">
            <w:pPr>
              <w:spacing w:after="0" w:line="240" w:lineRule="auto"/>
              <w:ind w:firstLine="0"/>
            </w:pPr>
            <w:r w:rsidRPr="00FF315F">
              <w:rPr>
                <w:rFonts w:eastAsia="Times New Roman" w:cs="Times New Roman"/>
              </w:rPr>
              <w:t>Proportion des ayants droit des VDP décédés au combat bénéficiaire d’une prise en charge financière</w:t>
            </w:r>
          </w:p>
        </w:tc>
        <w:tc>
          <w:tcPr>
            <w:tcW w:w="649" w:type="pct"/>
          </w:tcPr>
          <w:p w14:paraId="29AC29A9"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100</w:t>
            </w:r>
          </w:p>
        </w:tc>
        <w:tc>
          <w:tcPr>
            <w:tcW w:w="699" w:type="pct"/>
          </w:tcPr>
          <w:p w14:paraId="4CC7007A"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100</w:t>
            </w:r>
          </w:p>
        </w:tc>
        <w:tc>
          <w:tcPr>
            <w:tcW w:w="710" w:type="pct"/>
          </w:tcPr>
          <w:p w14:paraId="096A181F"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100</w:t>
            </w:r>
          </w:p>
        </w:tc>
      </w:tr>
    </w:tbl>
    <w:p w14:paraId="261D36B8" w14:textId="60842E2E"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lastRenderedPageBreak/>
        <w:t>Source</w:t>
      </w:r>
      <w:r w:rsidR="00603CB3">
        <w:rPr>
          <w:rFonts w:eastAsia="Times New Roman" w:cs="Times New Roman"/>
          <w:sz w:val="20"/>
          <w:szCs w:val="20"/>
        </w:rPr>
        <w:t xml:space="preserve"> : rapport annuel de performance</w:t>
      </w:r>
      <w:r w:rsidRPr="008D20C6">
        <w:rPr>
          <w:rFonts w:eastAsia="Times New Roman" w:cs="Times New Roman"/>
          <w:sz w:val="20"/>
          <w:szCs w:val="20"/>
        </w:rPr>
        <w:t xml:space="preserve"> 2023 des CSD-DS, février 2024</w:t>
      </w:r>
    </w:p>
    <w:p w14:paraId="49C8F33B" w14:textId="7B34B275" w:rsidR="003B41CB" w:rsidRPr="003B41CB" w:rsidRDefault="003B41CB" w:rsidP="00F175A7">
      <w:pPr>
        <w:numPr>
          <w:ilvl w:val="0"/>
          <w:numId w:val="8"/>
        </w:numPr>
        <w:shd w:val="clear" w:color="auto" w:fill="FFFFFF"/>
        <w:spacing w:before="120" w:after="120" w:line="240" w:lineRule="auto"/>
        <w:ind w:left="0"/>
      </w:pPr>
      <w:r w:rsidRPr="003B41CB">
        <w:t>L’opérationnalisation du Fonds de soutien patriotique</w:t>
      </w:r>
      <w:r w:rsidR="00AE5053">
        <w:t xml:space="preserve"> (FSP) qui a mobilis</w:t>
      </w:r>
      <w:r w:rsidR="00573E86">
        <w:t>é</w:t>
      </w:r>
      <w:r w:rsidR="00AE5053">
        <w:t xml:space="preserve"> </w:t>
      </w:r>
      <w:r w:rsidR="00573E86" w:rsidRPr="00345EBE">
        <w:t>99,04</w:t>
      </w:r>
      <w:r w:rsidR="00573E86" w:rsidRPr="00CC5140">
        <w:t xml:space="preserve"> milliards FCFA en 2023</w:t>
      </w:r>
      <w:r w:rsidR="00AE5053">
        <w:t xml:space="preserve"> a </w:t>
      </w:r>
      <w:r w:rsidRPr="003B41CB">
        <w:t xml:space="preserve">permis d’atteindre ce résultat. </w:t>
      </w:r>
    </w:p>
    <w:p w14:paraId="3D27F5BA" w14:textId="71022703" w:rsidR="003B41CB" w:rsidRPr="003B41CB" w:rsidRDefault="003B41CB" w:rsidP="00F175A7">
      <w:pPr>
        <w:numPr>
          <w:ilvl w:val="0"/>
          <w:numId w:val="8"/>
        </w:numPr>
        <w:shd w:val="clear" w:color="auto" w:fill="FFFFFF"/>
        <w:spacing w:before="120" w:after="120" w:line="240" w:lineRule="auto"/>
        <w:ind w:left="0"/>
      </w:pPr>
      <w:r w:rsidRPr="003B41CB">
        <w:t xml:space="preserve">La septième action, « </w:t>
      </w:r>
      <w:r w:rsidRPr="00F175A7">
        <w:rPr>
          <w:b/>
        </w:rPr>
        <w:t>assèchement des sources d'approvisionnement des Groupes armés terroristes en ressources de tout genre</w:t>
      </w:r>
      <w:r w:rsidR="00F63905" w:rsidRPr="00F175A7">
        <w:rPr>
          <w:b/>
        </w:rPr>
        <w:t> »</w:t>
      </w:r>
      <w:r w:rsidRPr="00F175A7">
        <w:rPr>
          <w:b/>
        </w:rPr>
        <w:t xml:space="preserve"> (01007),</w:t>
      </w:r>
      <w:r w:rsidRPr="003B41CB">
        <w:t xml:space="preserve"> est mise en œuvre à travers les contributions des CSD</w:t>
      </w:r>
      <w:r w:rsidR="00F63905">
        <w:t>-</w:t>
      </w:r>
      <w:r w:rsidRPr="003B41CB">
        <w:t>GE et CSM. Au 31 décembre 2023, même si la valeur de l’indicateur d’action portant sur le nombre de cas de financement du terrorisme identifié</w:t>
      </w:r>
      <w:r w:rsidR="00BC47C2">
        <w:t>s</w:t>
      </w:r>
      <w:r w:rsidRPr="003B41CB">
        <w:t xml:space="preserve"> et supprimé</w:t>
      </w:r>
      <w:r w:rsidR="00BC47C2">
        <w:t>s</w:t>
      </w:r>
      <w:r w:rsidRPr="003B41CB">
        <w:t xml:space="preserve"> n’est pas disponible, le niveau de réalisation des principaux livrables dont le détail est consigné dans le tableau ci-dessous </w:t>
      </w:r>
      <w:r w:rsidR="00BC47C2">
        <w:t xml:space="preserve">est </w:t>
      </w:r>
      <w:r w:rsidRPr="003B41CB">
        <w:t xml:space="preserve">satisfaisant. Il s’agit notamment du renforcement effectif du suivi des circuits informels de commercialisation des motos et des produits pétroliers avec l’atteinte des cibles des opérations de démantèlement et quasiment </w:t>
      </w:r>
      <w:r w:rsidR="00F63905">
        <w:t xml:space="preserve">de </w:t>
      </w:r>
      <w:r w:rsidRPr="003B41CB">
        <w:t>celles d</w:t>
      </w:r>
      <w:r w:rsidR="00F63905">
        <w:t>u</w:t>
      </w:r>
      <w:r w:rsidRPr="003B41CB">
        <w:t xml:space="preserve"> contrôle ainsi que du renforcement du contrôle des réseaux de transfert informel </w:t>
      </w:r>
      <w:r w:rsidR="00F63905">
        <w:t xml:space="preserve">au titre desquelles le </w:t>
      </w:r>
      <w:r w:rsidRPr="003B41CB">
        <w:t>répertoire de réseaux de transfert informel d'argent</w:t>
      </w:r>
      <w:r w:rsidR="00F63905">
        <w:t xml:space="preserve"> a été actualisé</w:t>
      </w:r>
      <w:r w:rsidRPr="003B41CB">
        <w:t>.</w:t>
      </w:r>
    </w:p>
    <w:p w14:paraId="410AAB80" w14:textId="633A2657" w:rsidR="003B41CB" w:rsidRPr="00175CE3" w:rsidRDefault="00175CE3" w:rsidP="003B41CB">
      <w:pPr>
        <w:shd w:val="clear" w:color="auto" w:fill="FFFFFF"/>
        <w:spacing w:before="240" w:after="240" w:line="240" w:lineRule="auto"/>
        <w:rPr>
          <w:sz w:val="22"/>
        </w:rPr>
      </w:pPr>
      <w:bookmarkStart w:id="29" w:name="_Toc164503595"/>
      <w:r w:rsidRPr="00175CE3">
        <w:rPr>
          <w:b/>
          <w:bCs/>
          <w:sz w:val="22"/>
          <w:u w:val="single"/>
        </w:rPr>
        <w:t xml:space="preserve">Tableau </w:t>
      </w:r>
      <w:r w:rsidRPr="00175CE3">
        <w:rPr>
          <w:b/>
          <w:bCs/>
          <w:sz w:val="22"/>
          <w:u w:val="single"/>
        </w:rPr>
        <w:fldChar w:fldCharType="begin"/>
      </w:r>
      <w:r w:rsidRPr="00175CE3">
        <w:rPr>
          <w:b/>
          <w:bCs/>
          <w:sz w:val="22"/>
          <w:u w:val="single"/>
        </w:rPr>
        <w:instrText xml:space="preserve"> SEQ Tableau \* ARABIC </w:instrText>
      </w:r>
      <w:r w:rsidRPr="00175CE3">
        <w:rPr>
          <w:b/>
          <w:bCs/>
          <w:sz w:val="22"/>
          <w:u w:val="single"/>
        </w:rPr>
        <w:fldChar w:fldCharType="separate"/>
      </w:r>
      <w:r w:rsidR="007C2E4E">
        <w:rPr>
          <w:b/>
          <w:bCs/>
          <w:noProof/>
          <w:sz w:val="22"/>
          <w:u w:val="single"/>
        </w:rPr>
        <w:t>8</w:t>
      </w:r>
      <w:r w:rsidRPr="00175CE3">
        <w:rPr>
          <w:b/>
          <w:bCs/>
          <w:sz w:val="22"/>
          <w:u w:val="single"/>
        </w:rPr>
        <w:fldChar w:fldCharType="end"/>
      </w:r>
      <w:r w:rsidR="003B41CB" w:rsidRPr="00175CE3">
        <w:rPr>
          <w:sz w:val="22"/>
        </w:rPr>
        <w:t xml:space="preserve">: situation des indicateurs de produits de l’action « assèchement des sources d'approvisionnement des </w:t>
      </w:r>
      <w:r w:rsidR="00CB4A51">
        <w:rPr>
          <w:sz w:val="22"/>
        </w:rPr>
        <w:t>g</w:t>
      </w:r>
      <w:r w:rsidR="003B41CB" w:rsidRPr="00175CE3">
        <w:rPr>
          <w:sz w:val="22"/>
        </w:rPr>
        <w:t>roupes armés terroristes en ressources de tout genre »</w:t>
      </w:r>
      <w:bookmarkEnd w:id="29"/>
    </w:p>
    <w:tbl>
      <w:tblPr>
        <w:tblStyle w:val="TableauGrille4-Accentuation119"/>
        <w:tblW w:w="5000" w:type="pct"/>
        <w:tblLook w:val="04A0" w:firstRow="1" w:lastRow="0" w:firstColumn="1" w:lastColumn="0" w:noHBand="0" w:noVBand="1"/>
      </w:tblPr>
      <w:tblGrid>
        <w:gridCol w:w="5035"/>
        <w:gridCol w:w="1260"/>
        <w:gridCol w:w="1351"/>
        <w:gridCol w:w="1370"/>
      </w:tblGrid>
      <w:tr w:rsidR="003B41CB" w:rsidRPr="00F175A7" w14:paraId="0A0FA1D5" w14:textId="77777777" w:rsidTr="00FF31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2" w:type="pct"/>
          </w:tcPr>
          <w:p w14:paraId="5162198D" w14:textId="6131A110" w:rsidR="003B41CB" w:rsidRPr="0068624E" w:rsidRDefault="003B41CB" w:rsidP="00F175A7">
            <w:pPr>
              <w:spacing w:after="0" w:line="240" w:lineRule="auto"/>
            </w:pPr>
            <w:r w:rsidRPr="00F175A7">
              <w:rPr>
                <w:rFonts w:eastAsia="Times New Roman" w:cs="Times New Roman"/>
              </w:rPr>
              <w:t xml:space="preserve">Indicateurs </w:t>
            </w:r>
          </w:p>
        </w:tc>
        <w:tc>
          <w:tcPr>
            <w:tcW w:w="699" w:type="pct"/>
          </w:tcPr>
          <w:p w14:paraId="3B7B1E13" w14:textId="77777777" w:rsidR="003B41CB" w:rsidRPr="0068624E"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rPr>
                <w:rFonts w:eastAsia="Times New Roman" w:cs="Times New Roman"/>
              </w:rPr>
              <w:t>Réal. 2022</w:t>
            </w:r>
          </w:p>
        </w:tc>
        <w:tc>
          <w:tcPr>
            <w:tcW w:w="749" w:type="pct"/>
          </w:tcPr>
          <w:p w14:paraId="7D3D8F4C" w14:textId="77777777" w:rsidR="003B41CB" w:rsidRPr="0068624E"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rPr>
                <w:rFonts w:eastAsia="Times New Roman" w:cs="Times New Roman"/>
              </w:rPr>
              <w:t>Réal. 2023</w:t>
            </w:r>
          </w:p>
        </w:tc>
        <w:tc>
          <w:tcPr>
            <w:tcW w:w="760" w:type="pct"/>
          </w:tcPr>
          <w:p w14:paraId="3DAF52FE" w14:textId="77777777" w:rsidR="003B41CB" w:rsidRPr="0068624E" w:rsidRDefault="003B41CB"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rPr>
                <w:rFonts w:eastAsia="Times New Roman" w:cs="Times New Roman"/>
              </w:rPr>
              <w:t>Cible 2023</w:t>
            </w:r>
          </w:p>
        </w:tc>
      </w:tr>
      <w:tr w:rsidR="003B41CB" w:rsidRPr="00F175A7" w14:paraId="7D693AC1"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14C02DC4" w14:textId="77777777" w:rsidR="003B41CB" w:rsidRPr="0068624E" w:rsidRDefault="003B41CB" w:rsidP="00F175A7">
            <w:pPr>
              <w:spacing w:after="0" w:line="240" w:lineRule="auto"/>
              <w:ind w:firstLine="0"/>
            </w:pPr>
            <w:r w:rsidRPr="00F175A7">
              <w:rPr>
                <w:rFonts w:eastAsia="Times New Roman" w:cs="Times New Roman"/>
              </w:rPr>
              <w:t>Nombre d’opérations conjointes pour le démantèlement des circuits informels de commercialisation des motos organisées</w:t>
            </w:r>
          </w:p>
        </w:tc>
        <w:tc>
          <w:tcPr>
            <w:tcW w:w="699" w:type="pct"/>
          </w:tcPr>
          <w:p w14:paraId="2BA87353"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0</w:t>
            </w:r>
          </w:p>
        </w:tc>
        <w:tc>
          <w:tcPr>
            <w:tcW w:w="749" w:type="pct"/>
          </w:tcPr>
          <w:p w14:paraId="785CF6B0"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7</w:t>
            </w:r>
          </w:p>
        </w:tc>
        <w:tc>
          <w:tcPr>
            <w:tcW w:w="760" w:type="pct"/>
          </w:tcPr>
          <w:p w14:paraId="2170BF57"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2</w:t>
            </w:r>
          </w:p>
        </w:tc>
      </w:tr>
      <w:tr w:rsidR="003B41CB" w:rsidRPr="00F175A7" w14:paraId="0351BFA0" w14:textId="77777777" w:rsidTr="00E52836">
        <w:tc>
          <w:tcPr>
            <w:cnfStyle w:val="001000000000" w:firstRow="0" w:lastRow="0" w:firstColumn="1" w:lastColumn="0" w:oddVBand="0" w:evenVBand="0" w:oddHBand="0" w:evenHBand="0" w:firstRowFirstColumn="0" w:firstRowLastColumn="0" w:lastRowFirstColumn="0" w:lastRowLastColumn="0"/>
            <w:tcW w:w="2792" w:type="pct"/>
          </w:tcPr>
          <w:p w14:paraId="48FFE943" w14:textId="77777777" w:rsidR="003B41CB" w:rsidRPr="0068624E" w:rsidRDefault="003B41CB" w:rsidP="00F175A7">
            <w:pPr>
              <w:spacing w:after="0" w:line="240" w:lineRule="auto"/>
              <w:ind w:firstLine="0"/>
            </w:pPr>
            <w:r w:rsidRPr="00F175A7">
              <w:rPr>
                <w:rFonts w:eastAsia="Times New Roman" w:cs="Times New Roman"/>
              </w:rPr>
              <w:t>Nombre d'opérations de contrôle des cycles et cyclomoteurs</w:t>
            </w:r>
          </w:p>
        </w:tc>
        <w:tc>
          <w:tcPr>
            <w:tcW w:w="699" w:type="pct"/>
          </w:tcPr>
          <w:p w14:paraId="1CA47F97"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0</w:t>
            </w:r>
          </w:p>
        </w:tc>
        <w:tc>
          <w:tcPr>
            <w:tcW w:w="749" w:type="pct"/>
          </w:tcPr>
          <w:p w14:paraId="6DBF8BEF"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21</w:t>
            </w:r>
          </w:p>
        </w:tc>
        <w:tc>
          <w:tcPr>
            <w:tcW w:w="760" w:type="pct"/>
          </w:tcPr>
          <w:p w14:paraId="686845FC"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25</w:t>
            </w:r>
          </w:p>
        </w:tc>
      </w:tr>
      <w:tr w:rsidR="003B41CB" w:rsidRPr="00F175A7" w14:paraId="60A6339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7230FFE4" w14:textId="77777777" w:rsidR="003B41CB" w:rsidRPr="0068624E" w:rsidRDefault="003B41CB" w:rsidP="00F175A7">
            <w:pPr>
              <w:spacing w:after="0" w:line="240" w:lineRule="auto"/>
              <w:ind w:firstLine="0"/>
            </w:pPr>
            <w:r w:rsidRPr="00F175A7">
              <w:rPr>
                <w:rFonts w:eastAsia="Times New Roman" w:cs="Times New Roman"/>
              </w:rPr>
              <w:t>Nombre d’opérations conjointes pour le démantèlement des circuits informels de commercialisation des produits pétroliers organisées</w:t>
            </w:r>
          </w:p>
        </w:tc>
        <w:tc>
          <w:tcPr>
            <w:tcW w:w="699" w:type="pct"/>
          </w:tcPr>
          <w:p w14:paraId="5CD5B275"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0</w:t>
            </w:r>
          </w:p>
        </w:tc>
        <w:tc>
          <w:tcPr>
            <w:tcW w:w="749" w:type="pct"/>
          </w:tcPr>
          <w:p w14:paraId="0D2C212D"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7</w:t>
            </w:r>
          </w:p>
        </w:tc>
        <w:tc>
          <w:tcPr>
            <w:tcW w:w="760" w:type="pct"/>
          </w:tcPr>
          <w:p w14:paraId="710179AF"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5</w:t>
            </w:r>
          </w:p>
        </w:tc>
      </w:tr>
      <w:tr w:rsidR="003B41CB" w:rsidRPr="00F175A7" w14:paraId="5402F89E" w14:textId="77777777" w:rsidTr="00E52836">
        <w:tc>
          <w:tcPr>
            <w:cnfStyle w:val="001000000000" w:firstRow="0" w:lastRow="0" w:firstColumn="1" w:lastColumn="0" w:oddVBand="0" w:evenVBand="0" w:oddHBand="0" w:evenHBand="0" w:firstRowFirstColumn="0" w:firstRowLastColumn="0" w:lastRowFirstColumn="0" w:lastRowLastColumn="0"/>
            <w:tcW w:w="2792" w:type="pct"/>
          </w:tcPr>
          <w:p w14:paraId="631551C3" w14:textId="77777777" w:rsidR="003B41CB" w:rsidRPr="0068624E" w:rsidRDefault="003B41CB" w:rsidP="00F175A7">
            <w:pPr>
              <w:spacing w:after="0" w:line="240" w:lineRule="auto"/>
              <w:ind w:firstLine="0"/>
            </w:pPr>
            <w:r w:rsidRPr="00F175A7">
              <w:rPr>
                <w:rFonts w:eastAsia="Times New Roman" w:cs="Times New Roman"/>
              </w:rPr>
              <w:t>Nombre de circuits informels de commercialisation des produits pétroliers démantelés</w:t>
            </w:r>
          </w:p>
        </w:tc>
        <w:tc>
          <w:tcPr>
            <w:tcW w:w="699" w:type="pct"/>
          </w:tcPr>
          <w:p w14:paraId="43EE8AFE"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12</w:t>
            </w:r>
          </w:p>
        </w:tc>
        <w:tc>
          <w:tcPr>
            <w:tcW w:w="749" w:type="pct"/>
          </w:tcPr>
          <w:p w14:paraId="3157145B"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10</w:t>
            </w:r>
          </w:p>
        </w:tc>
        <w:tc>
          <w:tcPr>
            <w:tcW w:w="760" w:type="pct"/>
          </w:tcPr>
          <w:p w14:paraId="74B4B7FA"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4</w:t>
            </w:r>
          </w:p>
        </w:tc>
      </w:tr>
      <w:tr w:rsidR="003B41CB" w:rsidRPr="00F175A7" w14:paraId="3DAE43B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1108968D" w14:textId="77777777" w:rsidR="003B41CB" w:rsidRPr="0068624E" w:rsidRDefault="003B41CB" w:rsidP="00F175A7">
            <w:pPr>
              <w:spacing w:after="0" w:line="240" w:lineRule="auto"/>
              <w:ind w:firstLine="0"/>
            </w:pPr>
            <w:r w:rsidRPr="00F175A7">
              <w:rPr>
                <w:rFonts w:eastAsia="Times New Roman" w:cs="Times New Roman"/>
              </w:rPr>
              <w:t>Nombre d'opérations de contrôle des produits pétroliers liquides et gazeux organisées</w:t>
            </w:r>
          </w:p>
        </w:tc>
        <w:tc>
          <w:tcPr>
            <w:tcW w:w="699" w:type="pct"/>
          </w:tcPr>
          <w:p w14:paraId="118447D6"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0</w:t>
            </w:r>
          </w:p>
        </w:tc>
        <w:tc>
          <w:tcPr>
            <w:tcW w:w="749" w:type="pct"/>
          </w:tcPr>
          <w:p w14:paraId="1AC4A174"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13</w:t>
            </w:r>
          </w:p>
        </w:tc>
        <w:tc>
          <w:tcPr>
            <w:tcW w:w="760" w:type="pct"/>
          </w:tcPr>
          <w:p w14:paraId="0472A846" w14:textId="77777777" w:rsidR="003B41CB" w:rsidRPr="0068624E"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rPr>
                <w:rFonts w:eastAsia="Times New Roman" w:cs="Times New Roman"/>
              </w:rPr>
              <w:t>15</w:t>
            </w:r>
          </w:p>
        </w:tc>
      </w:tr>
      <w:tr w:rsidR="003B41CB" w:rsidRPr="00F175A7" w14:paraId="38A6A650" w14:textId="77777777" w:rsidTr="00E52836">
        <w:tc>
          <w:tcPr>
            <w:cnfStyle w:val="001000000000" w:firstRow="0" w:lastRow="0" w:firstColumn="1" w:lastColumn="0" w:oddVBand="0" w:evenVBand="0" w:oddHBand="0" w:evenHBand="0" w:firstRowFirstColumn="0" w:firstRowLastColumn="0" w:lastRowFirstColumn="0" w:lastRowLastColumn="0"/>
            <w:tcW w:w="2792" w:type="pct"/>
          </w:tcPr>
          <w:p w14:paraId="6167DB54" w14:textId="77777777" w:rsidR="003B41CB" w:rsidRPr="0068624E" w:rsidRDefault="003B41CB" w:rsidP="00F175A7">
            <w:pPr>
              <w:spacing w:after="0" w:line="240" w:lineRule="auto"/>
              <w:ind w:firstLine="0"/>
            </w:pPr>
            <w:r w:rsidRPr="00F175A7">
              <w:rPr>
                <w:rFonts w:eastAsia="Times New Roman" w:cs="Times New Roman"/>
              </w:rPr>
              <w:t>Un répertoire actualisé de réseaux de transfert informel d'argent est disponible</w:t>
            </w:r>
          </w:p>
        </w:tc>
        <w:tc>
          <w:tcPr>
            <w:tcW w:w="699" w:type="pct"/>
          </w:tcPr>
          <w:p w14:paraId="68561349"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0</w:t>
            </w:r>
          </w:p>
        </w:tc>
        <w:tc>
          <w:tcPr>
            <w:tcW w:w="749" w:type="pct"/>
          </w:tcPr>
          <w:p w14:paraId="492EB554"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1</w:t>
            </w:r>
          </w:p>
        </w:tc>
        <w:tc>
          <w:tcPr>
            <w:tcW w:w="760" w:type="pct"/>
          </w:tcPr>
          <w:p w14:paraId="1FEF413E" w14:textId="77777777" w:rsidR="003B41CB" w:rsidRPr="0068624E"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1</w:t>
            </w:r>
          </w:p>
        </w:tc>
      </w:tr>
    </w:tbl>
    <w:p w14:paraId="6C472D24" w14:textId="44148067"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apports </w:t>
      </w:r>
      <w:r w:rsidR="00603CB3">
        <w:rPr>
          <w:rFonts w:eastAsia="Times New Roman" w:cs="Times New Roman"/>
          <w:sz w:val="20"/>
          <w:szCs w:val="20"/>
        </w:rPr>
        <w:t xml:space="preserve">annuels </w:t>
      </w:r>
      <w:r w:rsidRPr="008D20C6">
        <w:rPr>
          <w:rFonts w:eastAsia="Times New Roman" w:cs="Times New Roman"/>
          <w:sz w:val="20"/>
          <w:szCs w:val="20"/>
        </w:rPr>
        <w:t>de performance 2023 des CSD-GE et CSM, février 2024</w:t>
      </w:r>
    </w:p>
    <w:p w14:paraId="4161AC12" w14:textId="6C353134" w:rsidR="00F90FC2" w:rsidRPr="002C4BDC" w:rsidRDefault="003B41CB" w:rsidP="00F90FC2">
      <w:pPr>
        <w:numPr>
          <w:ilvl w:val="0"/>
          <w:numId w:val="8"/>
        </w:numPr>
        <w:shd w:val="clear" w:color="auto" w:fill="FFFFFF"/>
        <w:spacing w:before="120" w:after="120" w:line="240" w:lineRule="auto"/>
        <w:ind w:left="0"/>
      </w:pPr>
      <w:r w:rsidRPr="003B41CB">
        <w:t>Ces différentes opérations ont abouti à la saisie de 176 véhicules, 19 tricycles, 461 motos dans des situations irrégulières et au recouvrement de 26 574 000 FCFA de droits et taxes, d’amendes douanières et de contraventions policières.</w:t>
      </w:r>
      <w:r w:rsidR="00F90FC2">
        <w:t xml:space="preserve"> En outre, ces opérations de contrôle ont concerné 295 acteurs intervenant au niveau des cycles et cyclomoteurs et la verbalisation de six (06) </w:t>
      </w:r>
      <w:proofErr w:type="spellStart"/>
      <w:r w:rsidR="00F90FC2">
        <w:t>marketeurs</w:t>
      </w:r>
      <w:proofErr w:type="spellEnd"/>
      <w:r w:rsidR="00F90FC2">
        <w:t xml:space="preserve"> et 552 stations-service au niveau pétrolier. Les résultats auraient pu être meilleurs si le parc automobile de la Brigade mobile de contrôle économique et de la répression des fraudes (BMCRF) était </w:t>
      </w:r>
      <w:r w:rsidR="00F90FC2" w:rsidRPr="002C4BDC">
        <w:t xml:space="preserve">renforcé. </w:t>
      </w:r>
    </w:p>
    <w:p w14:paraId="4D899138" w14:textId="6C2B9A62" w:rsidR="003B41CB" w:rsidRPr="008139E1" w:rsidRDefault="003B41CB" w:rsidP="00F175A7">
      <w:pPr>
        <w:numPr>
          <w:ilvl w:val="0"/>
          <w:numId w:val="8"/>
        </w:numPr>
        <w:shd w:val="clear" w:color="auto" w:fill="FFFFFF"/>
        <w:spacing w:before="120" w:after="120" w:line="240" w:lineRule="auto"/>
        <w:ind w:left="0"/>
      </w:pPr>
      <w:r w:rsidRPr="002C4BDC">
        <w:lastRenderedPageBreak/>
        <w:t>En terme</w:t>
      </w:r>
      <w:r w:rsidR="00BC47C2">
        <w:t>s</w:t>
      </w:r>
      <w:r w:rsidRPr="002C4BDC">
        <w:t xml:space="preserve"> d’engagement financier, ce sont au total, </w:t>
      </w:r>
      <w:r w:rsidR="00F90FC2" w:rsidRPr="002C4BDC">
        <w:t>79</w:t>
      </w:r>
      <w:r w:rsidR="00BC47C2">
        <w:rPr>
          <w:rFonts w:eastAsia="Calibri"/>
          <w:szCs w:val="24"/>
        </w:rPr>
        <w:t> </w:t>
      </w:r>
      <w:r w:rsidR="00F90FC2" w:rsidRPr="002C4BDC">
        <w:t>090</w:t>
      </w:r>
      <w:r w:rsidR="00BC47C2">
        <w:rPr>
          <w:rFonts w:eastAsia="Calibri"/>
          <w:szCs w:val="24"/>
        </w:rPr>
        <w:t> </w:t>
      </w:r>
      <w:r w:rsidR="00F90FC2" w:rsidRPr="002C4BDC">
        <w:t>000</w:t>
      </w:r>
      <w:r w:rsidR="00BC47C2" w:rsidRPr="00B21CEC">
        <w:rPr>
          <w:rFonts w:eastAsia="Calibri"/>
          <w:szCs w:val="24"/>
        </w:rPr>
        <w:t> </w:t>
      </w:r>
      <w:r w:rsidR="00F90FC2" w:rsidRPr="002C4BDC">
        <w:t>FCFA qui ont été exécutés sur une dotation de 201</w:t>
      </w:r>
      <w:r w:rsidR="00BC47C2" w:rsidRPr="00B21CEC">
        <w:rPr>
          <w:rFonts w:eastAsia="Calibri"/>
          <w:szCs w:val="24"/>
        </w:rPr>
        <w:t> </w:t>
      </w:r>
      <w:r w:rsidR="00F90FC2" w:rsidRPr="002C4BDC">
        <w:t>500</w:t>
      </w:r>
      <w:r w:rsidR="00BC47C2">
        <w:t> </w:t>
      </w:r>
      <w:r w:rsidR="00F90FC2" w:rsidRPr="002C4BDC">
        <w:t>000</w:t>
      </w:r>
      <w:r w:rsidR="00BC47C2">
        <w:t xml:space="preserve"> FCFA</w:t>
      </w:r>
      <w:r w:rsidR="00F90FC2" w:rsidRPr="002C4BDC">
        <w:t>, soit un taux d’exécution d’à peine 39,25%.</w:t>
      </w:r>
    </w:p>
    <w:p w14:paraId="3194E26B" w14:textId="6BA56F1D" w:rsidR="003B41CB" w:rsidRPr="003B41CB" w:rsidRDefault="003B41CB" w:rsidP="00F175A7">
      <w:pPr>
        <w:numPr>
          <w:ilvl w:val="0"/>
          <w:numId w:val="8"/>
        </w:numPr>
        <w:shd w:val="clear" w:color="auto" w:fill="FFFFFF"/>
        <w:spacing w:before="120" w:after="120" w:line="240" w:lineRule="auto"/>
        <w:ind w:left="0"/>
      </w:pPr>
      <w:r w:rsidRPr="003B41CB">
        <w:t xml:space="preserve">Concernant la huitième action en lien avec la « </w:t>
      </w:r>
      <w:r w:rsidRPr="00F175A7">
        <w:rPr>
          <w:b/>
        </w:rPr>
        <w:t>lutte contre le blanchiment des capitaux et le financement du terrorisme</w:t>
      </w:r>
      <w:r w:rsidR="00F63905" w:rsidRPr="00F175A7">
        <w:rPr>
          <w:b/>
        </w:rPr>
        <w:t> »</w:t>
      </w:r>
      <w:r w:rsidRPr="00F175A7">
        <w:rPr>
          <w:b/>
        </w:rPr>
        <w:t xml:space="preserve"> (01008)</w:t>
      </w:r>
      <w:r w:rsidRPr="003B41CB">
        <w:t xml:space="preserve">, elle </w:t>
      </w:r>
      <w:r w:rsidR="00F63905">
        <w:t xml:space="preserve">est portée </w:t>
      </w:r>
      <w:r w:rsidRPr="003B41CB">
        <w:t>par le CSD</w:t>
      </w:r>
      <w:r w:rsidR="00F63905">
        <w:t>-</w:t>
      </w:r>
      <w:r w:rsidRPr="003B41CB">
        <w:t>GE. Au 31 décembre 2023, même si la statistique visant à porter à 80% la proportion des personnes suspectées de terrorisme dont les avoirs ont été gelés n’est pas disponible, la conduite de l’action publique a permis d’enregistrer des acquis notables dans l’exécution des produits qui ont atteint leurs cibles. En effet, le rapport de dissémination de l’évaluation national des risques de F</w:t>
      </w:r>
      <w:r w:rsidR="00F63905">
        <w:t>inancement du terrorisme (F</w:t>
      </w:r>
      <w:r w:rsidRPr="003B41CB">
        <w:t>T</w:t>
      </w:r>
      <w:r w:rsidR="00F63905">
        <w:t>)</w:t>
      </w:r>
      <w:r w:rsidRPr="003B41CB">
        <w:t xml:space="preserve"> et son plan d’action de mitigation des risques ont été rendus disponible</w:t>
      </w:r>
      <w:r w:rsidR="00D45742">
        <w:t>s</w:t>
      </w:r>
      <w:r w:rsidRPr="003B41CB">
        <w:t xml:space="preserve">, l’opérationnalisation de la Commission </w:t>
      </w:r>
      <w:r w:rsidR="00BC47C2">
        <w:t>c</w:t>
      </w:r>
      <w:r w:rsidRPr="003B41CB">
        <w:t xml:space="preserve">onsultative sur </w:t>
      </w:r>
      <w:r w:rsidR="00BC47C2">
        <w:t>g</w:t>
      </w:r>
      <w:r w:rsidRPr="003B41CB">
        <w:t xml:space="preserve">el </w:t>
      </w:r>
      <w:r w:rsidR="00BC47C2">
        <w:t>a</w:t>
      </w:r>
      <w:r w:rsidRPr="003B41CB">
        <w:t>dministratif (CCGA) s</w:t>
      </w:r>
      <w:r w:rsidR="00D45742">
        <w:t xml:space="preserve">’est </w:t>
      </w:r>
      <w:r w:rsidRPr="003B41CB">
        <w:t>concrétis</w:t>
      </w:r>
      <w:r w:rsidR="00D45742">
        <w:t>ée</w:t>
      </w:r>
      <w:r w:rsidRPr="003B41CB">
        <w:t xml:space="preserve"> avec l’élaboration de deux (2) listes périodiques nationales des personnes suspectées de terrorisme sur une cible de 1 et la sensibilisation effective des six (6) structures saisissantes prévues en 2023. A cela s’ajoute, la réalisation effective de l’</w:t>
      </w:r>
      <w:r w:rsidR="00BC47C2">
        <w:t>E</w:t>
      </w:r>
      <w:r w:rsidRPr="003B41CB">
        <w:t xml:space="preserve">valuation nationale des risques de blanchiment de capitaux </w:t>
      </w:r>
      <w:r w:rsidR="00D45742">
        <w:t xml:space="preserve">et </w:t>
      </w:r>
      <w:r w:rsidRPr="003B41CB">
        <w:t>de financement du terrorisme (ENR/FT)</w:t>
      </w:r>
      <w:r w:rsidR="00D45742">
        <w:t>.</w:t>
      </w:r>
    </w:p>
    <w:p w14:paraId="37BEF658" w14:textId="25180CB8" w:rsidR="003B41CB" w:rsidRPr="003B41CB" w:rsidRDefault="003B41CB" w:rsidP="00F175A7">
      <w:pPr>
        <w:numPr>
          <w:ilvl w:val="0"/>
          <w:numId w:val="8"/>
        </w:numPr>
        <w:shd w:val="clear" w:color="auto" w:fill="FFFFFF"/>
        <w:spacing w:before="120" w:after="120" w:line="240" w:lineRule="auto"/>
        <w:ind w:left="0"/>
      </w:pPr>
      <w:r w:rsidRPr="003B41CB">
        <w:t>En termes d’exécution financière, 142 284 544 de FCFA ont été dépensés sur une prévision de 165</w:t>
      </w:r>
      <w:r w:rsidR="00BC47C2">
        <w:rPr>
          <w:rFonts w:eastAsia="Calibri"/>
          <w:szCs w:val="24"/>
        </w:rPr>
        <w:t> </w:t>
      </w:r>
      <w:r w:rsidRPr="003B41CB">
        <w:t>000</w:t>
      </w:r>
      <w:r w:rsidR="00BC47C2" w:rsidRPr="00B21CEC">
        <w:rPr>
          <w:rFonts w:eastAsia="Calibri"/>
          <w:szCs w:val="24"/>
        </w:rPr>
        <w:t> </w:t>
      </w:r>
      <w:r w:rsidRPr="003B41CB">
        <w:t>000 FCFA, soit un taux de réalisation de 86,23%.</w:t>
      </w:r>
    </w:p>
    <w:p w14:paraId="33FD4EC8" w14:textId="57CB00F7" w:rsidR="003B41CB" w:rsidRPr="003B41CB" w:rsidRDefault="003B41CB" w:rsidP="00F175A7">
      <w:pPr>
        <w:numPr>
          <w:ilvl w:val="0"/>
          <w:numId w:val="8"/>
        </w:numPr>
        <w:shd w:val="clear" w:color="auto" w:fill="FFFFFF"/>
        <w:spacing w:before="120" w:after="120" w:line="240" w:lineRule="auto"/>
        <w:ind w:left="0"/>
      </w:pPr>
      <w:r w:rsidRPr="003B41CB">
        <w:t xml:space="preserve">La neuvième action portant sur </w:t>
      </w:r>
      <w:r w:rsidR="00B70534">
        <w:t>« </w:t>
      </w:r>
      <w:r w:rsidRPr="00F175A7">
        <w:rPr>
          <w:b/>
        </w:rPr>
        <w:t>l’encadrement des sites miniers artisanaux et promotion de l’exploitation semi-mécanisée</w:t>
      </w:r>
      <w:r w:rsidR="00B70534">
        <w:rPr>
          <w:b/>
        </w:rPr>
        <w:t> »</w:t>
      </w:r>
      <w:r w:rsidRPr="00F175A7">
        <w:rPr>
          <w:b/>
        </w:rPr>
        <w:t xml:space="preserve"> (01009)</w:t>
      </w:r>
      <w:r w:rsidRPr="003B41CB">
        <w:t xml:space="preserve"> est mise en œuvre par le CSD-DS. Au terme de l’année 2023, les progrès sont également nets dans la conduite de cette action, matérialisés par l’atteinte de la cible visée de </w:t>
      </w:r>
      <w:r w:rsidR="00030819">
        <w:t>60</w:t>
      </w:r>
      <w:r w:rsidRPr="003B41CB">
        <w:t>% de la proportion de sites miniers artisanaux transformés en exploitation minière semi-mécanisée. Ce résultat est tributaire des avancées enregistrées en terme</w:t>
      </w:r>
      <w:r w:rsidR="00B70534">
        <w:t>s</w:t>
      </w:r>
      <w:r w:rsidRPr="003B41CB">
        <w:t xml:space="preserve"> de formalisation traduit par la couverture de 18 sites miniers actifs en </w:t>
      </w:r>
      <w:r w:rsidR="00D45742">
        <w:t>A</w:t>
      </w:r>
      <w:r w:rsidRPr="003B41CB">
        <w:t>utorisation d’exploitation artisanale (AEA)</w:t>
      </w:r>
      <w:r w:rsidR="00D45742">
        <w:t xml:space="preserve"> </w:t>
      </w:r>
      <w:r w:rsidRPr="003B41CB">
        <w:t xml:space="preserve">pour une cible de 8 sites et dans une moindre </w:t>
      </w:r>
      <w:r w:rsidR="00D45742">
        <w:t xml:space="preserve">mesure, </w:t>
      </w:r>
      <w:r w:rsidRPr="003B41CB">
        <w:t>par la poursuite de l’identification des acteurs miniers avec la délivrance d’à peine 2</w:t>
      </w:r>
      <w:r w:rsidR="00BC47C2" w:rsidRPr="00B21CEC">
        <w:rPr>
          <w:rFonts w:eastAsia="Calibri"/>
          <w:szCs w:val="24"/>
        </w:rPr>
        <w:t> </w:t>
      </w:r>
      <w:r w:rsidRPr="003B41CB">
        <w:t>111 cartes sur une prévision de 5</w:t>
      </w:r>
      <w:r w:rsidR="00BC47C2" w:rsidRPr="00B21CEC">
        <w:rPr>
          <w:rFonts w:eastAsia="Calibri"/>
          <w:szCs w:val="24"/>
        </w:rPr>
        <w:t> </w:t>
      </w:r>
      <w:r w:rsidRPr="003B41CB">
        <w:t>664.</w:t>
      </w:r>
    </w:p>
    <w:p w14:paraId="17C42D12" w14:textId="48631F06" w:rsidR="003B41CB" w:rsidRPr="003B41CB" w:rsidRDefault="00BC47C2" w:rsidP="00F175A7">
      <w:pPr>
        <w:numPr>
          <w:ilvl w:val="0"/>
          <w:numId w:val="8"/>
        </w:numPr>
        <w:shd w:val="clear" w:color="auto" w:fill="FFFFFF"/>
        <w:spacing w:before="120" w:after="120" w:line="240" w:lineRule="auto"/>
        <w:ind w:left="0"/>
      </w:pPr>
      <w:r>
        <w:t>Sur le</w:t>
      </w:r>
      <w:r w:rsidR="003B41CB" w:rsidRPr="003B41CB">
        <w:t xml:space="preserve"> plan financier pour cette action, 22</w:t>
      </w:r>
      <w:r>
        <w:rPr>
          <w:rFonts w:eastAsia="Calibri"/>
          <w:szCs w:val="24"/>
        </w:rPr>
        <w:t> </w:t>
      </w:r>
      <w:r w:rsidR="003B41CB" w:rsidRPr="003B41CB">
        <w:t>906</w:t>
      </w:r>
      <w:r w:rsidRPr="00B21CEC">
        <w:rPr>
          <w:rFonts w:eastAsia="Calibri"/>
          <w:szCs w:val="24"/>
        </w:rPr>
        <w:t> </w:t>
      </w:r>
      <w:r w:rsidR="003B41CB" w:rsidRPr="003B41CB">
        <w:t>000 FCFA ont été dépensés sur une prévision financière de 47</w:t>
      </w:r>
      <w:r>
        <w:rPr>
          <w:rFonts w:eastAsia="Calibri"/>
          <w:szCs w:val="24"/>
        </w:rPr>
        <w:t> </w:t>
      </w:r>
      <w:r w:rsidR="003B41CB" w:rsidRPr="003B41CB">
        <w:t>000</w:t>
      </w:r>
      <w:r w:rsidRPr="00B21CEC">
        <w:rPr>
          <w:rFonts w:eastAsia="Calibri"/>
          <w:szCs w:val="24"/>
        </w:rPr>
        <w:t> </w:t>
      </w:r>
      <w:r w:rsidR="003B41CB" w:rsidRPr="003B41CB">
        <w:t>000 FCFA, soit un taux d’exécution moyen de 49%.</w:t>
      </w:r>
    </w:p>
    <w:p w14:paraId="5C01B9EB" w14:textId="3C6A1909" w:rsidR="003B41CB" w:rsidRPr="003B41CB" w:rsidRDefault="003B41CB" w:rsidP="00F175A7">
      <w:pPr>
        <w:numPr>
          <w:ilvl w:val="0"/>
          <w:numId w:val="8"/>
        </w:numPr>
        <w:shd w:val="clear" w:color="auto" w:fill="FFFFFF"/>
        <w:spacing w:before="120" w:after="120" w:line="240" w:lineRule="auto"/>
        <w:ind w:left="0"/>
      </w:pPr>
      <w:r w:rsidRPr="003B41CB">
        <w:t>La dixième action a</w:t>
      </w:r>
      <w:r w:rsidR="00693DA6">
        <w:t xml:space="preserve"> </w:t>
      </w:r>
      <w:r w:rsidRPr="003B41CB">
        <w:t xml:space="preserve">trait à </w:t>
      </w:r>
      <w:r w:rsidRPr="00F175A7">
        <w:rPr>
          <w:b/>
        </w:rPr>
        <w:t>l</w:t>
      </w:r>
      <w:proofErr w:type="gramStart"/>
      <w:r w:rsidRPr="00F175A7">
        <w:rPr>
          <w:b/>
        </w:rPr>
        <w:t>’«</w:t>
      </w:r>
      <w:proofErr w:type="gramEnd"/>
      <w:r w:rsidRPr="00F175A7">
        <w:rPr>
          <w:b/>
        </w:rPr>
        <w:t xml:space="preserve"> adoption et opérationnalisation d’une stratégie nationale de sécurisation des exploitations minières et renforcement de la résilience des sites miniers (01010) »</w:t>
      </w:r>
      <w:r w:rsidRPr="003B41CB">
        <w:t>. Portée par le CSD-DS, cette réforme qui vise à consolider les retombées des ressources minières peine à se concrétiser. Au 31 décembre 2023, certes l’adoption de ladite stratégie n’a pas pu être effective. Toutefois, l’élan de renforcer le dynamisme du secteur minier s’est maintenu</w:t>
      </w:r>
      <w:r w:rsidR="00693DA6">
        <w:t>,</w:t>
      </w:r>
      <w:r w:rsidRPr="003B41CB">
        <w:t xml:space="preserve"> avec la mise en exploitation d’une des deux nouvelles mines attendues en 2023, portant à 18</w:t>
      </w:r>
      <w:r w:rsidR="00693DA6">
        <w:t>,</w:t>
      </w:r>
      <w:r w:rsidRPr="003B41CB">
        <w:t xml:space="preserve"> le nombre de mines industrielles en exploitation pour une cible de 19.</w:t>
      </w:r>
    </w:p>
    <w:p w14:paraId="494656EB" w14:textId="21F0F39A" w:rsidR="003B41CB" w:rsidRPr="003B41CB" w:rsidRDefault="003B41CB" w:rsidP="00F175A7">
      <w:pPr>
        <w:numPr>
          <w:ilvl w:val="0"/>
          <w:numId w:val="8"/>
        </w:numPr>
        <w:shd w:val="clear" w:color="auto" w:fill="FFFFFF"/>
        <w:spacing w:before="120" w:after="120" w:line="240" w:lineRule="auto"/>
        <w:ind w:left="0"/>
      </w:pPr>
      <w:r w:rsidRPr="003B41CB">
        <w:t>En terme</w:t>
      </w:r>
      <w:r w:rsidR="00B70534">
        <w:t>s</w:t>
      </w:r>
      <w:r w:rsidRPr="003B41CB">
        <w:t xml:space="preserve"> d’engagement financier pour la mise en œuvre de cette réforme, quasiment aucune exécution (13</w:t>
      </w:r>
      <w:r w:rsidR="00030819">
        <w:t> </w:t>
      </w:r>
      <w:r w:rsidRPr="003B41CB">
        <w:t>090</w:t>
      </w:r>
      <w:r w:rsidR="00030819">
        <w:rPr>
          <w:rFonts w:eastAsia="Calibri"/>
          <w:szCs w:val="24"/>
        </w:rPr>
        <w:t> </w:t>
      </w:r>
      <w:r w:rsidR="00030819">
        <w:t>000</w:t>
      </w:r>
      <w:r w:rsidRPr="003B41CB">
        <w:t xml:space="preserve"> F CFA) n’a été faite sur une dotation de 68</w:t>
      </w:r>
      <w:r w:rsidR="00BC47C2">
        <w:rPr>
          <w:rFonts w:eastAsia="Calibri"/>
          <w:szCs w:val="24"/>
        </w:rPr>
        <w:t> </w:t>
      </w:r>
      <w:r w:rsidRPr="003B41CB">
        <w:t>000</w:t>
      </w:r>
      <w:r w:rsidR="00BC47C2" w:rsidRPr="00B21CEC">
        <w:rPr>
          <w:rFonts w:eastAsia="Calibri"/>
          <w:szCs w:val="24"/>
        </w:rPr>
        <w:t> </w:t>
      </w:r>
      <w:r w:rsidRPr="003B41CB">
        <w:t xml:space="preserve">000 FCFA. </w:t>
      </w:r>
    </w:p>
    <w:p w14:paraId="2A815A73" w14:textId="097B832A" w:rsidR="003B41CB" w:rsidRPr="003B41CB" w:rsidRDefault="003B41CB" w:rsidP="00F175A7">
      <w:pPr>
        <w:numPr>
          <w:ilvl w:val="0"/>
          <w:numId w:val="8"/>
        </w:numPr>
        <w:shd w:val="clear" w:color="auto" w:fill="FFFFFF"/>
        <w:spacing w:before="120" w:after="120" w:line="240" w:lineRule="auto"/>
        <w:ind w:left="0"/>
      </w:pPr>
      <w:r w:rsidRPr="003B41CB">
        <w:t xml:space="preserve">La onzième action portant </w:t>
      </w:r>
      <w:r w:rsidRPr="008139E1">
        <w:rPr>
          <w:b/>
        </w:rPr>
        <w:t>sur la sécurisation des juridictions et établissements pénitentiaires (01011)</w:t>
      </w:r>
      <w:r w:rsidRPr="003B41CB">
        <w:t>, est mise en œuvre par le CSD</w:t>
      </w:r>
      <w:r w:rsidR="00693DA6">
        <w:t>-</w:t>
      </w:r>
      <w:r w:rsidRPr="003B41CB">
        <w:t xml:space="preserve">JDH. Au terme de l’année 2023, les </w:t>
      </w:r>
      <w:r w:rsidRPr="003B41CB">
        <w:lastRenderedPageBreak/>
        <w:t xml:space="preserve">acquis se consolident avec l’atteinte </w:t>
      </w:r>
      <w:r w:rsidR="00B70534">
        <w:t>de 76,66% de juridictions disposant d’unités spéciales judiciaires opérationnalisées pour une cible de 66%</w:t>
      </w:r>
      <w:r w:rsidRPr="003B41CB">
        <w:t>.</w:t>
      </w:r>
    </w:p>
    <w:p w14:paraId="3F77C8E4" w14:textId="288F9876" w:rsidR="003B41CB" w:rsidRPr="003B41CB" w:rsidRDefault="003B41CB" w:rsidP="00F175A7">
      <w:pPr>
        <w:numPr>
          <w:ilvl w:val="0"/>
          <w:numId w:val="8"/>
        </w:numPr>
        <w:shd w:val="clear" w:color="auto" w:fill="FFFFFF"/>
        <w:spacing w:before="120" w:after="120" w:line="240" w:lineRule="auto"/>
        <w:ind w:left="0"/>
      </w:pPr>
      <w:r w:rsidRPr="003B41CB">
        <w:t xml:space="preserve">Des quatre (04) livrables programmés dont le détail est consigné dans le tableau ci-dessous, trois ont atteint un niveau de réalisation satisfaisant, matérialisé par l’atteinte des cibles des indicateurs associés </w:t>
      </w:r>
      <w:r w:rsidR="00B70534">
        <w:t>en</w:t>
      </w:r>
      <w:r w:rsidRPr="003B41CB">
        <w:t xml:space="preserve"> fin décembre 2023. Il s’agit de : (i) la sécurisation des juridictions avec l’opérationnalisation de deux (2) nouvelles USJ dans les TGI de Léo et de </w:t>
      </w:r>
      <w:proofErr w:type="spellStart"/>
      <w:r w:rsidRPr="003B41CB">
        <w:t>Orodara</w:t>
      </w:r>
      <w:proofErr w:type="spellEnd"/>
      <w:r w:rsidRPr="003B41CB">
        <w:t xml:space="preserve"> ; (ii)l’équipement de tous les 28 établissements pénitentiaires en matériel spécifique de sécurité</w:t>
      </w:r>
      <w:r w:rsidR="00693DA6">
        <w:t>,</w:t>
      </w:r>
      <w:r w:rsidRPr="003B41CB">
        <w:t xml:space="preserve"> et (iii) la réouverture de deux (2) tribunaux de grande instance </w:t>
      </w:r>
      <w:r w:rsidR="00BC47C2">
        <w:t>à</w:t>
      </w:r>
      <w:r w:rsidRPr="003B41CB">
        <w:t xml:space="preserve"> </w:t>
      </w:r>
      <w:proofErr w:type="spellStart"/>
      <w:r w:rsidRPr="003B41CB">
        <w:t>Dori</w:t>
      </w:r>
      <w:proofErr w:type="spellEnd"/>
      <w:r w:rsidRPr="003B41CB">
        <w:t xml:space="preserve"> et </w:t>
      </w:r>
      <w:proofErr w:type="spellStart"/>
      <w:r w:rsidRPr="003B41CB">
        <w:t>Kongoussi</w:t>
      </w:r>
      <w:proofErr w:type="spellEnd"/>
      <w:r w:rsidRPr="003B41CB">
        <w:t>.</w:t>
      </w:r>
    </w:p>
    <w:p w14:paraId="7162A7DE" w14:textId="188FE571" w:rsidR="003B41CB" w:rsidRPr="003B41CB" w:rsidRDefault="003B41CB" w:rsidP="00F175A7">
      <w:pPr>
        <w:numPr>
          <w:ilvl w:val="0"/>
          <w:numId w:val="8"/>
        </w:numPr>
        <w:shd w:val="clear" w:color="auto" w:fill="FFFFFF"/>
        <w:spacing w:before="120" w:after="120" w:line="240" w:lineRule="auto"/>
        <w:ind w:left="0"/>
      </w:pPr>
      <w:r w:rsidRPr="003B41CB">
        <w:t xml:space="preserve">En revanche, le démarrage des travaux de construction du camp </w:t>
      </w:r>
      <w:r w:rsidR="00B70534">
        <w:t xml:space="preserve">de la </w:t>
      </w:r>
      <w:r w:rsidRPr="003B41CB">
        <w:t>Brigade d'</w:t>
      </w:r>
      <w:r w:rsidR="00BC47C2">
        <w:t>i</w:t>
      </w:r>
      <w:r w:rsidRPr="003B41CB">
        <w:t>ntervention de l'</w:t>
      </w:r>
      <w:r w:rsidR="00BC47C2">
        <w:t>a</w:t>
      </w:r>
      <w:r w:rsidRPr="003B41CB">
        <w:t xml:space="preserve">dministration </w:t>
      </w:r>
      <w:r w:rsidR="00BC47C2">
        <w:t>p</w:t>
      </w:r>
      <w:r w:rsidRPr="003B41CB">
        <w:t xml:space="preserve">énitentiaire (BIAP) n’est toujours pas effectif </w:t>
      </w:r>
      <w:r w:rsidR="00B70534">
        <w:t>en raison</w:t>
      </w:r>
      <w:r w:rsidR="00B70534" w:rsidRPr="003B41CB">
        <w:t xml:space="preserve"> d’un</w:t>
      </w:r>
      <w:r w:rsidR="00B70534">
        <w:t>e erreur d’attribution du site initialement identifié</w:t>
      </w:r>
      <w:r w:rsidRPr="003B41CB">
        <w:t>, plombant du coup l’exécution financière de cette action.</w:t>
      </w:r>
      <w:r w:rsidR="00B70534">
        <w:t xml:space="preserve"> Toutefois, </w:t>
      </w:r>
      <w:r w:rsidR="00B70534">
        <w:rPr>
          <w:rFonts w:eastAsia="Calibri" w:cs="Times New Roman"/>
          <w:szCs w:val="24"/>
        </w:rPr>
        <w:t>u</w:t>
      </w:r>
      <w:r w:rsidR="00B70534" w:rsidRPr="00173DBE">
        <w:rPr>
          <w:rFonts w:eastAsia="Calibri" w:cs="Times New Roman"/>
          <w:szCs w:val="24"/>
        </w:rPr>
        <w:t>n nouveau site a été attribué pour la réalisation du projet</w:t>
      </w:r>
      <w:r w:rsidR="00B70534">
        <w:rPr>
          <w:rFonts w:eastAsia="Calibri" w:cs="Times New Roman"/>
          <w:szCs w:val="24"/>
        </w:rPr>
        <w:t>.</w:t>
      </w:r>
    </w:p>
    <w:p w14:paraId="70CEF611" w14:textId="599D43BC" w:rsidR="003B41CB" w:rsidRPr="00175CE3" w:rsidRDefault="00175CE3" w:rsidP="003B41CB">
      <w:pPr>
        <w:shd w:val="clear" w:color="auto" w:fill="FFFFFF"/>
        <w:spacing w:before="240" w:after="240" w:line="240" w:lineRule="auto"/>
        <w:rPr>
          <w:sz w:val="22"/>
        </w:rPr>
      </w:pPr>
      <w:bookmarkStart w:id="30" w:name="_Toc164503596"/>
      <w:r w:rsidRPr="00175CE3">
        <w:rPr>
          <w:b/>
          <w:bCs/>
          <w:sz w:val="22"/>
          <w:u w:val="single"/>
        </w:rPr>
        <w:t xml:space="preserve">Tableau </w:t>
      </w:r>
      <w:r w:rsidRPr="00175CE3">
        <w:rPr>
          <w:b/>
          <w:bCs/>
          <w:sz w:val="22"/>
          <w:u w:val="single"/>
        </w:rPr>
        <w:fldChar w:fldCharType="begin"/>
      </w:r>
      <w:r w:rsidRPr="00175CE3">
        <w:rPr>
          <w:b/>
          <w:bCs/>
          <w:sz w:val="22"/>
          <w:u w:val="single"/>
        </w:rPr>
        <w:instrText xml:space="preserve"> SEQ Tableau \* ARABIC </w:instrText>
      </w:r>
      <w:r w:rsidRPr="00175CE3">
        <w:rPr>
          <w:b/>
          <w:bCs/>
          <w:sz w:val="22"/>
          <w:u w:val="single"/>
        </w:rPr>
        <w:fldChar w:fldCharType="separate"/>
      </w:r>
      <w:r w:rsidR="007C2E4E">
        <w:rPr>
          <w:b/>
          <w:bCs/>
          <w:noProof/>
          <w:sz w:val="22"/>
          <w:u w:val="single"/>
        </w:rPr>
        <w:t>9</w:t>
      </w:r>
      <w:r w:rsidRPr="00175CE3">
        <w:rPr>
          <w:b/>
          <w:bCs/>
          <w:sz w:val="22"/>
          <w:u w:val="single"/>
        </w:rPr>
        <w:fldChar w:fldCharType="end"/>
      </w:r>
      <w:r w:rsidR="003B41CB" w:rsidRPr="00175CE3">
        <w:rPr>
          <w:sz w:val="22"/>
        </w:rPr>
        <w:t>: situation des indicateurs de produits de l’action « sécurisation des juridictions et établissements pénitentiaires</w:t>
      </w:r>
      <w:r w:rsidR="00BC47C2">
        <w:rPr>
          <w:sz w:val="22"/>
        </w:rPr>
        <w:t> »</w:t>
      </w:r>
      <w:bookmarkEnd w:id="30"/>
    </w:p>
    <w:tbl>
      <w:tblPr>
        <w:tblStyle w:val="TableauGrille4-Accentuation119"/>
        <w:tblW w:w="5000" w:type="pct"/>
        <w:tblLook w:val="04A0" w:firstRow="1" w:lastRow="0" w:firstColumn="1" w:lastColumn="0" w:noHBand="0" w:noVBand="1"/>
      </w:tblPr>
      <w:tblGrid>
        <w:gridCol w:w="5034"/>
        <w:gridCol w:w="1441"/>
        <w:gridCol w:w="1351"/>
        <w:gridCol w:w="1190"/>
      </w:tblGrid>
      <w:tr w:rsidR="003B41CB" w14:paraId="2EF5CA00" w14:textId="77777777" w:rsidTr="00FF31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2" w:type="pct"/>
          </w:tcPr>
          <w:p w14:paraId="4EC2E548" w14:textId="60EC9E03" w:rsidR="003B41CB" w:rsidRDefault="003B41CB" w:rsidP="00F175A7">
            <w:pPr>
              <w:spacing w:after="0" w:line="240" w:lineRule="auto"/>
              <w:ind w:firstLine="0"/>
            </w:pPr>
            <w:r w:rsidRPr="008D20C6">
              <w:rPr>
                <w:rFonts w:eastAsia="Times New Roman" w:cs="Times New Roman"/>
              </w:rPr>
              <w:t xml:space="preserve">Indicateurs </w:t>
            </w:r>
          </w:p>
        </w:tc>
        <w:tc>
          <w:tcPr>
            <w:tcW w:w="799" w:type="pct"/>
          </w:tcPr>
          <w:p w14:paraId="25E2E5C8" w14:textId="77777777" w:rsidR="003B41CB"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Réal. 2022</w:t>
            </w:r>
          </w:p>
        </w:tc>
        <w:tc>
          <w:tcPr>
            <w:tcW w:w="749" w:type="pct"/>
          </w:tcPr>
          <w:p w14:paraId="0C95EF58" w14:textId="77777777" w:rsidR="003B41CB"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Réal. 2023</w:t>
            </w:r>
          </w:p>
        </w:tc>
        <w:tc>
          <w:tcPr>
            <w:tcW w:w="660" w:type="pct"/>
          </w:tcPr>
          <w:p w14:paraId="6F0BB398" w14:textId="77777777" w:rsidR="003B41CB"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Cible 2023</w:t>
            </w:r>
          </w:p>
        </w:tc>
      </w:tr>
      <w:tr w:rsidR="003B41CB" w14:paraId="6459F38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26533E8A" w14:textId="77777777" w:rsidR="003B41CB" w:rsidRDefault="003B41CB" w:rsidP="00F175A7">
            <w:pPr>
              <w:spacing w:after="0" w:line="240" w:lineRule="auto"/>
              <w:ind w:firstLine="0"/>
            </w:pPr>
            <w:r w:rsidRPr="008D20C6">
              <w:rPr>
                <w:rFonts w:eastAsia="Times New Roman" w:cs="Times New Roman"/>
              </w:rPr>
              <w:t>Nombre d'Unités spéciales judiciaires fonctionnelles</w:t>
            </w:r>
          </w:p>
        </w:tc>
        <w:tc>
          <w:tcPr>
            <w:tcW w:w="799" w:type="pct"/>
          </w:tcPr>
          <w:p w14:paraId="6292F41F" w14:textId="77777777" w:rsidR="003B41CB"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19</w:t>
            </w:r>
          </w:p>
        </w:tc>
        <w:tc>
          <w:tcPr>
            <w:tcW w:w="749" w:type="pct"/>
          </w:tcPr>
          <w:p w14:paraId="3AAC27BF" w14:textId="77777777" w:rsidR="003B41CB"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21</w:t>
            </w:r>
          </w:p>
        </w:tc>
        <w:tc>
          <w:tcPr>
            <w:tcW w:w="660" w:type="pct"/>
          </w:tcPr>
          <w:p w14:paraId="797DA619" w14:textId="77777777" w:rsidR="003B41CB"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20</w:t>
            </w:r>
          </w:p>
        </w:tc>
      </w:tr>
      <w:tr w:rsidR="003B41CB" w14:paraId="3450CD24" w14:textId="77777777" w:rsidTr="00E52836">
        <w:tc>
          <w:tcPr>
            <w:cnfStyle w:val="001000000000" w:firstRow="0" w:lastRow="0" w:firstColumn="1" w:lastColumn="0" w:oddVBand="0" w:evenVBand="0" w:oddHBand="0" w:evenHBand="0" w:firstRowFirstColumn="0" w:firstRowLastColumn="0" w:lastRowFirstColumn="0" w:lastRowLastColumn="0"/>
            <w:tcW w:w="2792" w:type="pct"/>
          </w:tcPr>
          <w:p w14:paraId="69DFA7C1" w14:textId="77777777" w:rsidR="003B41CB" w:rsidRDefault="003B41CB" w:rsidP="00F175A7">
            <w:pPr>
              <w:spacing w:after="0" w:line="240" w:lineRule="auto"/>
              <w:ind w:firstLine="0"/>
            </w:pPr>
            <w:r w:rsidRPr="008D20C6">
              <w:rPr>
                <w:rFonts w:eastAsia="Times New Roman" w:cs="Times New Roman"/>
              </w:rPr>
              <w:t>Nombre d'EP dotés de matériel spécifique de sécurité</w:t>
            </w:r>
          </w:p>
        </w:tc>
        <w:tc>
          <w:tcPr>
            <w:tcW w:w="799" w:type="pct"/>
          </w:tcPr>
          <w:p w14:paraId="443375AC" w14:textId="77777777" w:rsidR="003B41CB"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28</w:t>
            </w:r>
          </w:p>
        </w:tc>
        <w:tc>
          <w:tcPr>
            <w:tcW w:w="749" w:type="pct"/>
          </w:tcPr>
          <w:p w14:paraId="05362A2B" w14:textId="77777777" w:rsidR="003B41CB"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28</w:t>
            </w:r>
          </w:p>
        </w:tc>
        <w:tc>
          <w:tcPr>
            <w:tcW w:w="660" w:type="pct"/>
          </w:tcPr>
          <w:p w14:paraId="09FC6F91" w14:textId="77777777" w:rsidR="003B41CB"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28</w:t>
            </w:r>
          </w:p>
        </w:tc>
      </w:tr>
      <w:tr w:rsidR="003B41CB" w14:paraId="09633B2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tcPr>
          <w:p w14:paraId="1ADAB226" w14:textId="7E32E14A" w:rsidR="003B41CB" w:rsidRDefault="003B41CB" w:rsidP="00F175A7">
            <w:pPr>
              <w:spacing w:after="0" w:line="240" w:lineRule="auto"/>
              <w:ind w:firstLine="0"/>
            </w:pPr>
            <w:r w:rsidRPr="008D20C6">
              <w:rPr>
                <w:rFonts w:eastAsia="Times New Roman" w:cs="Times New Roman"/>
              </w:rPr>
              <w:t>Taux d'exécution physique des travaux de construction de la Brigade d'</w:t>
            </w:r>
            <w:r w:rsidR="00BC47C2">
              <w:rPr>
                <w:rFonts w:eastAsia="Times New Roman" w:cs="Times New Roman"/>
              </w:rPr>
              <w:t>i</w:t>
            </w:r>
            <w:r w:rsidRPr="008D20C6">
              <w:rPr>
                <w:rFonts w:eastAsia="Times New Roman" w:cs="Times New Roman"/>
              </w:rPr>
              <w:t>ntervention de l'</w:t>
            </w:r>
            <w:r w:rsidR="00BC47C2">
              <w:rPr>
                <w:rFonts w:eastAsia="Times New Roman" w:cs="Times New Roman"/>
              </w:rPr>
              <w:t>a</w:t>
            </w:r>
            <w:r w:rsidRPr="008D20C6">
              <w:rPr>
                <w:rFonts w:eastAsia="Times New Roman" w:cs="Times New Roman"/>
              </w:rPr>
              <w:t xml:space="preserve">dministration </w:t>
            </w:r>
            <w:r w:rsidR="00BC47C2">
              <w:rPr>
                <w:rFonts w:eastAsia="Times New Roman" w:cs="Times New Roman"/>
              </w:rPr>
              <w:t>p</w:t>
            </w:r>
            <w:r w:rsidRPr="008D20C6">
              <w:rPr>
                <w:rFonts w:eastAsia="Times New Roman" w:cs="Times New Roman"/>
              </w:rPr>
              <w:t>énitentiaire (%)</w:t>
            </w:r>
          </w:p>
        </w:tc>
        <w:tc>
          <w:tcPr>
            <w:tcW w:w="799" w:type="pct"/>
          </w:tcPr>
          <w:p w14:paraId="52F12E00" w14:textId="77777777" w:rsidR="003B41CB"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0</w:t>
            </w:r>
          </w:p>
        </w:tc>
        <w:tc>
          <w:tcPr>
            <w:tcW w:w="749" w:type="pct"/>
          </w:tcPr>
          <w:p w14:paraId="097E99CF" w14:textId="77777777" w:rsidR="003B41CB"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0</w:t>
            </w:r>
          </w:p>
        </w:tc>
        <w:tc>
          <w:tcPr>
            <w:tcW w:w="660" w:type="pct"/>
          </w:tcPr>
          <w:p w14:paraId="58DF4B93" w14:textId="33BE15B1" w:rsidR="003B41CB" w:rsidRDefault="00A01C65" w:rsidP="00F175A7">
            <w:pPr>
              <w:spacing w:after="0" w:line="240" w:lineRule="auto"/>
              <w:cnfStyle w:val="000000100000" w:firstRow="0" w:lastRow="0" w:firstColumn="0" w:lastColumn="0" w:oddVBand="0" w:evenVBand="0" w:oddHBand="1" w:evenHBand="0" w:firstRowFirstColumn="0" w:firstRowLastColumn="0" w:lastRowFirstColumn="0" w:lastRowLastColumn="0"/>
            </w:pPr>
            <w:r>
              <w:rPr>
                <w:rFonts w:eastAsia="Times New Roman" w:cs="Times New Roman"/>
              </w:rPr>
              <w:t>1</w:t>
            </w:r>
            <w:r w:rsidR="003B41CB" w:rsidRPr="008D20C6">
              <w:rPr>
                <w:rFonts w:eastAsia="Times New Roman" w:cs="Times New Roman"/>
              </w:rPr>
              <w:t>0</w:t>
            </w:r>
          </w:p>
        </w:tc>
      </w:tr>
      <w:tr w:rsidR="003B41CB" w14:paraId="095A29D2" w14:textId="77777777" w:rsidTr="00E52836">
        <w:tc>
          <w:tcPr>
            <w:cnfStyle w:val="001000000000" w:firstRow="0" w:lastRow="0" w:firstColumn="1" w:lastColumn="0" w:oddVBand="0" w:evenVBand="0" w:oddHBand="0" w:evenHBand="0" w:firstRowFirstColumn="0" w:firstRowLastColumn="0" w:lastRowFirstColumn="0" w:lastRowLastColumn="0"/>
            <w:tcW w:w="2792" w:type="pct"/>
          </w:tcPr>
          <w:p w14:paraId="3EE0ADC5" w14:textId="65F92E78" w:rsidR="003B41CB" w:rsidRDefault="003B41CB" w:rsidP="00F175A7">
            <w:pPr>
              <w:spacing w:after="0" w:line="240" w:lineRule="auto"/>
              <w:ind w:firstLine="0"/>
            </w:pPr>
            <w:r w:rsidRPr="008D20C6">
              <w:rPr>
                <w:rFonts w:eastAsia="Times New Roman" w:cs="Times New Roman"/>
                <w:sz w:val="20"/>
                <w:szCs w:val="20"/>
              </w:rPr>
              <w:t>Nombre de juridictions r</w:t>
            </w:r>
            <w:r w:rsidR="00A01C65">
              <w:rPr>
                <w:rFonts w:eastAsia="Times New Roman" w:cs="Times New Roman"/>
                <w:sz w:val="20"/>
                <w:szCs w:val="20"/>
              </w:rPr>
              <w:t xml:space="preserve">é </w:t>
            </w:r>
            <w:r w:rsidRPr="008D20C6">
              <w:rPr>
                <w:rFonts w:eastAsia="Times New Roman" w:cs="Times New Roman"/>
                <w:sz w:val="20"/>
                <w:szCs w:val="20"/>
              </w:rPr>
              <w:t>ouvertes</w:t>
            </w:r>
          </w:p>
        </w:tc>
        <w:tc>
          <w:tcPr>
            <w:tcW w:w="799" w:type="pct"/>
          </w:tcPr>
          <w:p w14:paraId="4C77224D" w14:textId="77777777" w:rsidR="003B41CB"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0</w:t>
            </w:r>
          </w:p>
        </w:tc>
        <w:tc>
          <w:tcPr>
            <w:tcW w:w="749" w:type="pct"/>
          </w:tcPr>
          <w:p w14:paraId="116BC59B" w14:textId="77777777" w:rsidR="003B41CB"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2</w:t>
            </w:r>
          </w:p>
        </w:tc>
        <w:tc>
          <w:tcPr>
            <w:tcW w:w="660" w:type="pct"/>
          </w:tcPr>
          <w:p w14:paraId="6E8898C8" w14:textId="1E52EA5D" w:rsidR="003B41CB" w:rsidRDefault="00A01C65"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Times New Roman"/>
              </w:rPr>
              <w:t>1</w:t>
            </w:r>
          </w:p>
        </w:tc>
      </w:tr>
    </w:tbl>
    <w:p w14:paraId="630305D3" w14:textId="1BAC370F"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apport</w:t>
      </w:r>
      <w:r w:rsidR="00603CB3">
        <w:rPr>
          <w:rFonts w:eastAsia="Times New Roman" w:cs="Times New Roman"/>
          <w:sz w:val="20"/>
          <w:szCs w:val="20"/>
        </w:rPr>
        <w:t xml:space="preserve"> annuel </w:t>
      </w:r>
      <w:r w:rsidRPr="008D20C6">
        <w:rPr>
          <w:rFonts w:eastAsia="Times New Roman" w:cs="Times New Roman"/>
          <w:sz w:val="20"/>
          <w:szCs w:val="20"/>
        </w:rPr>
        <w:t>de performance 2023 du CSD-JDH, février 2024</w:t>
      </w:r>
    </w:p>
    <w:p w14:paraId="060353C3" w14:textId="409D42F8" w:rsidR="003B41CB" w:rsidRPr="003B41CB" w:rsidRDefault="003B41CB" w:rsidP="00F175A7">
      <w:pPr>
        <w:numPr>
          <w:ilvl w:val="0"/>
          <w:numId w:val="8"/>
        </w:numPr>
        <w:shd w:val="clear" w:color="auto" w:fill="FFFFFF"/>
        <w:spacing w:before="120" w:after="120" w:line="240" w:lineRule="auto"/>
        <w:ind w:left="0"/>
      </w:pPr>
      <w:r w:rsidRPr="003B41CB">
        <w:t>Sur une prévision globale de 395 000 000 FCFA, un montant de 114 217 000 FCFA a été consommé au 31 décembre 2023</w:t>
      </w:r>
      <w:r w:rsidR="00BC47C2">
        <w:t>,</w:t>
      </w:r>
      <w:r w:rsidRPr="003B41CB">
        <w:t xml:space="preserve"> soit un taux d’exécution financière de 28,92%.</w:t>
      </w:r>
    </w:p>
    <w:p w14:paraId="48B106BA" w14:textId="230EF8A4" w:rsidR="003B41CB" w:rsidRPr="003B41CB" w:rsidRDefault="003B41CB" w:rsidP="00F175A7">
      <w:pPr>
        <w:numPr>
          <w:ilvl w:val="0"/>
          <w:numId w:val="8"/>
        </w:numPr>
        <w:shd w:val="clear" w:color="auto" w:fill="FFFFFF"/>
        <w:spacing w:before="120" w:after="120" w:line="240" w:lineRule="auto"/>
        <w:ind w:left="0"/>
      </w:pPr>
      <w:r w:rsidRPr="008139E1">
        <w:t xml:space="preserve">Pour ce qui est de </w:t>
      </w:r>
      <w:r w:rsidR="00E534A0" w:rsidRPr="008139E1">
        <w:t>l’</w:t>
      </w:r>
      <w:r w:rsidRPr="008139E1">
        <w:t xml:space="preserve">action relative </w:t>
      </w:r>
      <w:r w:rsidRPr="008139E1">
        <w:rPr>
          <w:b/>
        </w:rPr>
        <w:t>à l’amélioration de la gestion du système pénitentiaire</w:t>
      </w:r>
      <w:r w:rsidRPr="00E534A0">
        <w:t>, des efforts restent à faire car les cibles des indicateurs associés se sont dégradées. Il s’agit du taux d’occupation carcérale qui s’est situé à 166,38% pour une cible de 143% et du nombre</w:t>
      </w:r>
      <w:r w:rsidRPr="003B41CB">
        <w:t xml:space="preserve"> d’évadés sous garde qui s’est établi à 24 pour une cible de 16. La non</w:t>
      </w:r>
      <w:r w:rsidR="00E63D82">
        <w:t>-</w:t>
      </w:r>
      <w:r w:rsidRPr="003B41CB">
        <w:t>atteinte de la cible en matière d’occupation carcérale est due à la non</w:t>
      </w:r>
      <w:r w:rsidR="00E63D82">
        <w:t>-</w:t>
      </w:r>
      <w:r w:rsidRPr="003B41CB">
        <w:t>opérationnalisation de la MAC de Pô.</w:t>
      </w:r>
    </w:p>
    <w:p w14:paraId="4A5BF1D3" w14:textId="1C4E5A13" w:rsidR="003B41CB" w:rsidRPr="003B41CB" w:rsidRDefault="003B41CB" w:rsidP="00F175A7">
      <w:pPr>
        <w:numPr>
          <w:ilvl w:val="0"/>
          <w:numId w:val="8"/>
        </w:numPr>
        <w:shd w:val="clear" w:color="auto" w:fill="FFFFFF"/>
        <w:spacing w:before="120" w:after="120" w:line="240" w:lineRule="auto"/>
        <w:ind w:left="0"/>
      </w:pPr>
      <w:r w:rsidRPr="003B41CB">
        <w:t>En terme</w:t>
      </w:r>
      <w:r w:rsidR="00E63D82">
        <w:t>s</w:t>
      </w:r>
      <w:r w:rsidRPr="003B41CB">
        <w:t xml:space="preserve"> de mise en œuvre d’extrants, dont le détail est consigné dans le tableau ci-après, les acquis majeurs ont trait à la réhabilitation ou la réfection d’infrastructures pénitentiaire</w:t>
      </w:r>
      <w:r w:rsidR="00E63D82">
        <w:t>s</w:t>
      </w:r>
      <w:r w:rsidRPr="003B41CB">
        <w:t xml:space="preserve">, l’exécution du programme annuel de formation de la GSP, </w:t>
      </w:r>
      <w:r w:rsidR="00B70534">
        <w:t xml:space="preserve">la commémoration effective de la journée Mandela, </w:t>
      </w:r>
      <w:r w:rsidRPr="003B41CB">
        <w:t>la mise en place de mesures de réinsertion sociale au profit des détenus dont des femmes et de</w:t>
      </w:r>
      <w:r w:rsidR="00E63D82">
        <w:t>s</w:t>
      </w:r>
      <w:r w:rsidRPr="003B41CB">
        <w:t xml:space="preserve"> mineurs, la normalisation des services de police judiciaire et dans une moindre mesure à la couverture sanitaire des détenus et l’approvisionnement des EP en céréales.</w:t>
      </w:r>
    </w:p>
    <w:p w14:paraId="445906D7" w14:textId="733B665E" w:rsidR="003B41CB" w:rsidRPr="003B41CB" w:rsidRDefault="003B41CB" w:rsidP="00F175A7">
      <w:pPr>
        <w:numPr>
          <w:ilvl w:val="0"/>
          <w:numId w:val="8"/>
        </w:numPr>
        <w:shd w:val="clear" w:color="auto" w:fill="FFFFFF"/>
        <w:spacing w:before="120" w:after="120" w:line="240" w:lineRule="auto"/>
        <w:ind w:left="0"/>
      </w:pPr>
      <w:r w:rsidRPr="003B41CB">
        <w:t xml:space="preserve">En revanche, les travaux d’infrastructures clés rencontrent des </w:t>
      </w:r>
      <w:r w:rsidR="00B70534">
        <w:t>difficultés</w:t>
      </w:r>
      <w:r w:rsidRPr="003B41CB">
        <w:t xml:space="preserve">. Il s’agit de la construction de la maison d’arrêt de </w:t>
      </w:r>
      <w:proofErr w:type="spellStart"/>
      <w:r w:rsidRPr="003B41CB">
        <w:t>Boulsa</w:t>
      </w:r>
      <w:proofErr w:type="spellEnd"/>
      <w:r w:rsidRPr="003B41CB">
        <w:t xml:space="preserve"> dont les travaux sont suspendus en raison de </w:t>
      </w:r>
      <w:r w:rsidRPr="003B41CB">
        <w:lastRenderedPageBreak/>
        <w:t>l’incapacité financière du prestataire d’une part et de l’insécurité dans la zone d’autre part et de la construction de la grande détention de la MAC de Ouagadougou dont les travaux n’ont pas encore démarré.</w:t>
      </w:r>
    </w:p>
    <w:p w14:paraId="2668421F" w14:textId="12CD9F41" w:rsidR="003B41CB" w:rsidRPr="00175CE3" w:rsidRDefault="00175CE3" w:rsidP="003B41CB">
      <w:pPr>
        <w:shd w:val="clear" w:color="auto" w:fill="FFFFFF"/>
        <w:spacing w:before="240" w:after="240" w:line="240" w:lineRule="auto"/>
        <w:rPr>
          <w:b/>
          <w:bCs/>
          <w:sz w:val="22"/>
          <w:u w:val="single"/>
        </w:rPr>
      </w:pPr>
      <w:bookmarkStart w:id="31" w:name="_Toc164503597"/>
      <w:r w:rsidRPr="00175CE3">
        <w:rPr>
          <w:b/>
          <w:bCs/>
          <w:sz w:val="22"/>
          <w:u w:val="single"/>
        </w:rPr>
        <w:t xml:space="preserve">Tableau </w:t>
      </w:r>
      <w:r w:rsidRPr="00175CE3">
        <w:rPr>
          <w:b/>
          <w:bCs/>
          <w:sz w:val="22"/>
          <w:u w:val="single"/>
        </w:rPr>
        <w:fldChar w:fldCharType="begin"/>
      </w:r>
      <w:r w:rsidRPr="00175CE3">
        <w:rPr>
          <w:b/>
          <w:bCs/>
          <w:sz w:val="22"/>
          <w:u w:val="single"/>
        </w:rPr>
        <w:instrText xml:space="preserve"> SEQ Tableau \* ARABIC </w:instrText>
      </w:r>
      <w:r w:rsidRPr="00175CE3">
        <w:rPr>
          <w:b/>
          <w:bCs/>
          <w:sz w:val="22"/>
          <w:u w:val="single"/>
        </w:rPr>
        <w:fldChar w:fldCharType="separate"/>
      </w:r>
      <w:r w:rsidR="007C2E4E">
        <w:rPr>
          <w:b/>
          <w:bCs/>
          <w:noProof/>
          <w:sz w:val="22"/>
          <w:u w:val="single"/>
        </w:rPr>
        <w:t>10</w:t>
      </w:r>
      <w:r w:rsidRPr="00175CE3">
        <w:rPr>
          <w:b/>
          <w:bCs/>
          <w:sz w:val="22"/>
          <w:u w:val="single"/>
        </w:rPr>
        <w:fldChar w:fldCharType="end"/>
      </w:r>
      <w:r w:rsidR="003B41CB" w:rsidRPr="00175CE3">
        <w:rPr>
          <w:b/>
          <w:bCs/>
          <w:sz w:val="22"/>
          <w:u w:val="single"/>
        </w:rPr>
        <w:t xml:space="preserve">: </w:t>
      </w:r>
      <w:r w:rsidR="003B41CB" w:rsidRPr="00175CE3">
        <w:rPr>
          <w:sz w:val="22"/>
        </w:rPr>
        <w:t>situation des indicateurs de produits de l’action « amélioration de la gestion du système pénitentiaire »</w:t>
      </w:r>
      <w:bookmarkEnd w:id="31"/>
    </w:p>
    <w:tbl>
      <w:tblPr>
        <w:tblStyle w:val="TableauGrille4-Accentuation119"/>
        <w:tblW w:w="5000" w:type="pct"/>
        <w:tblLook w:val="04A0" w:firstRow="1" w:lastRow="0" w:firstColumn="1" w:lastColumn="0" w:noHBand="0" w:noVBand="1"/>
      </w:tblPr>
      <w:tblGrid>
        <w:gridCol w:w="5219"/>
        <w:gridCol w:w="1260"/>
        <w:gridCol w:w="1260"/>
        <w:gridCol w:w="1277"/>
      </w:tblGrid>
      <w:tr w:rsidR="003B41CB" w:rsidRPr="00FF315F" w14:paraId="16E67455" w14:textId="77777777" w:rsidTr="00A01C6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94" w:type="pct"/>
          </w:tcPr>
          <w:p w14:paraId="08BD54D7" w14:textId="77777777" w:rsidR="003B41CB" w:rsidRPr="00F175A7" w:rsidRDefault="003B41CB" w:rsidP="00F175A7">
            <w:pPr>
              <w:spacing w:after="0" w:line="240" w:lineRule="auto"/>
              <w:rPr>
                <w:color w:val="FFFFFF" w:themeColor="background1"/>
              </w:rPr>
            </w:pPr>
            <w:r w:rsidRPr="00F175A7">
              <w:rPr>
                <w:rFonts w:eastAsia="Times New Roman" w:cs="Times New Roman"/>
                <w:color w:val="FFFFFF" w:themeColor="background1"/>
              </w:rPr>
              <w:t>Indicateurs</w:t>
            </w:r>
          </w:p>
        </w:tc>
        <w:tc>
          <w:tcPr>
            <w:tcW w:w="699" w:type="pct"/>
          </w:tcPr>
          <w:p w14:paraId="626C6AB6" w14:textId="77777777" w:rsidR="003B41CB" w:rsidRPr="00F175A7"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F175A7">
              <w:rPr>
                <w:rFonts w:eastAsia="Times New Roman" w:cs="Times New Roman"/>
                <w:color w:val="FFFFFF" w:themeColor="background1"/>
              </w:rPr>
              <w:t>Réal. 2022</w:t>
            </w:r>
          </w:p>
        </w:tc>
        <w:tc>
          <w:tcPr>
            <w:tcW w:w="699" w:type="pct"/>
          </w:tcPr>
          <w:p w14:paraId="7446A134" w14:textId="77777777" w:rsidR="003B41CB" w:rsidRPr="00F175A7"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F175A7">
              <w:rPr>
                <w:rFonts w:eastAsia="Times New Roman" w:cs="Times New Roman"/>
                <w:color w:val="FFFFFF" w:themeColor="background1"/>
              </w:rPr>
              <w:t>Réal. 2023</w:t>
            </w:r>
          </w:p>
        </w:tc>
        <w:tc>
          <w:tcPr>
            <w:tcW w:w="708" w:type="pct"/>
          </w:tcPr>
          <w:p w14:paraId="54A346F8" w14:textId="77777777" w:rsidR="003B41CB" w:rsidRPr="00F175A7"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F175A7">
              <w:rPr>
                <w:rFonts w:eastAsia="Times New Roman" w:cs="Times New Roman"/>
                <w:color w:val="FFFFFF" w:themeColor="background1"/>
              </w:rPr>
              <w:t>Cible 2023</w:t>
            </w:r>
          </w:p>
        </w:tc>
      </w:tr>
      <w:tr w:rsidR="003B41CB" w:rsidRPr="00FF315F" w14:paraId="78995045" w14:textId="77777777" w:rsidTr="00A01C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2209AB5C" w14:textId="0E32A7DE" w:rsidR="003B41CB" w:rsidRPr="00FF315F" w:rsidRDefault="003B41CB" w:rsidP="00F175A7">
            <w:pPr>
              <w:spacing w:after="0" w:line="240" w:lineRule="auto"/>
              <w:ind w:firstLine="0"/>
            </w:pPr>
            <w:r w:rsidRPr="00FF315F">
              <w:rPr>
                <w:rFonts w:eastAsia="Times New Roman" w:cs="Times New Roman"/>
              </w:rPr>
              <w:t xml:space="preserve">Taux de réalisation physique des travaux de construction de la </w:t>
            </w:r>
            <w:r w:rsidR="00E63D82">
              <w:rPr>
                <w:rFonts w:eastAsia="Times New Roman" w:cs="Times New Roman"/>
              </w:rPr>
              <w:t>m</w:t>
            </w:r>
            <w:r w:rsidRPr="00FF315F">
              <w:rPr>
                <w:rFonts w:eastAsia="Times New Roman" w:cs="Times New Roman"/>
              </w:rPr>
              <w:t>aison d’</w:t>
            </w:r>
            <w:r w:rsidR="00E63D82">
              <w:rPr>
                <w:rFonts w:eastAsia="Times New Roman" w:cs="Times New Roman"/>
              </w:rPr>
              <w:t>a</w:t>
            </w:r>
            <w:r w:rsidRPr="00FF315F">
              <w:rPr>
                <w:rFonts w:eastAsia="Times New Roman" w:cs="Times New Roman"/>
              </w:rPr>
              <w:t xml:space="preserve">rrêt et de </w:t>
            </w:r>
            <w:r w:rsidR="00E63D82">
              <w:rPr>
                <w:rFonts w:eastAsia="Times New Roman" w:cs="Times New Roman"/>
              </w:rPr>
              <w:t>c</w:t>
            </w:r>
            <w:r w:rsidRPr="00FF315F">
              <w:rPr>
                <w:rFonts w:eastAsia="Times New Roman" w:cs="Times New Roman"/>
              </w:rPr>
              <w:t xml:space="preserve">orrection de </w:t>
            </w:r>
            <w:proofErr w:type="spellStart"/>
            <w:r w:rsidRPr="00FF315F">
              <w:rPr>
                <w:rFonts w:eastAsia="Times New Roman" w:cs="Times New Roman"/>
              </w:rPr>
              <w:t>Boulsa</w:t>
            </w:r>
            <w:proofErr w:type="spellEnd"/>
          </w:p>
        </w:tc>
        <w:tc>
          <w:tcPr>
            <w:tcW w:w="699" w:type="pct"/>
          </w:tcPr>
          <w:p w14:paraId="67FFB106"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12%</w:t>
            </w:r>
          </w:p>
        </w:tc>
        <w:tc>
          <w:tcPr>
            <w:tcW w:w="699" w:type="pct"/>
          </w:tcPr>
          <w:p w14:paraId="573733C1"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12%</w:t>
            </w:r>
          </w:p>
        </w:tc>
        <w:tc>
          <w:tcPr>
            <w:tcW w:w="708" w:type="pct"/>
          </w:tcPr>
          <w:p w14:paraId="7BC967A0"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70%</w:t>
            </w:r>
          </w:p>
        </w:tc>
      </w:tr>
      <w:tr w:rsidR="003B41CB" w:rsidRPr="00FF315F" w14:paraId="7534C1BD" w14:textId="77777777" w:rsidTr="00A01C65">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2CA95DAE" w14:textId="5ACAC893" w:rsidR="003B41CB" w:rsidRPr="00FF315F" w:rsidRDefault="003B41CB" w:rsidP="00F175A7">
            <w:pPr>
              <w:spacing w:after="0" w:line="240" w:lineRule="auto"/>
              <w:ind w:firstLine="0"/>
            </w:pPr>
            <w:r w:rsidRPr="00FF315F">
              <w:rPr>
                <w:rFonts w:eastAsia="Times New Roman" w:cs="Times New Roman"/>
              </w:rPr>
              <w:t>Taux de réalisation physique des travaux de construction de la grande détention de la MAC</w:t>
            </w:r>
            <w:r w:rsidR="00B70534">
              <w:rPr>
                <w:rFonts w:eastAsia="Times New Roman" w:cs="Times New Roman"/>
              </w:rPr>
              <w:t>O</w:t>
            </w:r>
          </w:p>
        </w:tc>
        <w:tc>
          <w:tcPr>
            <w:tcW w:w="699" w:type="pct"/>
          </w:tcPr>
          <w:p w14:paraId="787BA45D"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w:t>
            </w:r>
          </w:p>
        </w:tc>
        <w:tc>
          <w:tcPr>
            <w:tcW w:w="699" w:type="pct"/>
          </w:tcPr>
          <w:p w14:paraId="3A5D80EB"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0%</w:t>
            </w:r>
          </w:p>
        </w:tc>
        <w:tc>
          <w:tcPr>
            <w:tcW w:w="708" w:type="pct"/>
          </w:tcPr>
          <w:p w14:paraId="30277809"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15%</w:t>
            </w:r>
          </w:p>
        </w:tc>
      </w:tr>
      <w:tr w:rsidR="003B41CB" w:rsidRPr="00FF315F" w14:paraId="76CA32E5" w14:textId="77777777" w:rsidTr="00A01C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03F97303" w14:textId="77777777" w:rsidR="003B41CB" w:rsidRPr="00FF315F" w:rsidRDefault="003B41CB" w:rsidP="00F175A7">
            <w:pPr>
              <w:spacing w:after="0" w:line="240" w:lineRule="auto"/>
              <w:ind w:firstLine="0"/>
            </w:pPr>
            <w:r w:rsidRPr="00FF315F">
              <w:rPr>
                <w:rFonts w:eastAsia="Times New Roman" w:cs="Times New Roman"/>
              </w:rPr>
              <w:t>Nombre d'infrastructures pénitentiaires réhabilitées ou réfectionnées</w:t>
            </w:r>
          </w:p>
        </w:tc>
        <w:tc>
          <w:tcPr>
            <w:tcW w:w="699" w:type="pct"/>
          </w:tcPr>
          <w:p w14:paraId="13BDFD9A"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w:t>
            </w:r>
          </w:p>
        </w:tc>
        <w:tc>
          <w:tcPr>
            <w:tcW w:w="699" w:type="pct"/>
          </w:tcPr>
          <w:p w14:paraId="7AB6C9AB"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5</w:t>
            </w:r>
          </w:p>
        </w:tc>
        <w:tc>
          <w:tcPr>
            <w:tcW w:w="708" w:type="pct"/>
          </w:tcPr>
          <w:p w14:paraId="5163A553"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4</w:t>
            </w:r>
          </w:p>
        </w:tc>
      </w:tr>
      <w:tr w:rsidR="00B70534" w:rsidRPr="00FF315F" w14:paraId="3A34CF6B" w14:textId="77777777" w:rsidTr="00A01C65">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10910CB0" w14:textId="19341CA2" w:rsidR="00B70534" w:rsidRPr="00FF315F" w:rsidRDefault="00B70534" w:rsidP="009A288B">
            <w:pPr>
              <w:spacing w:after="0" w:line="240" w:lineRule="auto"/>
              <w:ind w:firstLine="0"/>
              <w:rPr>
                <w:rFonts w:eastAsia="Times New Roman" w:cs="Times New Roman"/>
              </w:rPr>
            </w:pPr>
            <w:r w:rsidRPr="00BD22E2">
              <w:rPr>
                <w:rFonts w:eastAsia="Times New Roman" w:cs="Times New Roman"/>
              </w:rPr>
              <w:t>La tenue effective de la journée Mandela</w:t>
            </w:r>
          </w:p>
        </w:tc>
        <w:tc>
          <w:tcPr>
            <w:tcW w:w="699" w:type="pct"/>
          </w:tcPr>
          <w:p w14:paraId="27A083A5" w14:textId="7F3B2EA4" w:rsidR="00B70534" w:rsidRPr="00FF315F" w:rsidRDefault="00B70534" w:rsidP="00B7053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w:t>
            </w:r>
          </w:p>
        </w:tc>
        <w:tc>
          <w:tcPr>
            <w:tcW w:w="699" w:type="pct"/>
          </w:tcPr>
          <w:p w14:paraId="53E72443" w14:textId="1C7947D6" w:rsidR="00B70534" w:rsidRPr="00FF315F" w:rsidRDefault="00B70534" w:rsidP="00B7053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w:t>
            </w:r>
          </w:p>
        </w:tc>
        <w:tc>
          <w:tcPr>
            <w:tcW w:w="708" w:type="pct"/>
          </w:tcPr>
          <w:p w14:paraId="6566F794" w14:textId="73C592C3" w:rsidR="00B70534" w:rsidRPr="00FF315F" w:rsidRDefault="00B70534" w:rsidP="00B7053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w:t>
            </w:r>
          </w:p>
        </w:tc>
      </w:tr>
      <w:tr w:rsidR="003B41CB" w:rsidRPr="00FF315F" w14:paraId="6BFF80A9" w14:textId="77777777" w:rsidTr="00A01C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460F81EA" w14:textId="77777777" w:rsidR="003B41CB" w:rsidRPr="00FF315F" w:rsidRDefault="003B41CB" w:rsidP="00F175A7">
            <w:pPr>
              <w:spacing w:after="0" w:line="240" w:lineRule="auto"/>
              <w:ind w:firstLine="0"/>
            </w:pPr>
            <w:r w:rsidRPr="00FF315F">
              <w:rPr>
                <w:rFonts w:eastAsia="Times New Roman" w:cs="Times New Roman"/>
              </w:rPr>
              <w:t>Taux de couverture sanitaire des détenus</w:t>
            </w:r>
          </w:p>
        </w:tc>
        <w:tc>
          <w:tcPr>
            <w:tcW w:w="699" w:type="pct"/>
          </w:tcPr>
          <w:p w14:paraId="5BF7B843"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36,37%</w:t>
            </w:r>
          </w:p>
        </w:tc>
        <w:tc>
          <w:tcPr>
            <w:tcW w:w="699" w:type="pct"/>
          </w:tcPr>
          <w:p w14:paraId="4964BC67"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45,23%</w:t>
            </w:r>
          </w:p>
        </w:tc>
        <w:tc>
          <w:tcPr>
            <w:tcW w:w="708" w:type="pct"/>
          </w:tcPr>
          <w:p w14:paraId="389CA1FF"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52,62%</w:t>
            </w:r>
          </w:p>
        </w:tc>
      </w:tr>
      <w:tr w:rsidR="003B41CB" w:rsidRPr="00FF315F" w14:paraId="4EC12627" w14:textId="77777777" w:rsidTr="00A01C65">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43F7C91B" w14:textId="77777777" w:rsidR="003B41CB" w:rsidRPr="00FF315F" w:rsidRDefault="003B41CB" w:rsidP="00F175A7">
            <w:pPr>
              <w:spacing w:after="0" w:line="240" w:lineRule="auto"/>
              <w:ind w:firstLine="0"/>
            </w:pPr>
            <w:r w:rsidRPr="00FF315F">
              <w:rPr>
                <w:rFonts w:eastAsia="Times New Roman" w:cs="Times New Roman"/>
              </w:rPr>
              <w:t>Taux d’exécution du programme annuel de formation initiale et continue du personnel GSP</w:t>
            </w:r>
          </w:p>
        </w:tc>
        <w:tc>
          <w:tcPr>
            <w:tcW w:w="699" w:type="pct"/>
          </w:tcPr>
          <w:p w14:paraId="13EAF870"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c>
          <w:tcPr>
            <w:tcW w:w="699" w:type="pct"/>
          </w:tcPr>
          <w:p w14:paraId="38499C2E"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c>
          <w:tcPr>
            <w:tcW w:w="708" w:type="pct"/>
          </w:tcPr>
          <w:p w14:paraId="7AF97317"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r>
      <w:tr w:rsidR="00B70534" w:rsidRPr="00FF315F" w14:paraId="5B42717E" w14:textId="77777777" w:rsidTr="00A01C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62E1761D" w14:textId="77777777" w:rsidR="00B70534" w:rsidRPr="00FF315F" w:rsidRDefault="00B70534" w:rsidP="00B70534">
            <w:pPr>
              <w:spacing w:after="0" w:line="240" w:lineRule="auto"/>
              <w:ind w:firstLine="0"/>
            </w:pPr>
            <w:r w:rsidRPr="00FF315F">
              <w:rPr>
                <w:rFonts w:eastAsia="Times New Roman" w:cs="Times New Roman"/>
              </w:rPr>
              <w:t>Quantité de céréales produite (en Tonnes) par les centres pénitentiaires</w:t>
            </w:r>
          </w:p>
        </w:tc>
        <w:tc>
          <w:tcPr>
            <w:tcW w:w="699" w:type="pct"/>
          </w:tcPr>
          <w:p w14:paraId="7E7D2F77" w14:textId="77777777"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47,38</w:t>
            </w:r>
          </w:p>
        </w:tc>
        <w:tc>
          <w:tcPr>
            <w:tcW w:w="699" w:type="pct"/>
          </w:tcPr>
          <w:p w14:paraId="2392EEE1" w14:textId="77777777"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59,23</w:t>
            </w:r>
          </w:p>
        </w:tc>
        <w:tc>
          <w:tcPr>
            <w:tcW w:w="708" w:type="pct"/>
          </w:tcPr>
          <w:p w14:paraId="56E2F0F3" w14:textId="48D31271"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Pr>
                <w:rFonts w:eastAsia="Times New Roman" w:cs="Times New Roman"/>
              </w:rPr>
              <w:t>60</w:t>
            </w:r>
            <w:r w:rsidRPr="00FF315F">
              <w:rPr>
                <w:rFonts w:eastAsia="Times New Roman" w:cs="Times New Roman"/>
              </w:rPr>
              <w:t xml:space="preserve"> </w:t>
            </w:r>
          </w:p>
        </w:tc>
      </w:tr>
      <w:tr w:rsidR="00A01C65" w:rsidRPr="00FF315F" w14:paraId="4FFE4EBC" w14:textId="77777777" w:rsidTr="00A01C65">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0B82A73B" w14:textId="4FC5E625" w:rsidR="00A01C65" w:rsidRPr="00FF315F" w:rsidRDefault="00A01C65" w:rsidP="009A288B">
            <w:pPr>
              <w:spacing w:after="0" w:line="240" w:lineRule="auto"/>
              <w:ind w:firstLine="0"/>
              <w:rPr>
                <w:rFonts w:eastAsia="Times New Roman" w:cs="Times New Roman"/>
              </w:rPr>
            </w:pPr>
            <w:r w:rsidRPr="00475506">
              <w:rPr>
                <w:rFonts w:eastAsia="Times New Roman" w:cs="Calibri"/>
                <w:color w:val="000000"/>
                <w:lang w:eastAsia="fr-FR"/>
              </w:rPr>
              <w:t>Taux de couverture des besoins alimentaires de détenus par la production pénitentiaire</w:t>
            </w:r>
          </w:p>
        </w:tc>
        <w:tc>
          <w:tcPr>
            <w:tcW w:w="699" w:type="pct"/>
          </w:tcPr>
          <w:p w14:paraId="2E563AEE" w14:textId="761B0543" w:rsidR="00A01C65" w:rsidRPr="00FF315F" w:rsidRDefault="00A01C65" w:rsidP="00A01C6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5%</w:t>
            </w:r>
          </w:p>
        </w:tc>
        <w:tc>
          <w:tcPr>
            <w:tcW w:w="699" w:type="pct"/>
          </w:tcPr>
          <w:p w14:paraId="3D1F94A7" w14:textId="05A5C3CB" w:rsidR="00A01C65" w:rsidRPr="00FF315F" w:rsidRDefault="00A01C65" w:rsidP="00A01C6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ND</w:t>
            </w:r>
          </w:p>
        </w:tc>
        <w:tc>
          <w:tcPr>
            <w:tcW w:w="708" w:type="pct"/>
          </w:tcPr>
          <w:p w14:paraId="7F969C7C" w14:textId="4354FE50" w:rsidR="00A01C65" w:rsidRDefault="00A01C65" w:rsidP="00A01C6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15%</w:t>
            </w:r>
          </w:p>
        </w:tc>
      </w:tr>
      <w:tr w:rsidR="00B70534" w:rsidRPr="00FF315F" w14:paraId="4B90570D" w14:textId="77777777" w:rsidTr="00A01C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1F08D919" w14:textId="77777777" w:rsidR="00B70534" w:rsidRPr="00FF315F" w:rsidRDefault="00B70534" w:rsidP="00B70534">
            <w:pPr>
              <w:spacing w:after="0" w:line="240" w:lineRule="auto"/>
              <w:ind w:firstLine="0"/>
            </w:pPr>
            <w:r w:rsidRPr="00FF315F">
              <w:rPr>
                <w:rFonts w:eastAsia="Times New Roman" w:cs="Times New Roman"/>
              </w:rPr>
              <w:t>Nombre de détenus bénéficiaires des mesures de réinsertion sociale</w:t>
            </w:r>
          </w:p>
        </w:tc>
        <w:tc>
          <w:tcPr>
            <w:tcW w:w="699" w:type="pct"/>
          </w:tcPr>
          <w:p w14:paraId="317D6442" w14:textId="77777777"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1 125</w:t>
            </w:r>
          </w:p>
        </w:tc>
        <w:tc>
          <w:tcPr>
            <w:tcW w:w="699" w:type="pct"/>
          </w:tcPr>
          <w:p w14:paraId="327BF917" w14:textId="77777777"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1 458</w:t>
            </w:r>
          </w:p>
        </w:tc>
        <w:tc>
          <w:tcPr>
            <w:tcW w:w="708" w:type="pct"/>
          </w:tcPr>
          <w:p w14:paraId="590FBB46" w14:textId="64776146"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 xml:space="preserve"> </w:t>
            </w:r>
            <w:r>
              <w:rPr>
                <w:rFonts w:eastAsia="Times New Roman" w:cs="Times New Roman"/>
              </w:rPr>
              <w:t>2 000</w:t>
            </w:r>
          </w:p>
        </w:tc>
      </w:tr>
      <w:tr w:rsidR="00B70534" w:rsidRPr="00FF315F" w14:paraId="553183B0" w14:textId="77777777" w:rsidTr="00A01C65">
        <w:trPr>
          <w:trHeight w:val="20"/>
        </w:trPr>
        <w:tc>
          <w:tcPr>
            <w:cnfStyle w:val="001000000000" w:firstRow="0" w:lastRow="0" w:firstColumn="1" w:lastColumn="0" w:oddVBand="0" w:evenVBand="0" w:oddHBand="0" w:evenHBand="0" w:firstRowFirstColumn="0" w:firstRowLastColumn="0" w:lastRowFirstColumn="0" w:lastRowLastColumn="0"/>
            <w:tcW w:w="2894" w:type="pct"/>
          </w:tcPr>
          <w:p w14:paraId="7B6879C4" w14:textId="77777777" w:rsidR="00B70534" w:rsidRPr="00FF315F" w:rsidRDefault="00B70534" w:rsidP="00B70534">
            <w:pPr>
              <w:spacing w:after="0" w:line="240" w:lineRule="auto"/>
              <w:ind w:firstLine="0"/>
            </w:pPr>
            <w:r w:rsidRPr="00FF315F">
              <w:rPr>
                <w:rFonts w:eastAsia="Times New Roman" w:cs="Times New Roman"/>
              </w:rPr>
              <w:t>Proportion de femmes ayant bénéficié d'une mesure de réinsertion sociale</w:t>
            </w:r>
          </w:p>
        </w:tc>
        <w:tc>
          <w:tcPr>
            <w:tcW w:w="699" w:type="pct"/>
          </w:tcPr>
          <w:p w14:paraId="7214518E" w14:textId="77777777" w:rsidR="00B70534" w:rsidRPr="00FF315F" w:rsidRDefault="00B70534" w:rsidP="00B70534">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c>
          <w:tcPr>
            <w:tcW w:w="699" w:type="pct"/>
          </w:tcPr>
          <w:p w14:paraId="1089B072" w14:textId="77777777" w:rsidR="00B70534" w:rsidRPr="00FF315F" w:rsidRDefault="00B70534" w:rsidP="00B70534">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100%</w:t>
            </w:r>
          </w:p>
        </w:tc>
        <w:tc>
          <w:tcPr>
            <w:tcW w:w="708" w:type="pct"/>
          </w:tcPr>
          <w:p w14:paraId="0D42C2A2" w14:textId="52DBADAB" w:rsidR="00B70534" w:rsidRPr="00FF315F" w:rsidRDefault="00B70534" w:rsidP="00B70534">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 xml:space="preserve"> </w:t>
            </w:r>
            <w:r>
              <w:rPr>
                <w:rFonts w:eastAsia="Times New Roman" w:cs="Times New Roman"/>
              </w:rPr>
              <w:t>100%</w:t>
            </w:r>
          </w:p>
        </w:tc>
      </w:tr>
      <w:tr w:rsidR="00B70534" w:rsidRPr="00FF315F" w14:paraId="6C90CA75" w14:textId="77777777" w:rsidTr="00A01C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4" w:type="pct"/>
          </w:tcPr>
          <w:p w14:paraId="6795D1AC" w14:textId="485EABD1" w:rsidR="00B70534" w:rsidRPr="00FF315F" w:rsidRDefault="00B70534" w:rsidP="00E63D82">
            <w:pPr>
              <w:spacing w:after="0" w:line="240" w:lineRule="auto"/>
              <w:ind w:firstLine="0"/>
            </w:pPr>
            <w:r w:rsidRPr="00FF315F">
              <w:rPr>
                <w:rFonts w:eastAsia="Times New Roman" w:cs="Times New Roman"/>
              </w:rPr>
              <w:t>Proportion de services de police judiciaire normalisés</w:t>
            </w:r>
          </w:p>
        </w:tc>
        <w:tc>
          <w:tcPr>
            <w:tcW w:w="699" w:type="pct"/>
          </w:tcPr>
          <w:p w14:paraId="7999B269" w14:textId="77777777"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19,86%</w:t>
            </w:r>
          </w:p>
        </w:tc>
        <w:tc>
          <w:tcPr>
            <w:tcW w:w="699" w:type="pct"/>
          </w:tcPr>
          <w:p w14:paraId="185E5AD0" w14:textId="77777777"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21,17%</w:t>
            </w:r>
          </w:p>
        </w:tc>
        <w:tc>
          <w:tcPr>
            <w:tcW w:w="708" w:type="pct"/>
          </w:tcPr>
          <w:p w14:paraId="76CE89FE" w14:textId="50A260E5" w:rsidR="00B70534" w:rsidRPr="00FF315F" w:rsidRDefault="00B70534" w:rsidP="00B70534">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21,17%</w:t>
            </w:r>
          </w:p>
        </w:tc>
      </w:tr>
    </w:tbl>
    <w:p w14:paraId="09B3EE02" w14:textId="51BCC74F" w:rsidR="003B41CB" w:rsidRPr="00E21642" w:rsidRDefault="003B41CB" w:rsidP="003B41CB">
      <w:pPr>
        <w:shd w:val="clear" w:color="auto" w:fill="FFFFFF"/>
        <w:spacing w:before="240" w:after="240" w:line="240" w:lineRule="auto"/>
        <w:rPr>
          <w:rFonts w:eastAsia="Times New Roman" w:cs="Times New Roman"/>
          <w:sz w:val="20"/>
          <w:szCs w:val="20"/>
        </w:rPr>
      </w:pPr>
      <w:r w:rsidRPr="00E21642">
        <w:rPr>
          <w:rFonts w:eastAsia="Times New Roman" w:cs="Times New Roman"/>
          <w:b/>
          <w:sz w:val="20"/>
          <w:szCs w:val="20"/>
          <w:u w:val="single"/>
        </w:rPr>
        <w:t>Source</w:t>
      </w:r>
      <w:r w:rsidR="00603CB3">
        <w:rPr>
          <w:rFonts w:eastAsia="Times New Roman" w:cs="Times New Roman"/>
          <w:sz w:val="20"/>
          <w:szCs w:val="20"/>
        </w:rPr>
        <w:t xml:space="preserve"> : r</w:t>
      </w:r>
      <w:r w:rsidRPr="00E21642">
        <w:rPr>
          <w:rFonts w:eastAsia="Times New Roman" w:cs="Times New Roman"/>
          <w:sz w:val="20"/>
          <w:szCs w:val="20"/>
        </w:rPr>
        <w:t>apport</w:t>
      </w:r>
      <w:r w:rsidR="00603CB3">
        <w:rPr>
          <w:rFonts w:eastAsia="Times New Roman" w:cs="Times New Roman"/>
          <w:sz w:val="20"/>
          <w:szCs w:val="20"/>
        </w:rPr>
        <w:t xml:space="preserve"> annuel </w:t>
      </w:r>
      <w:r w:rsidRPr="00E21642">
        <w:rPr>
          <w:rFonts w:eastAsia="Times New Roman" w:cs="Times New Roman"/>
          <w:sz w:val="20"/>
          <w:szCs w:val="20"/>
        </w:rPr>
        <w:t>de performance 2023 d</w:t>
      </w:r>
      <w:r w:rsidR="00452E92">
        <w:rPr>
          <w:rFonts w:eastAsia="Times New Roman" w:cs="Times New Roman"/>
          <w:sz w:val="20"/>
          <w:szCs w:val="20"/>
        </w:rPr>
        <w:t>u</w:t>
      </w:r>
      <w:r w:rsidRPr="00E21642">
        <w:rPr>
          <w:rFonts w:eastAsia="Times New Roman" w:cs="Times New Roman"/>
          <w:sz w:val="20"/>
          <w:szCs w:val="20"/>
        </w:rPr>
        <w:t xml:space="preserve"> CSD-JDH, février 2024</w:t>
      </w:r>
    </w:p>
    <w:p w14:paraId="56BE6DCF" w14:textId="216BC2D3" w:rsidR="003B41CB" w:rsidRPr="003B41CB" w:rsidRDefault="003B41CB" w:rsidP="00F175A7">
      <w:pPr>
        <w:numPr>
          <w:ilvl w:val="0"/>
          <w:numId w:val="8"/>
        </w:numPr>
        <w:shd w:val="clear" w:color="auto" w:fill="FFFFFF"/>
        <w:spacing w:before="120" w:after="120" w:line="240" w:lineRule="auto"/>
        <w:ind w:left="0"/>
      </w:pPr>
      <w:r w:rsidRPr="003B41CB">
        <w:t>Sur une programmation financière de 2 140 000 000 FCFA, le montant exécuté est de 1</w:t>
      </w:r>
      <w:r w:rsidR="00E63D82">
        <w:rPr>
          <w:rFonts w:eastAsia="Calibri"/>
          <w:szCs w:val="24"/>
        </w:rPr>
        <w:t> </w:t>
      </w:r>
      <w:r w:rsidRPr="003B41CB">
        <w:t>774</w:t>
      </w:r>
      <w:r w:rsidR="00E63D82">
        <w:rPr>
          <w:rFonts w:eastAsia="Calibri"/>
          <w:szCs w:val="24"/>
        </w:rPr>
        <w:t> </w:t>
      </w:r>
      <w:r w:rsidRPr="003B41CB">
        <w:t>000</w:t>
      </w:r>
      <w:r w:rsidR="00E63D82" w:rsidRPr="00B21CEC">
        <w:rPr>
          <w:rFonts w:eastAsia="Calibri"/>
          <w:szCs w:val="24"/>
        </w:rPr>
        <w:t> </w:t>
      </w:r>
      <w:r w:rsidRPr="003B41CB">
        <w:t>000 FCFA, soit un taux de 82,89%.</w:t>
      </w:r>
    </w:p>
    <w:p w14:paraId="6287890C" w14:textId="1F1BFC81" w:rsidR="003B41CB" w:rsidRPr="003B41CB" w:rsidRDefault="003B41CB" w:rsidP="00F175A7">
      <w:pPr>
        <w:numPr>
          <w:ilvl w:val="0"/>
          <w:numId w:val="8"/>
        </w:numPr>
        <w:shd w:val="clear" w:color="auto" w:fill="FFFFFF"/>
        <w:spacing w:before="120" w:after="120" w:line="240" w:lineRule="auto"/>
        <w:ind w:left="0"/>
      </w:pPr>
      <w:r w:rsidRPr="003B41CB">
        <w:t xml:space="preserve">La douzième action qui porte sur </w:t>
      </w:r>
      <w:r w:rsidRPr="00F175A7">
        <w:rPr>
          <w:b/>
        </w:rPr>
        <w:t>l’opérationnalisation de la Stratégie nationale de prévention de la radicalisation et de la lutte contre l'extrémisme violent (01012)</w:t>
      </w:r>
      <w:r w:rsidRPr="003B41CB">
        <w:t xml:space="preserve"> est mise en œuvre par les CSD-DS et JDH. Au 31 décembre 2023, la cible </w:t>
      </w:r>
      <w:r w:rsidR="00693DA6">
        <w:t xml:space="preserve">de l’action, à savoir, </w:t>
      </w:r>
      <w:r w:rsidRPr="003B41CB">
        <w:t>100% de la tranche annuelle du plan d’actions de la stratégie</w:t>
      </w:r>
      <w:r w:rsidR="00693DA6">
        <w:t>,</w:t>
      </w:r>
      <w:r w:rsidRPr="003B41CB">
        <w:t xml:space="preserve"> a été atteinte. </w:t>
      </w:r>
    </w:p>
    <w:p w14:paraId="69EDED7C" w14:textId="6DF5BB10" w:rsidR="0007208E" w:rsidRDefault="003B41CB" w:rsidP="009A288B">
      <w:pPr>
        <w:numPr>
          <w:ilvl w:val="0"/>
          <w:numId w:val="8"/>
        </w:numPr>
        <w:shd w:val="clear" w:color="auto" w:fill="FFFFFF"/>
        <w:spacing w:before="120" w:after="0" w:line="240" w:lineRule="auto"/>
        <w:ind w:left="0"/>
      </w:pPr>
      <w:r w:rsidRPr="003B41CB">
        <w:t xml:space="preserve">Cette performance s’est traduite par l’atteinte des cibles de quatre (4) des cinq (5) extrants clés programmés dont le détail est consigné dans le tableau ci-dessous. Il s’agit de l’ouverture d’un centre de </w:t>
      </w:r>
      <w:proofErr w:type="spellStart"/>
      <w:r w:rsidRPr="003B41CB">
        <w:t>déradicalisation</w:t>
      </w:r>
      <w:proofErr w:type="spellEnd"/>
      <w:r w:rsidRPr="003B41CB">
        <w:t xml:space="preserve">, la sensibilisation des leaders communautaires, l’organisation d'émissions radiophoniques interactives et de la formation des spécialistes en charge de la </w:t>
      </w:r>
      <w:proofErr w:type="spellStart"/>
      <w:r w:rsidRPr="003B41CB">
        <w:t>déradicalisation</w:t>
      </w:r>
      <w:proofErr w:type="spellEnd"/>
      <w:r w:rsidRPr="003B41CB">
        <w:t xml:space="preserve">. En revanche, le programme de </w:t>
      </w:r>
      <w:proofErr w:type="spellStart"/>
      <w:r w:rsidRPr="003B41CB">
        <w:t>déradicalisation</w:t>
      </w:r>
      <w:proofErr w:type="spellEnd"/>
      <w:r w:rsidRPr="003B41CB">
        <w:t xml:space="preserve"> </w:t>
      </w:r>
      <w:r w:rsidR="00F76AFA">
        <w:t xml:space="preserve">des détenus </w:t>
      </w:r>
      <w:r w:rsidRPr="003B41CB">
        <w:t>n’est pas encore disponible, néanmoins le rapport provisoire de l’étude sur la radicalisation, préalable à l’élaboration dudit programme est disponible.</w:t>
      </w:r>
      <w:r w:rsidR="0007208E">
        <w:br w:type="page"/>
      </w:r>
    </w:p>
    <w:p w14:paraId="3FB713E8" w14:textId="433DEA35" w:rsidR="003B41CB" w:rsidRPr="00175CE3" w:rsidRDefault="00175CE3" w:rsidP="003B41CB">
      <w:pPr>
        <w:shd w:val="clear" w:color="auto" w:fill="FFFFFF"/>
        <w:spacing w:before="240" w:after="240" w:line="240" w:lineRule="auto"/>
      </w:pPr>
      <w:bookmarkStart w:id="32" w:name="_Toc164503598"/>
      <w:r w:rsidRPr="00175CE3">
        <w:rPr>
          <w:b/>
          <w:bCs/>
          <w:sz w:val="22"/>
        </w:rPr>
        <w:lastRenderedPageBreak/>
        <w:t xml:space="preserve">Tableau </w:t>
      </w:r>
      <w:r w:rsidRPr="00175CE3">
        <w:rPr>
          <w:b/>
          <w:bCs/>
          <w:sz w:val="22"/>
        </w:rPr>
        <w:fldChar w:fldCharType="begin"/>
      </w:r>
      <w:r w:rsidRPr="00175CE3">
        <w:rPr>
          <w:b/>
          <w:bCs/>
          <w:sz w:val="22"/>
        </w:rPr>
        <w:instrText xml:space="preserve"> SEQ Tableau \* ARABIC </w:instrText>
      </w:r>
      <w:r w:rsidRPr="00175CE3">
        <w:rPr>
          <w:b/>
          <w:bCs/>
          <w:sz w:val="22"/>
        </w:rPr>
        <w:fldChar w:fldCharType="separate"/>
      </w:r>
      <w:r w:rsidR="007C2E4E">
        <w:rPr>
          <w:b/>
          <w:bCs/>
          <w:noProof/>
          <w:sz w:val="22"/>
        </w:rPr>
        <w:t>11</w:t>
      </w:r>
      <w:r w:rsidRPr="00175CE3">
        <w:rPr>
          <w:b/>
          <w:bCs/>
          <w:sz w:val="22"/>
        </w:rPr>
        <w:fldChar w:fldCharType="end"/>
      </w:r>
      <w:r w:rsidR="003B41CB" w:rsidRPr="00175CE3">
        <w:rPr>
          <w:sz w:val="22"/>
        </w:rPr>
        <w:t>: situation des indicateurs de produits de l’action « opérationnalisation de la Stratégie nationale de prévention de la radicalisation et de la lutte contre l'extrémisme violent</w:t>
      </w:r>
      <w:r w:rsidR="003B41CB" w:rsidRPr="00175CE3">
        <w:t xml:space="preserve"> »</w:t>
      </w:r>
      <w:bookmarkEnd w:id="32"/>
    </w:p>
    <w:tbl>
      <w:tblPr>
        <w:tblStyle w:val="TableauGrille4-Accentuation119"/>
        <w:tblW w:w="5000" w:type="pct"/>
        <w:tblLook w:val="04A0" w:firstRow="1" w:lastRow="0" w:firstColumn="1" w:lastColumn="0" w:noHBand="0" w:noVBand="1"/>
      </w:tblPr>
      <w:tblGrid>
        <w:gridCol w:w="5486"/>
        <w:gridCol w:w="1080"/>
        <w:gridCol w:w="1170"/>
        <w:gridCol w:w="1280"/>
      </w:tblGrid>
      <w:tr w:rsidR="003B41CB" w:rsidRPr="00FF315F" w14:paraId="478B458D" w14:textId="77777777" w:rsidTr="00E5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6D8381D2" w14:textId="5F8CA38B" w:rsidR="003B41CB" w:rsidRPr="00FF315F" w:rsidRDefault="003B41CB" w:rsidP="00F175A7">
            <w:pPr>
              <w:spacing w:after="0" w:line="240" w:lineRule="auto"/>
              <w:ind w:firstLine="0"/>
            </w:pPr>
            <w:r w:rsidRPr="00FF315F">
              <w:rPr>
                <w:rFonts w:eastAsia="Times New Roman" w:cs="Times New Roman"/>
              </w:rPr>
              <w:t xml:space="preserve">Indicateurs </w:t>
            </w:r>
          </w:p>
        </w:tc>
        <w:tc>
          <w:tcPr>
            <w:tcW w:w="599" w:type="pct"/>
          </w:tcPr>
          <w:p w14:paraId="69184D9F"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2022</w:t>
            </w:r>
          </w:p>
        </w:tc>
        <w:tc>
          <w:tcPr>
            <w:tcW w:w="649" w:type="pct"/>
          </w:tcPr>
          <w:p w14:paraId="6466C22C"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2023</w:t>
            </w:r>
          </w:p>
        </w:tc>
        <w:tc>
          <w:tcPr>
            <w:tcW w:w="710" w:type="pct"/>
          </w:tcPr>
          <w:p w14:paraId="55340406"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Cible 2023</w:t>
            </w:r>
          </w:p>
        </w:tc>
      </w:tr>
      <w:tr w:rsidR="003B41CB" w:rsidRPr="00FF315F" w14:paraId="2153B17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44F8173A" w14:textId="77777777" w:rsidR="003B41CB" w:rsidRPr="00FF315F" w:rsidRDefault="003B41CB" w:rsidP="00F175A7">
            <w:pPr>
              <w:spacing w:after="0" w:line="240" w:lineRule="auto"/>
              <w:ind w:firstLine="0"/>
            </w:pPr>
            <w:r w:rsidRPr="00FF315F">
              <w:rPr>
                <w:rFonts w:eastAsia="Times New Roman" w:cs="Times New Roman"/>
              </w:rPr>
              <w:t xml:space="preserve">Nombre de centres de </w:t>
            </w:r>
            <w:proofErr w:type="spellStart"/>
            <w:r w:rsidRPr="00FF315F">
              <w:rPr>
                <w:rFonts w:eastAsia="Times New Roman" w:cs="Times New Roman"/>
              </w:rPr>
              <w:t>déradicalisation</w:t>
            </w:r>
            <w:proofErr w:type="spellEnd"/>
            <w:r w:rsidRPr="00FF315F">
              <w:rPr>
                <w:rFonts w:eastAsia="Times New Roman" w:cs="Times New Roman"/>
              </w:rPr>
              <w:t xml:space="preserve"> ouverts</w:t>
            </w:r>
          </w:p>
        </w:tc>
        <w:tc>
          <w:tcPr>
            <w:tcW w:w="599" w:type="pct"/>
          </w:tcPr>
          <w:p w14:paraId="7C9FE036"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2</w:t>
            </w:r>
          </w:p>
        </w:tc>
        <w:tc>
          <w:tcPr>
            <w:tcW w:w="649" w:type="pct"/>
          </w:tcPr>
          <w:p w14:paraId="1C697726"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w:t>
            </w:r>
          </w:p>
        </w:tc>
        <w:tc>
          <w:tcPr>
            <w:tcW w:w="710" w:type="pct"/>
          </w:tcPr>
          <w:p w14:paraId="150CA647"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w:t>
            </w:r>
          </w:p>
        </w:tc>
      </w:tr>
      <w:tr w:rsidR="003B41CB" w:rsidRPr="00FF315F" w14:paraId="182D3BA3" w14:textId="77777777" w:rsidTr="00E52836">
        <w:tc>
          <w:tcPr>
            <w:cnfStyle w:val="001000000000" w:firstRow="0" w:lastRow="0" w:firstColumn="1" w:lastColumn="0" w:oddVBand="0" w:evenVBand="0" w:oddHBand="0" w:evenHBand="0" w:firstRowFirstColumn="0" w:firstRowLastColumn="0" w:lastRowFirstColumn="0" w:lastRowLastColumn="0"/>
            <w:tcW w:w="3042" w:type="pct"/>
          </w:tcPr>
          <w:p w14:paraId="22CCA4A9" w14:textId="77777777" w:rsidR="003B41CB" w:rsidRPr="00FF315F" w:rsidRDefault="003B41CB" w:rsidP="00F175A7">
            <w:pPr>
              <w:spacing w:after="0" w:line="240" w:lineRule="auto"/>
              <w:ind w:firstLine="0"/>
            </w:pPr>
            <w:r w:rsidRPr="00FF315F">
              <w:rPr>
                <w:rFonts w:eastAsia="Times New Roman" w:cs="Times New Roman"/>
              </w:rPr>
              <w:t>Nombre de sessions de sensibilisation pour l’implication des leaders communautaires dans la prévention et la gestion des conflits locaux organisées</w:t>
            </w:r>
          </w:p>
        </w:tc>
        <w:tc>
          <w:tcPr>
            <w:tcW w:w="599" w:type="pct"/>
          </w:tcPr>
          <w:p w14:paraId="1FD5AD3B"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w:t>
            </w:r>
          </w:p>
        </w:tc>
        <w:tc>
          <w:tcPr>
            <w:tcW w:w="649" w:type="pct"/>
          </w:tcPr>
          <w:p w14:paraId="63636EFF"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5</w:t>
            </w:r>
          </w:p>
        </w:tc>
        <w:tc>
          <w:tcPr>
            <w:tcW w:w="710" w:type="pct"/>
          </w:tcPr>
          <w:p w14:paraId="78A6202C"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4</w:t>
            </w:r>
          </w:p>
        </w:tc>
      </w:tr>
      <w:tr w:rsidR="003B41CB" w:rsidRPr="00FF315F" w14:paraId="5E1D168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1A55953D" w14:textId="77777777" w:rsidR="003B41CB" w:rsidRPr="00FF315F" w:rsidRDefault="003B41CB" w:rsidP="00F175A7">
            <w:pPr>
              <w:spacing w:after="0" w:line="240" w:lineRule="auto"/>
              <w:ind w:firstLine="0"/>
            </w:pPr>
            <w:r w:rsidRPr="00FF315F">
              <w:rPr>
                <w:rFonts w:eastAsia="Times New Roman" w:cs="Times New Roman"/>
              </w:rPr>
              <w:t>Nombre d'émissions radiophoniques interactives sur l’extrémisme violent et la cohésion sociale animées</w:t>
            </w:r>
          </w:p>
        </w:tc>
        <w:tc>
          <w:tcPr>
            <w:tcW w:w="599" w:type="pct"/>
          </w:tcPr>
          <w:p w14:paraId="604B0167"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10</w:t>
            </w:r>
          </w:p>
        </w:tc>
        <w:tc>
          <w:tcPr>
            <w:tcW w:w="649" w:type="pct"/>
          </w:tcPr>
          <w:p w14:paraId="3881A7C2"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52</w:t>
            </w:r>
          </w:p>
        </w:tc>
        <w:tc>
          <w:tcPr>
            <w:tcW w:w="710" w:type="pct"/>
          </w:tcPr>
          <w:p w14:paraId="610D810F"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04</w:t>
            </w:r>
          </w:p>
        </w:tc>
      </w:tr>
      <w:tr w:rsidR="003B41CB" w:rsidRPr="00FF315F" w14:paraId="0F1AB149" w14:textId="77777777" w:rsidTr="00E52836">
        <w:tc>
          <w:tcPr>
            <w:cnfStyle w:val="001000000000" w:firstRow="0" w:lastRow="0" w:firstColumn="1" w:lastColumn="0" w:oddVBand="0" w:evenVBand="0" w:oddHBand="0" w:evenHBand="0" w:firstRowFirstColumn="0" w:firstRowLastColumn="0" w:lastRowFirstColumn="0" w:lastRowLastColumn="0"/>
            <w:tcW w:w="3042" w:type="pct"/>
          </w:tcPr>
          <w:p w14:paraId="1CF54EF2" w14:textId="77777777" w:rsidR="003B41CB" w:rsidRPr="00FF315F" w:rsidRDefault="003B41CB" w:rsidP="00F175A7">
            <w:pPr>
              <w:spacing w:after="0" w:line="240" w:lineRule="auto"/>
              <w:ind w:firstLine="0"/>
            </w:pPr>
            <w:r w:rsidRPr="00FF315F">
              <w:rPr>
                <w:rFonts w:eastAsia="Times New Roman" w:cs="Times New Roman"/>
              </w:rPr>
              <w:t xml:space="preserve">Nombre de spécialistes en charge de la </w:t>
            </w:r>
            <w:proofErr w:type="spellStart"/>
            <w:r w:rsidRPr="00FF315F">
              <w:rPr>
                <w:rFonts w:eastAsia="Times New Roman" w:cs="Times New Roman"/>
              </w:rPr>
              <w:t>déradicalisation</w:t>
            </w:r>
            <w:proofErr w:type="spellEnd"/>
            <w:r w:rsidRPr="00FF315F">
              <w:rPr>
                <w:rFonts w:eastAsia="Times New Roman" w:cs="Times New Roman"/>
              </w:rPr>
              <w:t xml:space="preserve"> (gardes de sécurité pénitentiaire, psychologues, juristes, éducateurs sociaux, etc.) formés</w:t>
            </w:r>
          </w:p>
        </w:tc>
        <w:tc>
          <w:tcPr>
            <w:tcW w:w="599" w:type="pct"/>
          </w:tcPr>
          <w:p w14:paraId="09E26BF7"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20</w:t>
            </w:r>
          </w:p>
        </w:tc>
        <w:tc>
          <w:tcPr>
            <w:tcW w:w="649" w:type="pct"/>
          </w:tcPr>
          <w:p w14:paraId="4E54923C"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40</w:t>
            </w:r>
          </w:p>
        </w:tc>
        <w:tc>
          <w:tcPr>
            <w:tcW w:w="710" w:type="pct"/>
          </w:tcPr>
          <w:p w14:paraId="1D7AE7C8"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10</w:t>
            </w:r>
          </w:p>
        </w:tc>
      </w:tr>
      <w:tr w:rsidR="003B41CB" w:rsidRPr="00FF315F" w14:paraId="6E7C0DD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0E0FF7E4" w14:textId="21019025" w:rsidR="003B41CB" w:rsidRPr="00FF315F" w:rsidRDefault="003B41CB" w:rsidP="00F175A7">
            <w:pPr>
              <w:spacing w:after="0" w:line="240" w:lineRule="auto"/>
              <w:ind w:firstLine="0"/>
            </w:pPr>
            <w:r w:rsidRPr="00FF315F">
              <w:rPr>
                <w:rFonts w:eastAsia="Times New Roman" w:cs="Times New Roman"/>
              </w:rPr>
              <w:t xml:space="preserve">Disponibilité du programme de </w:t>
            </w:r>
            <w:proofErr w:type="spellStart"/>
            <w:r w:rsidRPr="00FF315F">
              <w:rPr>
                <w:rFonts w:eastAsia="Times New Roman" w:cs="Times New Roman"/>
              </w:rPr>
              <w:t>déradicalisation</w:t>
            </w:r>
            <w:proofErr w:type="spellEnd"/>
            <w:r w:rsidR="00A01C65">
              <w:rPr>
                <w:rFonts w:eastAsia="Times New Roman" w:cs="Times New Roman"/>
              </w:rPr>
              <w:t xml:space="preserve"> des détenus</w:t>
            </w:r>
          </w:p>
        </w:tc>
        <w:tc>
          <w:tcPr>
            <w:tcW w:w="599" w:type="pct"/>
          </w:tcPr>
          <w:p w14:paraId="15A5AC6A"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w:t>
            </w:r>
          </w:p>
        </w:tc>
        <w:tc>
          <w:tcPr>
            <w:tcW w:w="649" w:type="pct"/>
          </w:tcPr>
          <w:p w14:paraId="0FD41608"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0</w:t>
            </w:r>
          </w:p>
        </w:tc>
        <w:tc>
          <w:tcPr>
            <w:tcW w:w="710" w:type="pct"/>
          </w:tcPr>
          <w:p w14:paraId="565DFB3C"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w:t>
            </w:r>
          </w:p>
        </w:tc>
      </w:tr>
    </w:tbl>
    <w:p w14:paraId="282B6079" w14:textId="15097D27"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apports </w:t>
      </w:r>
      <w:r w:rsidR="00603CB3">
        <w:rPr>
          <w:rFonts w:eastAsia="Times New Roman" w:cs="Times New Roman"/>
          <w:sz w:val="20"/>
          <w:szCs w:val="20"/>
        </w:rPr>
        <w:t xml:space="preserve">annuels </w:t>
      </w:r>
      <w:r w:rsidRPr="008D20C6">
        <w:rPr>
          <w:rFonts w:eastAsia="Times New Roman" w:cs="Times New Roman"/>
          <w:sz w:val="20"/>
          <w:szCs w:val="20"/>
        </w:rPr>
        <w:t>de performance 2023 des CSD-DS et JDH, février 2024</w:t>
      </w:r>
    </w:p>
    <w:p w14:paraId="2320CF83" w14:textId="6A148593" w:rsidR="003B41CB" w:rsidRPr="003B41CB" w:rsidRDefault="00E63D82" w:rsidP="00F175A7">
      <w:pPr>
        <w:numPr>
          <w:ilvl w:val="0"/>
          <w:numId w:val="8"/>
        </w:numPr>
        <w:shd w:val="clear" w:color="auto" w:fill="FFFFFF"/>
        <w:spacing w:before="120" w:after="120" w:line="240" w:lineRule="auto"/>
        <w:ind w:left="0"/>
      </w:pPr>
      <w:r>
        <w:t xml:space="preserve">Sur le </w:t>
      </w:r>
      <w:r w:rsidR="003B41CB" w:rsidRPr="003B41CB">
        <w:t>plan financier, au 31 décembre 2023, le niveau d’exécution de l’action, estimé à 95%, est satisfaisant. En effet, sur une dotation de 642 000 000 FCFA, ce sont 610 016 000 FCFA qui ont été consommés.</w:t>
      </w:r>
    </w:p>
    <w:p w14:paraId="3CC587FE" w14:textId="6D6FB011" w:rsidR="003B41CB" w:rsidRPr="003B41CB" w:rsidRDefault="003B41CB" w:rsidP="00F175A7">
      <w:pPr>
        <w:numPr>
          <w:ilvl w:val="0"/>
          <w:numId w:val="8"/>
        </w:numPr>
        <w:shd w:val="clear" w:color="auto" w:fill="FFFFFF"/>
        <w:spacing w:before="120" w:after="120" w:line="240" w:lineRule="auto"/>
        <w:ind w:left="0"/>
      </w:pPr>
      <w:r w:rsidRPr="003B41CB">
        <w:t xml:space="preserve">Quant à la treizième action « </w:t>
      </w:r>
      <w:r w:rsidRPr="00F175A7">
        <w:rPr>
          <w:b/>
        </w:rPr>
        <w:t>amélioration de la capacité de surveillance électronique du territoire » (01013)</w:t>
      </w:r>
      <w:r w:rsidRPr="003B41CB">
        <w:t>, implémentée par le CSD-</w:t>
      </w:r>
      <w:r w:rsidR="00693DA6" w:rsidRPr="00693DA6">
        <w:t>CS</w:t>
      </w:r>
      <w:r w:rsidR="00693DA6" w:rsidRPr="00E93B28">
        <w:t>M</w:t>
      </w:r>
      <w:r w:rsidRPr="00F175A7">
        <w:t>,</w:t>
      </w:r>
      <w:r w:rsidRPr="003B41CB">
        <w:t xml:space="preserve"> la donnée relative au nombre d’axes, de zones et de sites couverts n’est pas encore disponible.  Toutefois, les efforts engagés en 2023 ont permis d’acquérir les 13 cartes prévues pour augmenter la capacité et exploiter le </w:t>
      </w:r>
      <w:proofErr w:type="spellStart"/>
      <w:r w:rsidRPr="003B41CB">
        <w:t>Backbone</w:t>
      </w:r>
      <w:proofErr w:type="spellEnd"/>
      <w:r w:rsidRPr="003B41CB">
        <w:t xml:space="preserve"> au profit de l’administration pour un coût financier de 399 670 796 FCFA</w:t>
      </w:r>
      <w:r w:rsidR="00E93B28">
        <w:t xml:space="preserve"> et</w:t>
      </w:r>
      <w:r w:rsidRPr="003B41CB">
        <w:t xml:space="preserve"> une dotation de 400 000 000 FCFA, soit 99,92% de taux d’exécution.</w:t>
      </w:r>
    </w:p>
    <w:p w14:paraId="00FEE5FB" w14:textId="6E43E4E4" w:rsidR="003B41CB" w:rsidRPr="003B41CB" w:rsidRDefault="003B41CB" w:rsidP="00F175A7">
      <w:pPr>
        <w:numPr>
          <w:ilvl w:val="0"/>
          <w:numId w:val="8"/>
        </w:numPr>
        <w:shd w:val="clear" w:color="auto" w:fill="FFFFFF"/>
        <w:spacing w:before="120" w:after="120" w:line="240" w:lineRule="auto"/>
        <w:ind w:left="0"/>
      </w:pPr>
      <w:r w:rsidRPr="003B41CB">
        <w:t xml:space="preserve">En ce qui concerne la quatorzième action « </w:t>
      </w:r>
      <w:r w:rsidRPr="00F175A7">
        <w:rPr>
          <w:b/>
        </w:rPr>
        <w:t>mise en œuvre de mesures exceptionnelles pour le rétablissement des réseaux et services de communication électronique impactés par l’insécurité » (01014)</w:t>
      </w:r>
      <w:r w:rsidRPr="003B41CB">
        <w:t>, elle est mise en œuvre par le CSD</w:t>
      </w:r>
      <w:r w:rsidRPr="00F31BC3">
        <w:t>-</w:t>
      </w:r>
      <w:r w:rsidR="00F90FC2" w:rsidRPr="0042784A">
        <w:t>ITCH</w:t>
      </w:r>
      <w:r w:rsidRPr="003B41CB">
        <w:t>. Au 31 décembre 2023, aucune localité n’a connu le rétablissement de services de communication électronique. Aussi, les avancées restent timides dans le cadre du rétablissement effectif du lien de transmission au niveau des localités affectées, traduit</w:t>
      </w:r>
      <w:r w:rsidR="00E63D82">
        <w:t>es</w:t>
      </w:r>
      <w:r w:rsidRPr="003B41CB">
        <w:t xml:space="preserve"> par seulement la signature de trois (03) contrats avec les opérateurs de téléphonie mobile et les ordres de service. Cette contreperformance trouve son explication dans la complexité du processus qui nécessite des concertations entre plusieurs acteurs. La réalisation financière pour cette action </w:t>
      </w:r>
      <w:r w:rsidR="00F90FC2">
        <w:t>s’établit à 448,8 millions FCFA sur une prévision de 3,105 milliards FCFA, soit un taux d’exécution de 14,45%</w:t>
      </w:r>
      <w:r w:rsidRPr="003B41CB">
        <w:t>.</w:t>
      </w:r>
    </w:p>
    <w:p w14:paraId="4DC98555" w14:textId="6B845C86" w:rsidR="003B41CB" w:rsidRPr="003B41CB" w:rsidRDefault="003B41CB" w:rsidP="00F175A7">
      <w:pPr>
        <w:numPr>
          <w:ilvl w:val="0"/>
          <w:numId w:val="8"/>
        </w:numPr>
        <w:shd w:val="clear" w:color="auto" w:fill="FFFFFF"/>
        <w:spacing w:before="120" w:after="120" w:line="240" w:lineRule="auto"/>
        <w:ind w:left="0"/>
      </w:pPr>
      <w:r w:rsidRPr="003B41CB">
        <w:t xml:space="preserve">S’agissant de </w:t>
      </w:r>
      <w:r w:rsidR="003E2806">
        <w:t xml:space="preserve">la </w:t>
      </w:r>
      <w:r w:rsidRPr="003B41CB">
        <w:t xml:space="preserve">quinzième action « </w:t>
      </w:r>
      <w:r w:rsidRPr="00F175A7">
        <w:rPr>
          <w:b/>
        </w:rPr>
        <w:t>mise en exploitation des algorithmes d’analyse des données des médias sociaux pour détecter des menaces pesant sur la sécurité nationale » (01015)</w:t>
      </w:r>
      <w:r w:rsidRPr="003B41CB">
        <w:t>, le bilan au 31 décembre 2023 reste satisfaisant avec l’écriture de deux (02) algorithmes sur un (01) prévu. En outre, les cibles des principaux livrables associés à cette action</w:t>
      </w:r>
      <w:r w:rsidR="004A3F51">
        <w:t>,</w:t>
      </w:r>
      <w:r w:rsidRPr="003B41CB">
        <w:t xml:space="preserve"> à savoir</w:t>
      </w:r>
      <w:r w:rsidR="004A3F51">
        <w:t>,</w:t>
      </w:r>
      <w:r w:rsidRPr="003B41CB">
        <w:t xml:space="preserve"> la disponibilité effective d’un modèle sur la détection des menaces dans le </w:t>
      </w:r>
      <w:r w:rsidRPr="003B41CB">
        <w:lastRenderedPageBreak/>
        <w:t xml:space="preserve">cadre de l’élaboration de modèles d’analyse des données des médias sociaux et la génération de 1 000 échantillons dans le cadre du développement de bases de données de traces de menaces sont atteintes. </w:t>
      </w:r>
    </w:p>
    <w:p w14:paraId="470CDBBB" w14:textId="77777777" w:rsidR="003B41CB" w:rsidRPr="003B41CB" w:rsidRDefault="003B41CB" w:rsidP="00F175A7">
      <w:pPr>
        <w:numPr>
          <w:ilvl w:val="0"/>
          <w:numId w:val="8"/>
        </w:numPr>
        <w:shd w:val="clear" w:color="auto" w:fill="FFFFFF"/>
        <w:spacing w:before="120" w:after="120" w:line="240" w:lineRule="auto"/>
        <w:ind w:left="0"/>
      </w:pPr>
      <w:r w:rsidRPr="003B41CB">
        <w:t>Sur le plan financier, la mise en œuvre de cette action a coûté 2 377 000 FCFA sur une prévision de 4 600 000 FCFA, soit 51,67% d’exécution.</w:t>
      </w:r>
    </w:p>
    <w:p w14:paraId="53566FAC" w14:textId="4903F55D" w:rsidR="003B41CB" w:rsidRPr="003B41CB" w:rsidRDefault="003B41CB" w:rsidP="00F175A7">
      <w:pPr>
        <w:numPr>
          <w:ilvl w:val="0"/>
          <w:numId w:val="8"/>
        </w:numPr>
        <w:shd w:val="clear" w:color="auto" w:fill="FFFFFF"/>
        <w:spacing w:before="120" w:after="120" w:line="240" w:lineRule="auto"/>
        <w:ind w:left="0"/>
      </w:pPr>
      <w:r w:rsidRPr="003B41CB">
        <w:t xml:space="preserve">Relativement à la seizième « </w:t>
      </w:r>
      <w:r w:rsidRPr="00F175A7">
        <w:rPr>
          <w:b/>
        </w:rPr>
        <w:t>renforcement de la supervision de l’infrastructure et mise à disposition de capacités de stockage et de puissance de calcul au profit de l’administration » (01016)</w:t>
      </w:r>
      <w:r w:rsidRPr="003B41CB">
        <w:t xml:space="preserve">, la disponibilité du </w:t>
      </w:r>
      <w:proofErr w:type="spellStart"/>
      <w:r w:rsidR="00E63D82">
        <w:t>d</w:t>
      </w:r>
      <w:r w:rsidRPr="003B41CB">
        <w:t>atacenter</w:t>
      </w:r>
      <w:proofErr w:type="spellEnd"/>
      <w:r w:rsidRPr="003B41CB">
        <w:t xml:space="preserve"> normalisé a été effective au 31 décembre 2023. En termes d’exécution des produits, seule la plateforme </w:t>
      </w:r>
      <w:r w:rsidR="004A3F51">
        <w:t xml:space="preserve">de </w:t>
      </w:r>
      <w:r w:rsidRPr="003B41CB">
        <w:t xml:space="preserve">monitoring a été rendue disponible. </w:t>
      </w:r>
      <w:r w:rsidR="00E63D82">
        <w:t>En revanche</w:t>
      </w:r>
      <w:r w:rsidRPr="003B41CB">
        <w:t xml:space="preserve">, aucune réalisation n’a été enregistrée en termes de livraison des 1 636 composants (disques, barrette mémoire et baies de stockage) </w:t>
      </w:r>
      <w:r w:rsidR="004A3F51">
        <w:t>prévus pour le</w:t>
      </w:r>
      <w:r w:rsidRPr="003B41CB">
        <w:t xml:space="preserve"> renforcement des capacités du Cloud Gouvernemental et </w:t>
      </w:r>
      <w:r w:rsidR="004A3F51">
        <w:t>pour la</w:t>
      </w:r>
      <w:r w:rsidRPr="003B41CB">
        <w:t xml:space="preserve"> mutualisation des 6 </w:t>
      </w:r>
      <w:proofErr w:type="spellStart"/>
      <w:r w:rsidRPr="003B41CB">
        <w:t>datacenters</w:t>
      </w:r>
      <w:proofErr w:type="spellEnd"/>
      <w:r w:rsidRPr="003B41CB">
        <w:t xml:space="preserve"> existants prévus.</w:t>
      </w:r>
    </w:p>
    <w:p w14:paraId="3606F20D" w14:textId="37E8B99E" w:rsidR="003B41CB" w:rsidRPr="003B41CB" w:rsidRDefault="003B41CB" w:rsidP="00F175A7">
      <w:pPr>
        <w:numPr>
          <w:ilvl w:val="0"/>
          <w:numId w:val="8"/>
        </w:numPr>
        <w:shd w:val="clear" w:color="auto" w:fill="FFFFFF"/>
        <w:spacing w:before="120" w:after="120" w:line="240" w:lineRule="auto"/>
        <w:ind w:left="0"/>
      </w:pPr>
      <w:r w:rsidRPr="003B41CB">
        <w:t>Cette contreperformance s’explique par la poursuite des négociations avec l’Entreprise HUAWEI dans le cadre de la mobilisation des ressources en vue du renforcement des capacités du cloud d’une part et par l’absence de concertation entre l’ANPTIC et les ministères concernés ainsi que la non</w:t>
      </w:r>
      <w:r w:rsidR="00E63D82">
        <w:t>-</w:t>
      </w:r>
      <w:r w:rsidRPr="003B41CB">
        <w:t xml:space="preserve">identification des </w:t>
      </w:r>
      <w:proofErr w:type="spellStart"/>
      <w:r w:rsidRPr="003B41CB">
        <w:t>datacenters</w:t>
      </w:r>
      <w:proofErr w:type="spellEnd"/>
      <w:r w:rsidRPr="003B41CB">
        <w:t xml:space="preserve"> à mutualiser d’autre part.</w:t>
      </w:r>
    </w:p>
    <w:p w14:paraId="4380AB06" w14:textId="174C8B27" w:rsidR="003B41CB" w:rsidRPr="003B41CB" w:rsidRDefault="003B41CB" w:rsidP="00F175A7">
      <w:pPr>
        <w:numPr>
          <w:ilvl w:val="0"/>
          <w:numId w:val="8"/>
        </w:numPr>
        <w:shd w:val="clear" w:color="auto" w:fill="FFFFFF"/>
        <w:spacing w:before="120" w:after="120" w:line="240" w:lineRule="auto"/>
        <w:ind w:left="0"/>
      </w:pPr>
      <w:r w:rsidRPr="003B41CB">
        <w:t>En terme</w:t>
      </w:r>
      <w:r w:rsidR="00E63D82">
        <w:t>s</w:t>
      </w:r>
      <w:r w:rsidRPr="003B41CB">
        <w:t xml:space="preserve"> d’engagement financier, sur une dotation globale de 3</w:t>
      </w:r>
      <w:r w:rsidR="00CB4A51">
        <w:t> </w:t>
      </w:r>
      <w:r w:rsidRPr="003B41CB">
        <w:t>550</w:t>
      </w:r>
      <w:r w:rsidR="00CB4A51" w:rsidRPr="00056445">
        <w:rPr>
          <w:rFonts w:eastAsia="Calibri"/>
          <w:szCs w:val="24"/>
        </w:rPr>
        <w:t>°</w:t>
      </w:r>
      <w:r w:rsidRPr="003B41CB">
        <w:t>000</w:t>
      </w:r>
      <w:r w:rsidR="00CB4A51" w:rsidRPr="00056445">
        <w:rPr>
          <w:rFonts w:eastAsia="Calibri"/>
          <w:szCs w:val="24"/>
        </w:rPr>
        <w:t>°</w:t>
      </w:r>
      <w:r w:rsidRPr="003B41CB">
        <w:t>000 FCFA, seulement 47</w:t>
      </w:r>
      <w:r w:rsidR="00CB4A51">
        <w:t> </w:t>
      </w:r>
      <w:r w:rsidRPr="003B41CB">
        <w:t>250</w:t>
      </w:r>
      <w:r w:rsidR="00CB4A51" w:rsidRPr="00056445">
        <w:rPr>
          <w:rFonts w:eastAsia="Calibri"/>
          <w:szCs w:val="24"/>
        </w:rPr>
        <w:t>°</w:t>
      </w:r>
      <w:r w:rsidRPr="003B41CB">
        <w:t>000 FCFA, soit 1,33%, ont été dépensés au 31 décembre 2023 pour la prise en charge de la plateforme.</w:t>
      </w:r>
    </w:p>
    <w:p w14:paraId="3A2DD7E7" w14:textId="6E830F36" w:rsidR="003B41CB" w:rsidRPr="003B41CB" w:rsidRDefault="003B41CB" w:rsidP="00F175A7">
      <w:pPr>
        <w:numPr>
          <w:ilvl w:val="0"/>
          <w:numId w:val="8"/>
        </w:numPr>
        <w:shd w:val="clear" w:color="auto" w:fill="FFFFFF"/>
        <w:spacing w:before="120" w:after="120" w:line="240" w:lineRule="auto"/>
        <w:ind w:left="0"/>
      </w:pPr>
      <w:r w:rsidRPr="003B41CB">
        <w:t xml:space="preserve">Quant à la dix-septième et dernière action de ce pilier portant sur le </w:t>
      </w:r>
      <w:r w:rsidRPr="008139E1">
        <w:rPr>
          <w:b/>
        </w:rPr>
        <w:t xml:space="preserve">« soutien à la diversification des partenariats en matière de défense et sécurité (01017) </w:t>
      </w:r>
      <w:r w:rsidRPr="003B41CB">
        <w:t>», elle est mise en œuvre par le CSD-DS. Au 31 décembre 2023, un nouveau partenariat en matière de défense et de sécurité spécifiquement dans la lutte contre le terrorisme a été conclu dans le cadre de la création le 16 septembre 2023 de l’Alliance des Etats du Sahel entre le Mali, le Burkina et le Niger.</w:t>
      </w:r>
    </w:p>
    <w:p w14:paraId="0BC080C7" w14:textId="172C01D0" w:rsidR="0042784A" w:rsidRDefault="003B41CB" w:rsidP="00F175A7">
      <w:pPr>
        <w:numPr>
          <w:ilvl w:val="0"/>
          <w:numId w:val="8"/>
        </w:numPr>
        <w:shd w:val="clear" w:color="auto" w:fill="FFFFFF"/>
        <w:spacing w:before="120" w:after="120" w:line="240" w:lineRule="auto"/>
        <w:ind w:left="0"/>
      </w:pPr>
      <w:r w:rsidRPr="003B41CB">
        <w:t xml:space="preserve">Aussi, dans le cadre de la mise </w:t>
      </w:r>
      <w:r w:rsidR="004A3F51">
        <w:t xml:space="preserve">en œuvre </w:t>
      </w:r>
      <w:r w:rsidRPr="003B41CB">
        <w:t>de cette action, comme mentionné dans le tableau ci-dessous, les points</w:t>
      </w:r>
      <w:r w:rsidR="004A3F51">
        <w:t xml:space="preserve"> de</w:t>
      </w:r>
      <w:r w:rsidRPr="003B41CB">
        <w:t xml:space="preserve"> satisfaction sont notés </w:t>
      </w:r>
      <w:r w:rsidR="00855E11">
        <w:t xml:space="preserve">pour l’ensemble des </w:t>
      </w:r>
      <w:r w:rsidRPr="003B41CB">
        <w:t xml:space="preserve">quatre (4) indicateurs associés dont </w:t>
      </w:r>
      <w:r w:rsidR="00855E11">
        <w:t>trois</w:t>
      </w:r>
      <w:r w:rsidRPr="003B41CB">
        <w:t xml:space="preserve"> ont atteint leur cible. Il s’agit notamment de (i) l’accompagnement en document de voyage de 200 éléments des FDS sur100 prévus pour les stages de formation et de perfectionnement, (ii) l’organisation des trois (3) ateliers d’information et de sensibilisation prévus sur le protocole et la libre circulation des personnes et des biens et (iii) la tenue de deux (2) des trois (3) ateliers de sensibilisation sur la qualification de menace terroriste au </w:t>
      </w:r>
      <w:r w:rsidRPr="002C4BDC">
        <w:t xml:space="preserve">profit </w:t>
      </w:r>
      <w:r w:rsidRPr="008139E1">
        <w:t>de</w:t>
      </w:r>
      <w:r w:rsidR="002C4BDC" w:rsidRPr="008139E1">
        <w:t xml:space="preserve">s </w:t>
      </w:r>
      <w:r w:rsidR="007911CF" w:rsidRPr="008139E1">
        <w:t xml:space="preserve">autorités nationales, </w:t>
      </w:r>
      <w:r w:rsidR="00E63D82">
        <w:t>d</w:t>
      </w:r>
      <w:r w:rsidR="002C4BDC" w:rsidRPr="008139E1">
        <w:t xml:space="preserve">es </w:t>
      </w:r>
      <w:r w:rsidR="007911CF" w:rsidRPr="008139E1">
        <w:t xml:space="preserve">diplomates </w:t>
      </w:r>
      <w:r w:rsidR="002C4BDC" w:rsidRPr="008139E1">
        <w:t>et la</w:t>
      </w:r>
      <w:r w:rsidR="007911CF" w:rsidRPr="008139E1">
        <w:t xml:space="preserve"> presse</w:t>
      </w:r>
      <w:r w:rsidRPr="002C4BDC">
        <w:t xml:space="preserve">. </w:t>
      </w:r>
      <w:r w:rsidR="00855E11">
        <w:t xml:space="preserve">Il en est de même pour </w:t>
      </w:r>
      <w:r w:rsidR="00855E11" w:rsidRPr="006A2661">
        <w:t>l’accompagnement des ministères en charge de la défense et de la sécurité dans la négociation des accords de défense et de sécurité</w:t>
      </w:r>
      <w:r w:rsidR="00855E11">
        <w:t>,</w:t>
      </w:r>
      <w:r w:rsidR="00855E11" w:rsidRPr="006A2661">
        <w:t xml:space="preserve"> matérialisé par la signature d’un accord de coopération militaire et technique avec la République de Guinée et la signature de contrats d’armement avec le Maroc, la Turquie, l’Iran et de l’Arabie Saoudite</w:t>
      </w:r>
      <w:r w:rsidR="00855E11">
        <w:t>.</w:t>
      </w:r>
    </w:p>
    <w:p w14:paraId="633BCA7B" w14:textId="77777777" w:rsidR="0042784A" w:rsidRDefault="0042784A">
      <w:pPr>
        <w:spacing w:after="0" w:line="240" w:lineRule="auto"/>
        <w:jc w:val="left"/>
      </w:pPr>
      <w:r>
        <w:br w:type="page"/>
      </w:r>
    </w:p>
    <w:p w14:paraId="73190D2F" w14:textId="4F58C617" w:rsidR="003B41CB" w:rsidRPr="00EE53CD" w:rsidRDefault="00175CE3" w:rsidP="003B41CB">
      <w:pPr>
        <w:shd w:val="clear" w:color="auto" w:fill="FFFFFF"/>
        <w:spacing w:before="240" w:after="240" w:line="240" w:lineRule="auto"/>
        <w:rPr>
          <w:sz w:val="22"/>
        </w:rPr>
      </w:pPr>
      <w:bookmarkStart w:id="33" w:name="_Toc164503599"/>
      <w:r w:rsidRPr="00EE53CD">
        <w:rPr>
          <w:b/>
          <w:bCs/>
          <w:sz w:val="22"/>
          <w:u w:val="single"/>
        </w:rPr>
        <w:lastRenderedPageBreak/>
        <w:t xml:space="preserve">Tableau </w:t>
      </w:r>
      <w:r w:rsidRPr="00EE53CD">
        <w:rPr>
          <w:b/>
          <w:bCs/>
          <w:sz w:val="22"/>
          <w:u w:val="single"/>
        </w:rPr>
        <w:fldChar w:fldCharType="begin"/>
      </w:r>
      <w:r w:rsidRPr="00EE53CD">
        <w:rPr>
          <w:b/>
          <w:bCs/>
          <w:sz w:val="22"/>
          <w:u w:val="single"/>
        </w:rPr>
        <w:instrText xml:space="preserve"> SEQ Tableau \* ARABIC </w:instrText>
      </w:r>
      <w:r w:rsidRPr="00EE53CD">
        <w:rPr>
          <w:b/>
          <w:bCs/>
          <w:sz w:val="22"/>
          <w:u w:val="single"/>
        </w:rPr>
        <w:fldChar w:fldCharType="separate"/>
      </w:r>
      <w:r w:rsidR="007C2E4E">
        <w:rPr>
          <w:b/>
          <w:bCs/>
          <w:noProof/>
          <w:sz w:val="22"/>
          <w:u w:val="single"/>
        </w:rPr>
        <w:t>12</w:t>
      </w:r>
      <w:r w:rsidRPr="00EE53CD">
        <w:rPr>
          <w:b/>
          <w:bCs/>
          <w:sz w:val="22"/>
          <w:u w:val="single"/>
        </w:rPr>
        <w:fldChar w:fldCharType="end"/>
      </w:r>
      <w:r w:rsidR="003B41CB" w:rsidRPr="00EE53CD">
        <w:rPr>
          <w:sz w:val="22"/>
        </w:rPr>
        <w:t>: situation des indicateurs de produits de l’action « soutien à la diversification des partenariats en matière de défense et sécurité »</w:t>
      </w:r>
      <w:bookmarkEnd w:id="33"/>
    </w:p>
    <w:tbl>
      <w:tblPr>
        <w:tblStyle w:val="TableauGrille4-Accentuation119"/>
        <w:tblW w:w="5000" w:type="pct"/>
        <w:tblLook w:val="04A0" w:firstRow="1" w:lastRow="0" w:firstColumn="1" w:lastColumn="0" w:noHBand="0" w:noVBand="1"/>
      </w:tblPr>
      <w:tblGrid>
        <w:gridCol w:w="5306"/>
        <w:gridCol w:w="1170"/>
        <w:gridCol w:w="1260"/>
        <w:gridCol w:w="1280"/>
      </w:tblGrid>
      <w:tr w:rsidR="003B41CB" w:rsidRPr="00FF315F" w14:paraId="3F812853" w14:textId="77777777" w:rsidTr="00E5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231BBB70" w14:textId="3C07D034" w:rsidR="003B41CB" w:rsidRPr="00FF315F" w:rsidRDefault="003B41CB" w:rsidP="00F175A7">
            <w:pPr>
              <w:spacing w:after="0" w:line="240" w:lineRule="auto"/>
              <w:ind w:firstLine="0"/>
            </w:pPr>
            <w:r w:rsidRPr="00FF315F">
              <w:rPr>
                <w:rFonts w:eastAsia="Times New Roman" w:cs="Times New Roman"/>
              </w:rPr>
              <w:t xml:space="preserve">Indicateurs </w:t>
            </w:r>
          </w:p>
        </w:tc>
        <w:tc>
          <w:tcPr>
            <w:tcW w:w="649" w:type="pct"/>
          </w:tcPr>
          <w:p w14:paraId="79F278CC"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2022</w:t>
            </w:r>
          </w:p>
        </w:tc>
        <w:tc>
          <w:tcPr>
            <w:tcW w:w="699" w:type="pct"/>
          </w:tcPr>
          <w:p w14:paraId="66112464"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2023</w:t>
            </w:r>
          </w:p>
        </w:tc>
        <w:tc>
          <w:tcPr>
            <w:tcW w:w="710" w:type="pct"/>
          </w:tcPr>
          <w:p w14:paraId="3AADFAF4" w14:textId="77777777" w:rsidR="003B41CB" w:rsidRPr="00FF315F" w:rsidRDefault="003B41CB"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Cible 2023</w:t>
            </w:r>
          </w:p>
        </w:tc>
      </w:tr>
      <w:tr w:rsidR="003B41CB" w:rsidRPr="00FF315F" w14:paraId="5390F90B"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58F4CF25" w14:textId="77777777" w:rsidR="003B41CB" w:rsidRPr="00FF315F" w:rsidRDefault="003B41CB" w:rsidP="00F175A7">
            <w:pPr>
              <w:spacing w:after="0" w:line="240" w:lineRule="auto"/>
              <w:ind w:firstLine="0"/>
            </w:pPr>
            <w:r w:rsidRPr="00FF315F">
              <w:rPr>
                <w:rFonts w:eastAsia="Times New Roman" w:cs="Times New Roman"/>
              </w:rPr>
              <w:t>Nombre d’éléments FDS bénéficiaires des documents de voyage pour les stages de formation et de perfectionnement</w:t>
            </w:r>
          </w:p>
        </w:tc>
        <w:tc>
          <w:tcPr>
            <w:tcW w:w="649" w:type="pct"/>
          </w:tcPr>
          <w:p w14:paraId="42BB93DC"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25</w:t>
            </w:r>
          </w:p>
        </w:tc>
        <w:tc>
          <w:tcPr>
            <w:tcW w:w="699" w:type="pct"/>
          </w:tcPr>
          <w:p w14:paraId="31243B76"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200</w:t>
            </w:r>
          </w:p>
        </w:tc>
        <w:tc>
          <w:tcPr>
            <w:tcW w:w="710" w:type="pct"/>
          </w:tcPr>
          <w:p w14:paraId="5609DDDB"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100</w:t>
            </w:r>
          </w:p>
        </w:tc>
      </w:tr>
      <w:tr w:rsidR="003B41CB" w:rsidRPr="00FF315F" w14:paraId="2867D487" w14:textId="77777777" w:rsidTr="00E52836">
        <w:tc>
          <w:tcPr>
            <w:cnfStyle w:val="001000000000" w:firstRow="0" w:lastRow="0" w:firstColumn="1" w:lastColumn="0" w:oddVBand="0" w:evenVBand="0" w:oddHBand="0" w:evenHBand="0" w:firstRowFirstColumn="0" w:firstRowLastColumn="0" w:lastRowFirstColumn="0" w:lastRowLastColumn="0"/>
            <w:tcW w:w="2942" w:type="pct"/>
          </w:tcPr>
          <w:p w14:paraId="7BAEF6B4" w14:textId="0E4E3AFE" w:rsidR="003B41CB" w:rsidRPr="007911CF" w:rsidRDefault="00855E11" w:rsidP="00F175A7">
            <w:pPr>
              <w:spacing w:after="0" w:line="240" w:lineRule="auto"/>
              <w:ind w:firstLine="0"/>
            </w:pPr>
            <w:r>
              <w:rPr>
                <w:rFonts w:eastAsia="Times New Roman" w:cs="Times New Roman"/>
              </w:rPr>
              <w:t>Nombre</w:t>
            </w:r>
            <w:r w:rsidR="003B41CB" w:rsidRPr="00F175A7">
              <w:rPr>
                <w:rFonts w:eastAsia="Times New Roman" w:cs="Times New Roman"/>
              </w:rPr>
              <w:t xml:space="preserve"> de nouveaux accords en matière de défense et de sécurité négociée</w:t>
            </w:r>
            <w:r w:rsidR="00E63D82">
              <w:rPr>
                <w:rFonts w:eastAsia="Times New Roman" w:cs="Times New Roman"/>
              </w:rPr>
              <w:t>s</w:t>
            </w:r>
            <w:r w:rsidR="003B41CB" w:rsidRPr="00F175A7">
              <w:rPr>
                <w:rFonts w:eastAsia="Times New Roman" w:cs="Times New Roman"/>
              </w:rPr>
              <w:t xml:space="preserve"> ayant bénéficié de l'accompagnement du MAECRBE</w:t>
            </w:r>
          </w:p>
        </w:tc>
        <w:tc>
          <w:tcPr>
            <w:tcW w:w="649" w:type="pct"/>
          </w:tcPr>
          <w:p w14:paraId="023B642F" w14:textId="77777777" w:rsidR="003B41CB" w:rsidRPr="007911C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rPr>
                <w:rFonts w:eastAsia="Times New Roman" w:cs="Times New Roman"/>
              </w:rPr>
              <w:t>4</w:t>
            </w:r>
          </w:p>
        </w:tc>
        <w:tc>
          <w:tcPr>
            <w:tcW w:w="699" w:type="pct"/>
          </w:tcPr>
          <w:p w14:paraId="3B7F1E3D" w14:textId="6A39DF1D" w:rsidR="003B41CB" w:rsidRPr="007911CF" w:rsidRDefault="00855E11"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Times New Roman"/>
              </w:rPr>
              <w:t>4</w:t>
            </w:r>
          </w:p>
        </w:tc>
        <w:tc>
          <w:tcPr>
            <w:tcW w:w="710" w:type="pct"/>
          </w:tcPr>
          <w:p w14:paraId="16B7E8BA" w14:textId="49314842" w:rsidR="003B41CB" w:rsidRPr="007911CF" w:rsidRDefault="00855E11"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Times New Roman"/>
              </w:rPr>
              <w:t>4</w:t>
            </w:r>
          </w:p>
        </w:tc>
      </w:tr>
      <w:tr w:rsidR="003B41CB" w:rsidRPr="00FF315F" w14:paraId="5DC8B21F"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32511849" w14:textId="480E62AF" w:rsidR="003B41CB" w:rsidRPr="00FF315F" w:rsidRDefault="003B41CB" w:rsidP="00F175A7">
            <w:pPr>
              <w:spacing w:after="0" w:line="240" w:lineRule="auto"/>
              <w:ind w:firstLine="0"/>
            </w:pPr>
            <w:r w:rsidRPr="00FF315F">
              <w:rPr>
                <w:rFonts w:eastAsia="Times New Roman" w:cs="Times New Roman"/>
              </w:rPr>
              <w:t xml:space="preserve">Nombre d’ateliers de sensibilisation sur la qualification de menace terroriste organisés au profit des autorités nationales, </w:t>
            </w:r>
            <w:r w:rsidR="00E63D82">
              <w:rPr>
                <w:rFonts w:eastAsia="Times New Roman" w:cs="Times New Roman"/>
              </w:rPr>
              <w:t>d</w:t>
            </w:r>
            <w:r w:rsidRPr="00FF315F">
              <w:rPr>
                <w:rFonts w:eastAsia="Times New Roman" w:cs="Times New Roman"/>
              </w:rPr>
              <w:t>es diplomates et la presse</w:t>
            </w:r>
          </w:p>
        </w:tc>
        <w:tc>
          <w:tcPr>
            <w:tcW w:w="649" w:type="pct"/>
          </w:tcPr>
          <w:p w14:paraId="6C1D68CE"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0</w:t>
            </w:r>
          </w:p>
        </w:tc>
        <w:tc>
          <w:tcPr>
            <w:tcW w:w="699" w:type="pct"/>
          </w:tcPr>
          <w:p w14:paraId="3F4AA132"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2</w:t>
            </w:r>
          </w:p>
        </w:tc>
        <w:tc>
          <w:tcPr>
            <w:tcW w:w="710" w:type="pct"/>
          </w:tcPr>
          <w:p w14:paraId="2D16C678" w14:textId="77777777" w:rsidR="003B41CB" w:rsidRPr="00FF315F" w:rsidRDefault="003B41CB"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3</w:t>
            </w:r>
          </w:p>
        </w:tc>
      </w:tr>
      <w:tr w:rsidR="003B41CB" w:rsidRPr="00FF315F" w14:paraId="2C76DB29" w14:textId="77777777" w:rsidTr="00E52836">
        <w:tc>
          <w:tcPr>
            <w:cnfStyle w:val="001000000000" w:firstRow="0" w:lastRow="0" w:firstColumn="1" w:lastColumn="0" w:oddVBand="0" w:evenVBand="0" w:oddHBand="0" w:evenHBand="0" w:firstRowFirstColumn="0" w:firstRowLastColumn="0" w:lastRowFirstColumn="0" w:lastRowLastColumn="0"/>
            <w:tcW w:w="2942" w:type="pct"/>
          </w:tcPr>
          <w:p w14:paraId="776648DE" w14:textId="6AECB91A" w:rsidR="003B41CB" w:rsidRPr="00FF315F" w:rsidRDefault="003B41CB" w:rsidP="00F175A7">
            <w:pPr>
              <w:spacing w:after="0" w:line="240" w:lineRule="auto"/>
              <w:ind w:firstLine="0"/>
            </w:pPr>
            <w:r w:rsidRPr="00FF315F">
              <w:rPr>
                <w:rFonts w:eastAsia="Times New Roman" w:cs="Times New Roman"/>
              </w:rPr>
              <w:t>Nombre d’ateliers d’information et de sensibilisation sur le protocole sur la libre circulation des personnes et des biens organisés au profit des agents chargés du contrôle et des stagiaires des écoles et centres de formation</w:t>
            </w:r>
          </w:p>
        </w:tc>
        <w:tc>
          <w:tcPr>
            <w:tcW w:w="649" w:type="pct"/>
          </w:tcPr>
          <w:p w14:paraId="2A066549"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3</w:t>
            </w:r>
          </w:p>
        </w:tc>
        <w:tc>
          <w:tcPr>
            <w:tcW w:w="699" w:type="pct"/>
          </w:tcPr>
          <w:p w14:paraId="52686614"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3</w:t>
            </w:r>
          </w:p>
        </w:tc>
        <w:tc>
          <w:tcPr>
            <w:tcW w:w="710" w:type="pct"/>
          </w:tcPr>
          <w:p w14:paraId="0A20EED3" w14:textId="77777777" w:rsidR="003B41CB" w:rsidRPr="00FF315F" w:rsidRDefault="003B41CB"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3</w:t>
            </w:r>
          </w:p>
        </w:tc>
      </w:tr>
    </w:tbl>
    <w:p w14:paraId="66C28ACF" w14:textId="077FA23F" w:rsidR="003B41CB" w:rsidRPr="008D20C6" w:rsidRDefault="003B41CB" w:rsidP="003B41CB">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 </w:t>
      </w:r>
      <w:r w:rsidR="00603CB3">
        <w:rPr>
          <w:rFonts w:eastAsia="Times New Roman" w:cs="Times New Roman"/>
          <w:sz w:val="20"/>
          <w:szCs w:val="20"/>
        </w:rPr>
        <w:t xml:space="preserve">annuel </w:t>
      </w:r>
      <w:r w:rsidRPr="008D20C6">
        <w:rPr>
          <w:rFonts w:eastAsia="Times New Roman" w:cs="Times New Roman"/>
          <w:sz w:val="20"/>
          <w:szCs w:val="20"/>
        </w:rPr>
        <w:t>de performance 2023 du CSD-DS, février 2024</w:t>
      </w:r>
    </w:p>
    <w:p w14:paraId="02F196AA" w14:textId="50541C03" w:rsidR="00C71C71" w:rsidRPr="003B41CB" w:rsidRDefault="003B41CB" w:rsidP="00F175A7">
      <w:pPr>
        <w:numPr>
          <w:ilvl w:val="0"/>
          <w:numId w:val="8"/>
        </w:numPr>
        <w:shd w:val="clear" w:color="auto" w:fill="FFFFFF"/>
        <w:spacing w:before="120" w:after="120" w:line="240" w:lineRule="auto"/>
        <w:ind w:left="0"/>
      </w:pPr>
      <w:r w:rsidRPr="003B41CB">
        <w:t>L’exécution financière de l’action est de 19 350 000 FCFA sur une prévision de 43 000 000 FCFA, soit un taux de 45%</w:t>
      </w:r>
      <w:r w:rsidR="00C71C71" w:rsidRPr="003B41CB">
        <w:t xml:space="preserve">. </w:t>
      </w:r>
    </w:p>
    <w:p w14:paraId="00D4846B" w14:textId="7A579651" w:rsidR="006C440B" w:rsidRPr="008139E1" w:rsidRDefault="00E431A0" w:rsidP="00012B1A">
      <w:pPr>
        <w:pStyle w:val="PAT3"/>
      </w:pPr>
      <w:bookmarkStart w:id="34" w:name="_Toc163141208"/>
      <w:r w:rsidRPr="008139E1">
        <w:t>Axe 4 : Dynamiser les secteurs porteurs pour l'économie et les emplois</w:t>
      </w:r>
      <w:bookmarkEnd w:id="34"/>
    </w:p>
    <w:p w14:paraId="05BC313D" w14:textId="5379EB7E" w:rsidR="00012B1A" w:rsidRPr="008139E1" w:rsidRDefault="00012B1A" w:rsidP="00F175A7">
      <w:pPr>
        <w:numPr>
          <w:ilvl w:val="0"/>
          <w:numId w:val="8"/>
        </w:numPr>
        <w:shd w:val="clear" w:color="auto" w:fill="FFFFFF"/>
        <w:spacing w:before="120" w:after="120" w:line="240" w:lineRule="auto"/>
        <w:ind w:left="0"/>
        <w:rPr>
          <w:rFonts w:eastAsia="Calibri"/>
          <w:szCs w:val="24"/>
        </w:rPr>
      </w:pPr>
      <w:r w:rsidRPr="008139E1">
        <w:rPr>
          <w:rFonts w:eastAsia="Calibri"/>
          <w:szCs w:val="24"/>
        </w:rPr>
        <w:t>Un objectif stratégique est lié à cet axe de la PND. Il s’agit de l’OS 4.1 : Développer durablement un secteur agro-</w:t>
      </w:r>
      <w:proofErr w:type="spellStart"/>
      <w:r w:rsidRPr="008139E1">
        <w:rPr>
          <w:rFonts w:eastAsia="Calibri"/>
          <w:szCs w:val="24"/>
        </w:rPr>
        <w:t>sylvo</w:t>
      </w:r>
      <w:proofErr w:type="spellEnd"/>
      <w:r w:rsidRPr="008139E1">
        <w:rPr>
          <w:rFonts w:eastAsia="Calibri"/>
          <w:szCs w:val="24"/>
        </w:rPr>
        <w:t>-pastoral, faunique et halieutique productif et résilient, davantage orienté vers le marché</w:t>
      </w:r>
      <w:r w:rsidR="00AF128B">
        <w:rPr>
          <w:rFonts w:eastAsia="Calibri"/>
          <w:szCs w:val="24"/>
        </w:rPr>
        <w:t>.</w:t>
      </w:r>
    </w:p>
    <w:p w14:paraId="2D998BB7" w14:textId="57AE98C0" w:rsidR="00E431A0" w:rsidRPr="008139E1" w:rsidRDefault="00E431A0" w:rsidP="00D04649">
      <w:pPr>
        <w:pStyle w:val="PAT4"/>
        <w:ind w:left="2444" w:hanging="284"/>
      </w:pPr>
      <w:bookmarkStart w:id="35" w:name="_Toc163141209"/>
      <w:r w:rsidRPr="008139E1">
        <w:t>OS 4.1 : Développer durablement un secteur agro-</w:t>
      </w:r>
      <w:proofErr w:type="spellStart"/>
      <w:r w:rsidRPr="008139E1">
        <w:t>sylvo</w:t>
      </w:r>
      <w:proofErr w:type="spellEnd"/>
      <w:r w:rsidRPr="008139E1">
        <w:t>-pastoral, faunique et halieutique productif et résilient, davantage orienté vers le marché</w:t>
      </w:r>
      <w:bookmarkEnd w:id="35"/>
    </w:p>
    <w:p w14:paraId="71E9F2BF" w14:textId="5CD99431" w:rsidR="0015454A" w:rsidRPr="00F53A06" w:rsidRDefault="00323F5B" w:rsidP="0015454A">
      <w:pPr>
        <w:numPr>
          <w:ilvl w:val="0"/>
          <w:numId w:val="8"/>
        </w:numPr>
        <w:shd w:val="clear" w:color="auto" w:fill="FFFFFF"/>
        <w:spacing w:before="120" w:after="120" w:line="240" w:lineRule="auto"/>
        <w:ind w:left="0"/>
        <w:rPr>
          <w:rFonts w:eastAsia="Calibri"/>
          <w:szCs w:val="24"/>
        </w:rPr>
      </w:pPr>
      <w:r w:rsidRPr="00F53A06">
        <w:rPr>
          <w:rFonts w:eastAsia="Calibri"/>
          <w:szCs w:val="24"/>
        </w:rPr>
        <w:t>Le développement durable d’un secteur agro-</w:t>
      </w:r>
      <w:proofErr w:type="spellStart"/>
      <w:r w:rsidRPr="00F53A06">
        <w:rPr>
          <w:rFonts w:eastAsia="Calibri"/>
          <w:szCs w:val="24"/>
        </w:rPr>
        <w:t>sylvo</w:t>
      </w:r>
      <w:proofErr w:type="spellEnd"/>
      <w:r w:rsidRPr="00F53A06">
        <w:rPr>
          <w:rFonts w:eastAsia="Calibri"/>
          <w:szCs w:val="24"/>
        </w:rPr>
        <w:t>-pastoral, faunique et halieutique productif et résilient, davantage orienté vers le marché se fait à travers la mise en œuvre d</w:t>
      </w:r>
      <w:r w:rsidR="00F90FC2" w:rsidRPr="00F53A06">
        <w:rPr>
          <w:rFonts w:eastAsia="Calibri"/>
          <w:szCs w:val="24"/>
        </w:rPr>
        <w:t>e l’</w:t>
      </w:r>
      <w:r w:rsidRPr="00F53A06">
        <w:rPr>
          <w:rFonts w:eastAsia="Calibri"/>
          <w:szCs w:val="24"/>
        </w:rPr>
        <w:t>action</w:t>
      </w:r>
      <w:proofErr w:type="gramStart"/>
      <w:r w:rsidRPr="00F53A06">
        <w:rPr>
          <w:rFonts w:eastAsia="Calibri"/>
          <w:szCs w:val="24"/>
        </w:rPr>
        <w:t> </w:t>
      </w:r>
      <w:r w:rsidR="00F90FC2" w:rsidRPr="00F53A06">
        <w:rPr>
          <w:rFonts w:eastAsia="Calibri"/>
          <w:szCs w:val="24"/>
        </w:rPr>
        <w:t>«</w:t>
      </w:r>
      <w:r w:rsidR="00E63D82">
        <w:rPr>
          <w:rFonts w:eastAsia="Calibri"/>
          <w:b/>
          <w:szCs w:val="24"/>
        </w:rPr>
        <w:t>p</w:t>
      </w:r>
      <w:r w:rsidRPr="00F53A06">
        <w:rPr>
          <w:rFonts w:eastAsia="Calibri"/>
          <w:b/>
          <w:szCs w:val="24"/>
        </w:rPr>
        <w:t>romotion</w:t>
      </w:r>
      <w:proofErr w:type="gramEnd"/>
      <w:r w:rsidRPr="00F53A06">
        <w:rPr>
          <w:rFonts w:eastAsia="Calibri"/>
          <w:b/>
          <w:szCs w:val="24"/>
        </w:rPr>
        <w:t xml:space="preserve"> du développement communautaire durable dans les zones minières</w:t>
      </w:r>
      <w:r w:rsidR="0015454A" w:rsidRPr="00F53A06">
        <w:rPr>
          <w:rFonts w:eastAsia="Calibri"/>
          <w:b/>
          <w:szCs w:val="24"/>
        </w:rPr>
        <w:t> »</w:t>
      </w:r>
      <w:r w:rsidRPr="00F53A06">
        <w:rPr>
          <w:rFonts w:eastAsia="Calibri"/>
          <w:b/>
          <w:szCs w:val="24"/>
        </w:rPr>
        <w:t xml:space="preserve"> (01018)</w:t>
      </w:r>
      <w:r w:rsidRPr="00F53A06">
        <w:rPr>
          <w:rFonts w:eastAsia="Calibri"/>
          <w:szCs w:val="24"/>
        </w:rPr>
        <w:t>.</w:t>
      </w:r>
      <w:r w:rsidR="0015454A" w:rsidRPr="00F53A06">
        <w:rPr>
          <w:rFonts w:eastAsia="Calibri"/>
          <w:szCs w:val="24"/>
        </w:rPr>
        <w:t xml:space="preserve"> Les efforts fournis dans la poursuite de cet objectif ont produit des résultats probants. Ainsi, le pourcentage des sessions des comités de suivi de l’utilisation du FMDL au niveau des communes minières tenues affiche une réalisation de 17,24% pour une cible retenue de 15%. Pour l’indicateur « niveau des taxes </w:t>
      </w:r>
      <w:proofErr w:type="spellStart"/>
      <w:r w:rsidR="0015454A" w:rsidRPr="00F53A06">
        <w:rPr>
          <w:rFonts w:eastAsia="Calibri"/>
          <w:szCs w:val="24"/>
        </w:rPr>
        <w:t>superficiaires</w:t>
      </w:r>
      <w:proofErr w:type="spellEnd"/>
      <w:r w:rsidR="0015454A" w:rsidRPr="00F53A06">
        <w:rPr>
          <w:rFonts w:eastAsia="Calibri"/>
          <w:szCs w:val="24"/>
        </w:rPr>
        <w:t xml:space="preserve"> reversées aux collectivités territoriales », le résultat est de 2</w:t>
      </w:r>
      <w:r w:rsidR="00E63D82">
        <w:rPr>
          <w:rFonts w:eastAsia="Calibri"/>
          <w:szCs w:val="24"/>
        </w:rPr>
        <w:t>,</w:t>
      </w:r>
      <w:r w:rsidR="0015454A" w:rsidRPr="00F53A06">
        <w:rPr>
          <w:rFonts w:eastAsia="Calibri"/>
          <w:szCs w:val="24"/>
        </w:rPr>
        <w:t>19 milli</w:t>
      </w:r>
      <w:r w:rsidR="00E63D82">
        <w:rPr>
          <w:rFonts w:eastAsia="Calibri"/>
          <w:szCs w:val="24"/>
        </w:rPr>
        <w:t xml:space="preserve">ards </w:t>
      </w:r>
      <w:r w:rsidR="0015454A" w:rsidRPr="00F53A06">
        <w:rPr>
          <w:rFonts w:eastAsia="Calibri"/>
          <w:szCs w:val="24"/>
        </w:rPr>
        <w:t>FCFA sur une cible de 2</w:t>
      </w:r>
      <w:r w:rsidR="00E63D82">
        <w:rPr>
          <w:rFonts w:eastAsia="Calibri"/>
          <w:szCs w:val="24"/>
        </w:rPr>
        <w:t>,</w:t>
      </w:r>
      <w:r w:rsidR="0015454A" w:rsidRPr="00F53A06">
        <w:rPr>
          <w:rFonts w:eastAsia="Calibri"/>
          <w:szCs w:val="24"/>
        </w:rPr>
        <w:t>4 milli</w:t>
      </w:r>
      <w:r w:rsidR="00E63D82">
        <w:rPr>
          <w:rFonts w:eastAsia="Calibri"/>
          <w:szCs w:val="24"/>
        </w:rPr>
        <w:t>ards</w:t>
      </w:r>
      <w:r w:rsidR="0015454A" w:rsidRPr="00F53A06">
        <w:rPr>
          <w:rFonts w:eastAsia="Calibri"/>
          <w:szCs w:val="24"/>
        </w:rPr>
        <w:t xml:space="preserve"> FCFA. Quant à l’indicateur relatif au niveau de financement du Fonds minier de développement local (FMDL), il s’affiche à 20</w:t>
      </w:r>
      <w:r w:rsidR="00E63D82">
        <w:rPr>
          <w:rFonts w:eastAsia="Calibri"/>
          <w:szCs w:val="24"/>
        </w:rPr>
        <w:t>,</w:t>
      </w:r>
      <w:r w:rsidR="0015454A" w:rsidRPr="00F53A06">
        <w:rPr>
          <w:rFonts w:eastAsia="Calibri"/>
          <w:szCs w:val="24"/>
        </w:rPr>
        <w:t>7</w:t>
      </w:r>
      <w:r w:rsidR="00E63D82">
        <w:rPr>
          <w:rFonts w:eastAsia="Calibri"/>
          <w:szCs w:val="24"/>
        </w:rPr>
        <w:t>6</w:t>
      </w:r>
      <w:r w:rsidR="0015454A" w:rsidRPr="00F53A06">
        <w:rPr>
          <w:rFonts w:eastAsia="Calibri"/>
          <w:szCs w:val="24"/>
        </w:rPr>
        <w:t xml:space="preserve"> milli</w:t>
      </w:r>
      <w:r w:rsidR="00E63D82">
        <w:rPr>
          <w:rFonts w:eastAsia="Calibri"/>
          <w:szCs w:val="24"/>
        </w:rPr>
        <w:t xml:space="preserve">ards </w:t>
      </w:r>
      <w:r w:rsidR="0015454A" w:rsidRPr="00F53A06">
        <w:rPr>
          <w:rFonts w:eastAsia="Calibri"/>
          <w:szCs w:val="24"/>
        </w:rPr>
        <w:t>FCFA pour une cible de 34</w:t>
      </w:r>
      <w:r w:rsidR="00E63D82">
        <w:rPr>
          <w:rFonts w:eastAsia="Calibri"/>
          <w:szCs w:val="24"/>
        </w:rPr>
        <w:t>,</w:t>
      </w:r>
      <w:r w:rsidR="0015454A" w:rsidRPr="00F53A06">
        <w:rPr>
          <w:rFonts w:eastAsia="Calibri"/>
          <w:szCs w:val="24"/>
        </w:rPr>
        <w:t>57 milli</w:t>
      </w:r>
      <w:r w:rsidR="00E63D82">
        <w:rPr>
          <w:rFonts w:eastAsia="Calibri"/>
          <w:szCs w:val="24"/>
        </w:rPr>
        <w:t xml:space="preserve">ards </w:t>
      </w:r>
      <w:r w:rsidR="0015454A" w:rsidRPr="00F53A06">
        <w:rPr>
          <w:rFonts w:eastAsia="Calibri"/>
          <w:szCs w:val="24"/>
        </w:rPr>
        <w:t xml:space="preserve">FCFA. </w:t>
      </w:r>
    </w:p>
    <w:p w14:paraId="573C84B4" w14:textId="457D45C2" w:rsidR="0015454A" w:rsidRPr="00F53A06" w:rsidRDefault="0015454A" w:rsidP="0015454A">
      <w:pPr>
        <w:numPr>
          <w:ilvl w:val="0"/>
          <w:numId w:val="8"/>
        </w:numPr>
        <w:shd w:val="clear" w:color="auto" w:fill="FFFFFF"/>
        <w:spacing w:before="120" w:after="120" w:line="240" w:lineRule="auto"/>
        <w:ind w:left="0"/>
        <w:rPr>
          <w:rFonts w:eastAsia="Calibri"/>
          <w:szCs w:val="24"/>
        </w:rPr>
      </w:pPr>
      <w:r w:rsidRPr="00F53A06">
        <w:rPr>
          <w:rFonts w:eastAsia="Calibri"/>
          <w:szCs w:val="24"/>
        </w:rPr>
        <w:lastRenderedPageBreak/>
        <w:t xml:space="preserve">Cette performance est le résultat de la mise en œuvre de deux (02) produits. Au 31 décembre 2023, la cible de l’indicateur « proportion </w:t>
      </w:r>
      <w:r w:rsidRPr="00F53A06">
        <w:rPr>
          <w:szCs w:val="24"/>
        </w:rPr>
        <w:t>des zones minières bénéficiaires des investissements conformes à l’utilisation des fonds issus du FMDL » est atteinte s’établissant</w:t>
      </w:r>
      <w:r w:rsidRPr="00F53A06">
        <w:rPr>
          <w:rFonts w:eastAsia="Calibri"/>
          <w:szCs w:val="24"/>
        </w:rPr>
        <w:t xml:space="preserve"> à 56,75% pour une cible de 40%. Pour le deuxième produit, 20 </w:t>
      </w:r>
      <w:r w:rsidRPr="00F53A06">
        <w:rPr>
          <w:szCs w:val="26"/>
        </w:rPr>
        <w:t xml:space="preserve">activités de développement ont été identifiées par communauté locale des zones minières pour être financées par le FMDL. </w:t>
      </w:r>
    </w:p>
    <w:p w14:paraId="47BBD996" w14:textId="526B2469" w:rsidR="0015454A" w:rsidRPr="00F53A06" w:rsidRDefault="0015454A" w:rsidP="0015454A">
      <w:pPr>
        <w:numPr>
          <w:ilvl w:val="0"/>
          <w:numId w:val="8"/>
        </w:numPr>
        <w:shd w:val="clear" w:color="auto" w:fill="FFFFFF"/>
        <w:spacing w:before="120" w:after="120" w:line="240" w:lineRule="auto"/>
        <w:ind w:left="0"/>
        <w:rPr>
          <w:rFonts w:eastAsia="Calibri"/>
          <w:szCs w:val="24"/>
        </w:rPr>
      </w:pPr>
      <w:r w:rsidRPr="00F53A06">
        <w:rPr>
          <w:rFonts w:eastAsia="Calibri"/>
          <w:szCs w:val="24"/>
        </w:rPr>
        <w:t>Toutefois, en dépit de ces résultats, des difficultés ont été identifiées</w:t>
      </w:r>
      <w:r w:rsidR="00D818A5">
        <w:rPr>
          <w:rFonts w:eastAsia="Calibri"/>
          <w:szCs w:val="24"/>
        </w:rPr>
        <w:t>,</w:t>
      </w:r>
      <w:r w:rsidRPr="00F53A06">
        <w:rPr>
          <w:rFonts w:eastAsia="Calibri"/>
          <w:szCs w:val="24"/>
        </w:rPr>
        <w:t xml:space="preserve"> notamment la situation sécuritaire qui a conduit à la fermeture temporaire de six (06) mines, empêché la tenue des sessions par certains comités communaux et la non-évaluation des indicateurs de l’administration pour cause de non-participation. </w:t>
      </w:r>
    </w:p>
    <w:p w14:paraId="073E657E" w14:textId="549E2F17" w:rsidR="00D107CB" w:rsidRPr="008D2129" w:rsidRDefault="00AB6328" w:rsidP="00F55E7C">
      <w:pPr>
        <w:pStyle w:val="PAT3"/>
      </w:pPr>
      <w:bookmarkStart w:id="36" w:name="_Toc134891572"/>
      <w:bookmarkStart w:id="37" w:name="_Toc163141210"/>
      <w:r w:rsidRPr="008D2129">
        <w:t xml:space="preserve">Contribution des collectivités territoriales </w:t>
      </w:r>
      <w:bookmarkEnd w:id="36"/>
      <w:r w:rsidRPr="008D2129">
        <w:t xml:space="preserve">au renforcement de la sécurité intérieure et </w:t>
      </w:r>
      <w:r w:rsidR="00453B01" w:rsidRPr="008D2129">
        <w:t>à</w:t>
      </w:r>
      <w:r w:rsidRPr="008D2129">
        <w:t xml:space="preserve"> la lutte contre le terrorisme</w:t>
      </w:r>
      <w:bookmarkEnd w:id="37"/>
    </w:p>
    <w:p w14:paraId="42634AE5" w14:textId="44C440DC" w:rsidR="00991E8E" w:rsidRPr="00991E8E" w:rsidRDefault="00991E8E" w:rsidP="00991E8E">
      <w:pPr>
        <w:numPr>
          <w:ilvl w:val="0"/>
          <w:numId w:val="8"/>
        </w:numPr>
        <w:shd w:val="clear" w:color="auto" w:fill="FFFFFF"/>
        <w:spacing w:before="120" w:after="120" w:line="240" w:lineRule="auto"/>
        <w:ind w:left="0"/>
        <w:rPr>
          <w:rFonts w:eastAsia="Calibri"/>
          <w:bCs/>
          <w:szCs w:val="24"/>
        </w:rPr>
      </w:pPr>
      <w:r w:rsidRPr="00991E8E">
        <w:rPr>
          <w:rFonts w:eastAsia="Calibri"/>
          <w:bCs/>
          <w:szCs w:val="24"/>
        </w:rPr>
        <w:t>Dans le cadre du renforcement de la sécurité intérieure et de la lutte contre le terrorisme, la contribution des collectivités territoriales a porté en 2023 sur la mise en œuvre des actions relative</w:t>
      </w:r>
      <w:r w:rsidR="00D818A5">
        <w:rPr>
          <w:rFonts w:eastAsia="Calibri"/>
          <w:bCs/>
          <w:szCs w:val="24"/>
        </w:rPr>
        <w:t>s</w:t>
      </w:r>
      <w:r w:rsidRPr="00991E8E">
        <w:rPr>
          <w:rFonts w:eastAsia="Calibri"/>
          <w:bCs/>
          <w:szCs w:val="24"/>
        </w:rPr>
        <w:t xml:space="preserve"> : (i) à l’amélioration de la participation citoyenne dans la lutte contre le terrorisme, (ii) au renforcement des capacités opérationnelles des Forces de </w:t>
      </w:r>
      <w:r w:rsidR="00D818A5">
        <w:rPr>
          <w:rFonts w:eastAsia="Calibri"/>
          <w:bCs/>
          <w:szCs w:val="24"/>
        </w:rPr>
        <w:t>d</w:t>
      </w:r>
      <w:r w:rsidRPr="00991E8E">
        <w:rPr>
          <w:rFonts w:eastAsia="Calibri"/>
          <w:bCs/>
          <w:szCs w:val="24"/>
        </w:rPr>
        <w:t xml:space="preserve">éfense et de </w:t>
      </w:r>
      <w:r w:rsidR="00D818A5">
        <w:rPr>
          <w:rFonts w:eastAsia="Calibri"/>
          <w:bCs/>
          <w:szCs w:val="24"/>
        </w:rPr>
        <w:t>s</w:t>
      </w:r>
      <w:r w:rsidRPr="00991E8E">
        <w:rPr>
          <w:rFonts w:eastAsia="Calibri"/>
          <w:bCs/>
          <w:szCs w:val="24"/>
        </w:rPr>
        <w:t xml:space="preserve">écurité en vue de libérer les localités occupées par les terroristes et (iii) à l’opérationnalisation de la </w:t>
      </w:r>
      <w:r w:rsidR="00D818A5">
        <w:rPr>
          <w:rFonts w:eastAsia="Calibri"/>
          <w:bCs/>
          <w:szCs w:val="24"/>
        </w:rPr>
        <w:t>S</w:t>
      </w:r>
      <w:r w:rsidRPr="00991E8E">
        <w:rPr>
          <w:rFonts w:eastAsia="Calibri"/>
          <w:bCs/>
          <w:szCs w:val="24"/>
        </w:rPr>
        <w:t>tratégie nationale de prévention de la radicalisation et de lutte contre l’extrémisme violent.</w:t>
      </w:r>
    </w:p>
    <w:p w14:paraId="763D0AEE" w14:textId="77777777" w:rsidR="00991E8E" w:rsidRPr="00991E8E" w:rsidRDefault="00991E8E" w:rsidP="00991E8E">
      <w:pPr>
        <w:numPr>
          <w:ilvl w:val="0"/>
          <w:numId w:val="8"/>
        </w:numPr>
        <w:shd w:val="clear" w:color="auto" w:fill="FFFFFF"/>
        <w:spacing w:before="120" w:after="120" w:line="240" w:lineRule="auto"/>
        <w:ind w:left="0"/>
        <w:rPr>
          <w:rFonts w:eastAsia="Calibri"/>
          <w:bCs/>
          <w:szCs w:val="24"/>
        </w:rPr>
      </w:pPr>
      <w:r w:rsidRPr="00991E8E">
        <w:rPr>
          <w:rFonts w:eastAsia="Calibri"/>
          <w:bCs/>
          <w:szCs w:val="24"/>
        </w:rPr>
        <w:t xml:space="preserve">S’agissant de </w:t>
      </w:r>
      <w:r w:rsidRPr="00991E8E">
        <w:rPr>
          <w:rFonts w:eastAsia="Calibri"/>
          <w:b/>
          <w:szCs w:val="24"/>
        </w:rPr>
        <w:t>l’amélioration de la participation citoyenne dans la lutte contre le terrorisme</w:t>
      </w:r>
      <w:r w:rsidRPr="00991E8E">
        <w:rPr>
          <w:rFonts w:eastAsia="Calibri"/>
          <w:bCs/>
          <w:szCs w:val="24"/>
        </w:rPr>
        <w:t xml:space="preserve">, les principales réalisations des collectivités ont porté sur la sensibilisation de 9 864 PDI et hôtes ainsi que de 1 593 leaders communautaires sur la culture de la paix, la prévention de la radicalisation et le renforcement de la résilience. </w:t>
      </w:r>
    </w:p>
    <w:p w14:paraId="1ED94134" w14:textId="73621F67" w:rsidR="00991E8E" w:rsidRPr="00991E8E" w:rsidRDefault="00991E8E" w:rsidP="008139E1">
      <w:pPr>
        <w:numPr>
          <w:ilvl w:val="0"/>
          <w:numId w:val="8"/>
        </w:numPr>
        <w:shd w:val="clear" w:color="auto" w:fill="FFFFFF"/>
        <w:spacing w:before="120" w:after="120" w:line="240" w:lineRule="auto"/>
        <w:ind w:left="0"/>
        <w:rPr>
          <w:rFonts w:eastAsia="Calibri"/>
          <w:szCs w:val="24"/>
        </w:rPr>
      </w:pPr>
      <w:r w:rsidRPr="00991E8E">
        <w:rPr>
          <w:rFonts w:eastAsia="Calibri"/>
          <w:bCs/>
          <w:szCs w:val="24"/>
        </w:rPr>
        <w:t xml:space="preserve">Concernant le </w:t>
      </w:r>
      <w:r w:rsidRPr="00991E8E">
        <w:rPr>
          <w:rFonts w:eastAsia="Calibri"/>
          <w:b/>
          <w:szCs w:val="24"/>
        </w:rPr>
        <w:t xml:space="preserve">renforcement des capacités opérationnelles des Forces de </w:t>
      </w:r>
      <w:r w:rsidR="00D818A5">
        <w:rPr>
          <w:rFonts w:eastAsia="Calibri"/>
          <w:b/>
          <w:szCs w:val="24"/>
        </w:rPr>
        <w:t>d</w:t>
      </w:r>
      <w:r w:rsidRPr="00991E8E">
        <w:rPr>
          <w:rFonts w:eastAsia="Calibri"/>
          <w:b/>
          <w:szCs w:val="24"/>
        </w:rPr>
        <w:t xml:space="preserve">éfense et de </w:t>
      </w:r>
      <w:r w:rsidR="00D818A5">
        <w:rPr>
          <w:rFonts w:eastAsia="Calibri"/>
          <w:b/>
          <w:szCs w:val="24"/>
        </w:rPr>
        <w:t>s</w:t>
      </w:r>
      <w:r w:rsidRPr="00991E8E">
        <w:rPr>
          <w:rFonts w:eastAsia="Calibri"/>
          <w:b/>
          <w:szCs w:val="24"/>
        </w:rPr>
        <w:t>écurité en vue de libérer les localités occupées par les terroristes</w:t>
      </w:r>
      <w:r w:rsidRPr="00991E8E">
        <w:rPr>
          <w:rFonts w:eastAsia="Calibri"/>
          <w:bCs/>
          <w:szCs w:val="24"/>
        </w:rPr>
        <w:t xml:space="preserve">, les extrants obtenus de la mise en œuvre des plans locaux de développement ont trait à l’acquisition de 284 motos au profit des FDS et 49 au profit des VDP, la construction de 3 commissariats de district et d’une brigade territoriale de gendarmerie, la réhabilitation de 5 bâtiments au profit de la </w:t>
      </w:r>
      <w:r w:rsidR="00D818A5">
        <w:rPr>
          <w:rFonts w:eastAsia="Calibri"/>
          <w:bCs/>
          <w:szCs w:val="24"/>
        </w:rPr>
        <w:t>P</w:t>
      </w:r>
      <w:r w:rsidRPr="00991E8E">
        <w:rPr>
          <w:rFonts w:eastAsia="Calibri"/>
          <w:bCs/>
          <w:szCs w:val="24"/>
        </w:rPr>
        <w:t>olice nationale et de 6 autres au pro</w:t>
      </w:r>
      <w:r w:rsidR="0015454A">
        <w:rPr>
          <w:rFonts w:eastAsia="Calibri"/>
          <w:bCs/>
          <w:szCs w:val="24"/>
        </w:rPr>
        <w:t xml:space="preserve">fit de la </w:t>
      </w:r>
      <w:r w:rsidR="00D818A5">
        <w:rPr>
          <w:rFonts w:eastAsia="Calibri"/>
          <w:bCs/>
          <w:szCs w:val="24"/>
        </w:rPr>
        <w:t>G</w:t>
      </w:r>
      <w:r w:rsidR="0015454A">
        <w:rPr>
          <w:rFonts w:eastAsia="Calibri"/>
          <w:bCs/>
          <w:szCs w:val="24"/>
        </w:rPr>
        <w:t>endarmerie nationale</w:t>
      </w:r>
      <w:r w:rsidRPr="00991E8E">
        <w:rPr>
          <w:rFonts w:eastAsia="Calibri"/>
          <w:bCs/>
          <w:szCs w:val="24"/>
        </w:rPr>
        <w:t>, la construction d’un poste de contrô</w:t>
      </w:r>
      <w:r w:rsidR="0015454A">
        <w:rPr>
          <w:rFonts w:eastAsia="Calibri"/>
          <w:bCs/>
          <w:szCs w:val="24"/>
        </w:rPr>
        <w:t xml:space="preserve">le au profit des eaux et forêts </w:t>
      </w:r>
      <w:r w:rsidRPr="00991E8E">
        <w:rPr>
          <w:rFonts w:eastAsia="Calibri"/>
          <w:bCs/>
          <w:szCs w:val="24"/>
        </w:rPr>
        <w:t xml:space="preserve">et la réhabilitation d’un autre poste au profit de la </w:t>
      </w:r>
      <w:r w:rsidR="00D818A5">
        <w:rPr>
          <w:rFonts w:eastAsia="Calibri"/>
          <w:bCs/>
          <w:szCs w:val="24"/>
        </w:rPr>
        <w:t>P</w:t>
      </w:r>
      <w:r w:rsidRPr="00991E8E">
        <w:rPr>
          <w:rFonts w:eastAsia="Calibri"/>
          <w:bCs/>
          <w:szCs w:val="24"/>
        </w:rPr>
        <w:t xml:space="preserve">olice nationale.  </w:t>
      </w:r>
    </w:p>
    <w:p w14:paraId="70607262" w14:textId="45BCD238" w:rsidR="00991E8E" w:rsidRPr="008139E1" w:rsidRDefault="00991E8E" w:rsidP="008139E1">
      <w:pPr>
        <w:numPr>
          <w:ilvl w:val="0"/>
          <w:numId w:val="8"/>
        </w:numPr>
        <w:shd w:val="clear" w:color="auto" w:fill="FFFFFF"/>
        <w:spacing w:before="120" w:after="120" w:line="240" w:lineRule="auto"/>
        <w:ind w:left="0"/>
        <w:rPr>
          <w:rFonts w:eastAsia="Calibri"/>
          <w:szCs w:val="24"/>
        </w:rPr>
      </w:pPr>
      <w:r w:rsidRPr="00991E8E">
        <w:rPr>
          <w:rFonts w:eastAsia="Calibri"/>
          <w:bCs/>
          <w:szCs w:val="24"/>
        </w:rPr>
        <w:t xml:space="preserve">Au titre de </w:t>
      </w:r>
      <w:r w:rsidRPr="00991E8E">
        <w:rPr>
          <w:rFonts w:eastAsia="Calibri"/>
          <w:b/>
          <w:szCs w:val="24"/>
        </w:rPr>
        <w:t xml:space="preserve">l’opérationnalisation de la </w:t>
      </w:r>
      <w:r w:rsidR="00D818A5">
        <w:rPr>
          <w:rFonts w:eastAsia="Calibri"/>
          <w:b/>
          <w:szCs w:val="24"/>
        </w:rPr>
        <w:t>S</w:t>
      </w:r>
      <w:r w:rsidRPr="00991E8E">
        <w:rPr>
          <w:rFonts w:eastAsia="Calibri"/>
          <w:b/>
          <w:szCs w:val="24"/>
        </w:rPr>
        <w:t xml:space="preserve">tratégie nationale de prévention de la radicalisation et de lutte contre l’extrémisme violent, </w:t>
      </w:r>
      <w:r w:rsidRPr="00991E8E">
        <w:rPr>
          <w:rFonts w:eastAsia="Calibri"/>
          <w:bCs/>
          <w:szCs w:val="24"/>
        </w:rPr>
        <w:t xml:space="preserve">les collectivités territoriales ont contribué à l’organisation de 29 séances de sensibilisation sur la radicalisation et l’extrémisme violent, à la sensibilisation et à la formation de 3 628 jeunes formés </w:t>
      </w:r>
      <w:r w:rsidR="00D818A5">
        <w:rPr>
          <w:rFonts w:eastAsia="Calibri"/>
          <w:bCs/>
          <w:szCs w:val="24"/>
        </w:rPr>
        <w:t>au</w:t>
      </w:r>
      <w:r w:rsidRPr="00991E8E">
        <w:rPr>
          <w:rFonts w:eastAsia="Calibri"/>
          <w:bCs/>
          <w:szCs w:val="24"/>
        </w:rPr>
        <w:t xml:space="preserve"> civisme, </w:t>
      </w:r>
      <w:r w:rsidR="00D818A5">
        <w:rPr>
          <w:rFonts w:eastAsia="Calibri"/>
          <w:bCs/>
          <w:szCs w:val="24"/>
        </w:rPr>
        <w:t xml:space="preserve">à </w:t>
      </w:r>
      <w:r w:rsidRPr="00991E8E">
        <w:rPr>
          <w:rFonts w:eastAsia="Calibri"/>
          <w:bCs/>
          <w:szCs w:val="24"/>
        </w:rPr>
        <w:t xml:space="preserve">la culture de la paix, </w:t>
      </w:r>
      <w:r w:rsidR="00D818A5">
        <w:rPr>
          <w:rFonts w:eastAsia="Calibri"/>
          <w:bCs/>
          <w:szCs w:val="24"/>
        </w:rPr>
        <w:t>au</w:t>
      </w:r>
      <w:r w:rsidRPr="00991E8E">
        <w:rPr>
          <w:rFonts w:eastAsia="Calibri"/>
          <w:bCs/>
          <w:szCs w:val="24"/>
        </w:rPr>
        <w:t xml:space="preserve"> vivre ensemble ainsi que la sensibilisation de 1</w:t>
      </w:r>
      <w:r w:rsidR="00D818A5" w:rsidRPr="00B21CEC">
        <w:rPr>
          <w:rFonts w:eastAsia="Calibri"/>
          <w:szCs w:val="24"/>
        </w:rPr>
        <w:t> </w:t>
      </w:r>
      <w:r w:rsidRPr="00991E8E">
        <w:rPr>
          <w:rFonts w:eastAsia="Calibri"/>
          <w:bCs/>
          <w:szCs w:val="24"/>
        </w:rPr>
        <w:t>109 personnes sur la lutte contre la radicalisation et l'extrémisme violent. Les séances de sensibilisation sur la radicalisation et l’extrémisme viole</w:t>
      </w:r>
      <w:r w:rsidR="00F53A06">
        <w:rPr>
          <w:rFonts w:eastAsia="Calibri"/>
          <w:bCs/>
          <w:szCs w:val="24"/>
        </w:rPr>
        <w:t xml:space="preserve">nt ont permis de toucher 3 975 </w:t>
      </w:r>
      <w:r w:rsidRPr="00991E8E">
        <w:rPr>
          <w:rFonts w:eastAsia="Calibri"/>
          <w:bCs/>
          <w:szCs w:val="24"/>
        </w:rPr>
        <w:t>personnes.</w:t>
      </w:r>
    </w:p>
    <w:p w14:paraId="7AC34D7F" w14:textId="77777777" w:rsidR="00991E8E" w:rsidRDefault="00991E8E" w:rsidP="00AB0B8B">
      <w:pPr>
        <w:shd w:val="clear" w:color="auto" w:fill="FFFFFF"/>
        <w:spacing w:before="120" w:after="120" w:line="240" w:lineRule="auto"/>
        <w:rPr>
          <w:rFonts w:eastAsia="Calibri"/>
          <w:szCs w:val="24"/>
          <w:highlight w:val="cyan"/>
        </w:rPr>
      </w:pPr>
    </w:p>
    <w:p w14:paraId="4428D8C0" w14:textId="6390669D" w:rsidR="00831514" w:rsidRPr="00831514" w:rsidRDefault="006A58F9" w:rsidP="00831514">
      <w:pPr>
        <w:pStyle w:val="PAT3"/>
      </w:pPr>
      <w:bookmarkStart w:id="38" w:name="_Toc163141211"/>
      <w:r w:rsidRPr="00FF1698">
        <w:t>Synthèse du Pilier 1 : Lutter contre le terrorisme et restaurer l’intégrité territoriale</w:t>
      </w:r>
      <w:bookmarkEnd w:id="38"/>
      <w:r w:rsidR="00F35C76" w:rsidRPr="00FF1698">
        <w:t xml:space="preserve"> </w:t>
      </w:r>
    </w:p>
    <w:p w14:paraId="091E78AF" w14:textId="13DF1398" w:rsidR="004821C0" w:rsidRPr="004821C0" w:rsidRDefault="00831514" w:rsidP="0042784A">
      <w:pPr>
        <w:numPr>
          <w:ilvl w:val="0"/>
          <w:numId w:val="8"/>
        </w:numPr>
        <w:shd w:val="clear" w:color="auto" w:fill="FFFFFF"/>
        <w:spacing w:before="120" w:after="120" w:line="240" w:lineRule="auto"/>
        <w:ind w:left="0"/>
        <w:rPr>
          <w:rFonts w:eastAsia="Calibri"/>
          <w:szCs w:val="24"/>
        </w:rPr>
      </w:pPr>
      <w:r w:rsidRPr="004821C0">
        <w:rPr>
          <w:rFonts w:eastAsia="Calibri"/>
          <w:szCs w:val="24"/>
        </w:rPr>
        <w:t xml:space="preserve">En </w:t>
      </w:r>
      <w:r w:rsidR="004821C0" w:rsidRPr="004821C0">
        <w:rPr>
          <w:rFonts w:eastAsia="Calibri"/>
          <w:szCs w:val="24"/>
        </w:rPr>
        <w:t>2023, le taux d’exécution physique des actions du Pilier 1 ressort à 80,55% pour une exécution financière de 61,63%. Aussi, d’importants acquis ont été engrangés à travers plusieurs actions de l’objectif stratégique 1.2 de la PND, r</w:t>
      </w:r>
      <w:r w:rsidR="004821C0" w:rsidRPr="008D2129">
        <w:t>enforcer la sécurité intérieure du pays et la défense du territoire national</w:t>
      </w:r>
      <w:r w:rsidR="004821C0">
        <w:t xml:space="preserve">. Il en est ainsi du </w:t>
      </w:r>
      <w:r w:rsidR="004821C0" w:rsidRPr="004821C0">
        <w:rPr>
          <w:rFonts w:eastAsia="Calibri"/>
          <w:szCs w:val="24"/>
        </w:rPr>
        <w:t xml:space="preserve">renforcement des capacités opérationnelles des FDS en vue de libérer les localités occupées par les terroristes (01003), où les progrès portent sur : (i) l’accroissement conséquent des effectifs des FDS et des VDP ; (ii) la consolidation de la réorganisation de l’architecture de la sécurité avec la création d’unités spéciales (20 BIR dans l’armée, 6 GUMI et 46 UMI à la Police nationale, une unité spéciale des eaux et forêts) ; (iii) le renforcement en équipements tactiques et en moyens cinétiques ; (iv) la construction des CPD de </w:t>
      </w:r>
      <w:proofErr w:type="spellStart"/>
      <w:r w:rsidR="004821C0" w:rsidRPr="004821C0">
        <w:rPr>
          <w:rFonts w:eastAsia="Calibri"/>
          <w:szCs w:val="24"/>
        </w:rPr>
        <w:t>Bouroum</w:t>
      </w:r>
      <w:proofErr w:type="spellEnd"/>
      <w:r w:rsidR="004821C0" w:rsidRPr="004821C0">
        <w:rPr>
          <w:rFonts w:eastAsia="Calibri"/>
          <w:szCs w:val="24"/>
        </w:rPr>
        <w:t xml:space="preserve"> </w:t>
      </w:r>
      <w:proofErr w:type="spellStart"/>
      <w:r w:rsidR="004821C0" w:rsidRPr="004821C0">
        <w:rPr>
          <w:rFonts w:eastAsia="Calibri"/>
          <w:szCs w:val="24"/>
        </w:rPr>
        <w:t>Bouroum</w:t>
      </w:r>
      <w:proofErr w:type="spellEnd"/>
      <w:r w:rsidR="004821C0" w:rsidRPr="004821C0">
        <w:rPr>
          <w:rFonts w:eastAsia="Calibri"/>
          <w:szCs w:val="24"/>
        </w:rPr>
        <w:t xml:space="preserve">, </w:t>
      </w:r>
      <w:proofErr w:type="spellStart"/>
      <w:r w:rsidR="004821C0" w:rsidRPr="004821C0">
        <w:rPr>
          <w:rFonts w:eastAsia="Calibri"/>
          <w:szCs w:val="24"/>
        </w:rPr>
        <w:t>Dakoro</w:t>
      </w:r>
      <w:proofErr w:type="spellEnd"/>
      <w:r w:rsidR="004821C0" w:rsidRPr="004821C0">
        <w:rPr>
          <w:rFonts w:eastAsia="Calibri"/>
          <w:szCs w:val="24"/>
        </w:rPr>
        <w:t xml:space="preserve"> et Sangha, des BT de Tema </w:t>
      </w:r>
      <w:proofErr w:type="spellStart"/>
      <w:r w:rsidR="004821C0" w:rsidRPr="004821C0">
        <w:rPr>
          <w:rFonts w:eastAsia="Calibri"/>
          <w:szCs w:val="24"/>
        </w:rPr>
        <w:t>Bokin</w:t>
      </w:r>
      <w:proofErr w:type="spellEnd"/>
      <w:r w:rsidR="004821C0" w:rsidRPr="004821C0">
        <w:rPr>
          <w:rFonts w:eastAsia="Calibri"/>
          <w:szCs w:val="24"/>
        </w:rPr>
        <w:t xml:space="preserve">, </w:t>
      </w:r>
      <w:proofErr w:type="spellStart"/>
      <w:r w:rsidR="004821C0" w:rsidRPr="004821C0">
        <w:rPr>
          <w:rFonts w:eastAsia="Calibri"/>
          <w:szCs w:val="24"/>
        </w:rPr>
        <w:t>Ziga</w:t>
      </w:r>
      <w:proofErr w:type="spellEnd"/>
      <w:r w:rsidR="004821C0" w:rsidRPr="004821C0">
        <w:rPr>
          <w:rFonts w:eastAsia="Calibri"/>
          <w:szCs w:val="24"/>
        </w:rPr>
        <w:t xml:space="preserve"> et Sam ainsi que la réhabilitation de 21 autres infrastructures de sécurité.</w:t>
      </w:r>
    </w:p>
    <w:p w14:paraId="71088619" w14:textId="77777777" w:rsidR="004821C0" w:rsidRDefault="004821C0" w:rsidP="004821C0">
      <w:pPr>
        <w:numPr>
          <w:ilvl w:val="0"/>
          <w:numId w:val="8"/>
        </w:numPr>
        <w:shd w:val="clear" w:color="auto" w:fill="FFFFFF"/>
        <w:spacing w:before="120" w:after="120" w:line="240" w:lineRule="auto"/>
        <w:ind w:left="0"/>
        <w:rPr>
          <w:rFonts w:eastAsia="Calibri"/>
          <w:szCs w:val="24"/>
        </w:rPr>
      </w:pPr>
      <w:r>
        <w:rPr>
          <w:rFonts w:eastAsia="Calibri"/>
          <w:szCs w:val="24"/>
        </w:rPr>
        <w:t>L</w:t>
      </w:r>
      <w:r w:rsidRPr="00831514">
        <w:rPr>
          <w:rFonts w:eastAsia="Calibri"/>
          <w:szCs w:val="24"/>
        </w:rPr>
        <w:t xml:space="preserve">’intensification de la lutte contre la criminalité et le grand banditisme </w:t>
      </w:r>
      <w:r>
        <w:rPr>
          <w:rFonts w:eastAsia="Calibri"/>
          <w:szCs w:val="24"/>
        </w:rPr>
        <w:t xml:space="preserve">(01004) a aussi été un domaine de progrès notables ayant permis de réduire à </w:t>
      </w:r>
      <w:r w:rsidRPr="00831514">
        <w:rPr>
          <w:rFonts w:eastAsia="Calibri"/>
          <w:szCs w:val="24"/>
        </w:rPr>
        <w:t>655</w:t>
      </w:r>
      <w:r>
        <w:rPr>
          <w:rFonts w:eastAsia="Calibri"/>
          <w:szCs w:val="24"/>
        </w:rPr>
        <w:t>, le</w:t>
      </w:r>
      <w:r w:rsidRPr="00831514">
        <w:rPr>
          <w:rFonts w:eastAsia="Calibri"/>
          <w:szCs w:val="24"/>
        </w:rPr>
        <w:t xml:space="preserve"> nombre d’agressions/attaques à main armée enregistré</w:t>
      </w:r>
      <w:r>
        <w:rPr>
          <w:rFonts w:eastAsia="Calibri"/>
          <w:szCs w:val="24"/>
        </w:rPr>
        <w:t>s</w:t>
      </w:r>
      <w:r w:rsidRPr="00831514">
        <w:rPr>
          <w:rFonts w:eastAsia="Calibri"/>
          <w:szCs w:val="24"/>
        </w:rPr>
        <w:t xml:space="preserve"> sur le territoire</w:t>
      </w:r>
      <w:r w:rsidRPr="00A45B2E">
        <w:rPr>
          <w:rFonts w:eastAsia="Calibri"/>
          <w:szCs w:val="24"/>
        </w:rPr>
        <w:t xml:space="preserve"> </w:t>
      </w:r>
      <w:r>
        <w:rPr>
          <w:rFonts w:eastAsia="Calibri"/>
          <w:szCs w:val="24"/>
        </w:rPr>
        <w:t xml:space="preserve">en 2023 contre 823 en 2022. </w:t>
      </w:r>
    </w:p>
    <w:p w14:paraId="6F0D5395" w14:textId="2E2BAF89" w:rsidR="004821C0" w:rsidRPr="00A36AC9" w:rsidRDefault="004821C0" w:rsidP="004821C0">
      <w:pPr>
        <w:numPr>
          <w:ilvl w:val="0"/>
          <w:numId w:val="8"/>
        </w:numPr>
        <w:shd w:val="clear" w:color="auto" w:fill="FFFFFF"/>
        <w:spacing w:before="120" w:after="120" w:line="240" w:lineRule="auto"/>
        <w:ind w:left="0"/>
        <w:rPr>
          <w:rFonts w:eastAsia="Calibri"/>
          <w:szCs w:val="24"/>
        </w:rPr>
      </w:pPr>
      <w:r>
        <w:rPr>
          <w:rFonts w:eastAsia="Calibri"/>
          <w:szCs w:val="24"/>
        </w:rPr>
        <w:t>Au</w:t>
      </w:r>
      <w:r w:rsidRPr="00831514">
        <w:rPr>
          <w:rFonts w:eastAsia="Calibri"/>
          <w:szCs w:val="24"/>
        </w:rPr>
        <w:t xml:space="preserve"> </w:t>
      </w:r>
      <w:r>
        <w:rPr>
          <w:rFonts w:eastAsia="Calibri"/>
          <w:szCs w:val="24"/>
        </w:rPr>
        <w:t xml:space="preserve">niveau de l’action </w:t>
      </w:r>
      <w:r w:rsidRPr="00831514">
        <w:rPr>
          <w:rFonts w:eastAsia="Calibri"/>
          <w:szCs w:val="24"/>
        </w:rPr>
        <w:t xml:space="preserve">réinstallation des services de l'État dans les localités libérées de l'emprise des </w:t>
      </w:r>
      <w:r>
        <w:rPr>
          <w:rFonts w:eastAsia="Calibri"/>
          <w:szCs w:val="24"/>
        </w:rPr>
        <w:t>g</w:t>
      </w:r>
      <w:r w:rsidRPr="00831514">
        <w:rPr>
          <w:rFonts w:eastAsia="Calibri"/>
          <w:szCs w:val="24"/>
        </w:rPr>
        <w:t xml:space="preserve">roupes </w:t>
      </w:r>
      <w:r>
        <w:rPr>
          <w:rFonts w:eastAsia="Calibri"/>
          <w:szCs w:val="24"/>
        </w:rPr>
        <w:t>a</w:t>
      </w:r>
      <w:r w:rsidRPr="00831514">
        <w:rPr>
          <w:rFonts w:eastAsia="Calibri"/>
          <w:szCs w:val="24"/>
        </w:rPr>
        <w:t xml:space="preserve">rmés </w:t>
      </w:r>
      <w:r>
        <w:rPr>
          <w:rFonts w:eastAsia="Calibri"/>
          <w:szCs w:val="24"/>
        </w:rPr>
        <w:t>t</w:t>
      </w:r>
      <w:r w:rsidRPr="00831514">
        <w:rPr>
          <w:rFonts w:eastAsia="Calibri"/>
          <w:szCs w:val="24"/>
        </w:rPr>
        <w:t>erroristes</w:t>
      </w:r>
      <w:r>
        <w:rPr>
          <w:rFonts w:eastAsia="Calibri"/>
          <w:szCs w:val="24"/>
        </w:rPr>
        <w:t xml:space="preserve"> (01005), on note la réouverture </w:t>
      </w:r>
      <w:r w:rsidRPr="00831514">
        <w:rPr>
          <w:rFonts w:eastAsia="Calibri"/>
          <w:szCs w:val="24"/>
        </w:rPr>
        <w:t>de services de police</w:t>
      </w:r>
      <w:r>
        <w:rPr>
          <w:rFonts w:eastAsia="Calibri"/>
          <w:szCs w:val="24"/>
        </w:rPr>
        <w:t xml:space="preserve">, de brigades de gendarmerie, </w:t>
      </w:r>
      <w:r w:rsidRPr="00831514">
        <w:rPr>
          <w:rFonts w:eastAsia="Calibri"/>
          <w:szCs w:val="24"/>
        </w:rPr>
        <w:t>la construction de sièges de circonscription administrative</w:t>
      </w:r>
      <w:r>
        <w:rPr>
          <w:rFonts w:eastAsia="Calibri"/>
          <w:szCs w:val="24"/>
        </w:rPr>
        <w:t xml:space="preserve">, </w:t>
      </w:r>
      <w:r w:rsidRPr="00831514">
        <w:rPr>
          <w:rFonts w:eastAsia="Calibri"/>
          <w:szCs w:val="24"/>
        </w:rPr>
        <w:t>de collectivité territoriale (</w:t>
      </w:r>
      <w:r>
        <w:rPr>
          <w:rFonts w:eastAsia="Calibri"/>
          <w:szCs w:val="24"/>
        </w:rPr>
        <w:t>m</w:t>
      </w:r>
      <w:r w:rsidRPr="00831514">
        <w:rPr>
          <w:rFonts w:eastAsia="Calibri"/>
          <w:szCs w:val="24"/>
        </w:rPr>
        <w:t xml:space="preserve">airie de </w:t>
      </w:r>
      <w:proofErr w:type="spellStart"/>
      <w:r w:rsidRPr="00831514">
        <w:rPr>
          <w:rFonts w:eastAsia="Calibri"/>
          <w:szCs w:val="24"/>
        </w:rPr>
        <w:t>Solenzo</w:t>
      </w:r>
      <w:proofErr w:type="spellEnd"/>
      <w:r w:rsidRPr="00831514">
        <w:rPr>
          <w:rFonts w:eastAsia="Calibri"/>
          <w:szCs w:val="24"/>
        </w:rPr>
        <w:t xml:space="preserve">) et </w:t>
      </w:r>
      <w:r>
        <w:rPr>
          <w:rFonts w:eastAsia="Calibri"/>
          <w:szCs w:val="24"/>
        </w:rPr>
        <w:t xml:space="preserve">de nouvelles </w:t>
      </w:r>
      <w:r w:rsidRPr="00831514">
        <w:rPr>
          <w:rFonts w:eastAsia="Calibri"/>
          <w:szCs w:val="24"/>
        </w:rPr>
        <w:t xml:space="preserve">juridictions </w:t>
      </w:r>
      <w:r>
        <w:rPr>
          <w:rFonts w:eastAsia="Calibri"/>
          <w:szCs w:val="24"/>
        </w:rPr>
        <w:t xml:space="preserve">dans une vingtaine de villes jadis sous emprise terroriste. </w:t>
      </w:r>
      <w:r w:rsidRPr="00A36AC9">
        <w:rPr>
          <w:rFonts w:eastAsia="Calibri"/>
          <w:szCs w:val="24"/>
        </w:rPr>
        <w:t xml:space="preserve">A cela s’ajoute la réinstallation de 140 villages et la délocalisation des postes de douane </w:t>
      </w:r>
      <w:r w:rsidRPr="0042784A">
        <w:rPr>
          <w:rFonts w:eastAsia="Calibri"/>
          <w:szCs w:val="24"/>
        </w:rPr>
        <w:t xml:space="preserve">de </w:t>
      </w:r>
      <w:proofErr w:type="spellStart"/>
      <w:r w:rsidRPr="0042784A">
        <w:rPr>
          <w:rFonts w:eastAsia="Calibri"/>
          <w:szCs w:val="24"/>
        </w:rPr>
        <w:t>Seytenga</w:t>
      </w:r>
      <w:proofErr w:type="spellEnd"/>
      <w:r w:rsidRPr="0042784A">
        <w:rPr>
          <w:rFonts w:eastAsia="Calibri"/>
          <w:szCs w:val="24"/>
        </w:rPr>
        <w:t xml:space="preserve"> et </w:t>
      </w:r>
      <w:proofErr w:type="spellStart"/>
      <w:r w:rsidRPr="0042784A">
        <w:rPr>
          <w:rFonts w:eastAsia="Calibri"/>
          <w:szCs w:val="24"/>
        </w:rPr>
        <w:t>Galgouli</w:t>
      </w:r>
      <w:proofErr w:type="spellEnd"/>
      <w:r w:rsidRPr="0042784A">
        <w:rPr>
          <w:rFonts w:eastAsia="Calibri"/>
          <w:szCs w:val="24"/>
        </w:rPr>
        <w:t xml:space="preserve">, à </w:t>
      </w:r>
      <w:proofErr w:type="spellStart"/>
      <w:r w:rsidRPr="0042784A">
        <w:rPr>
          <w:rFonts w:eastAsia="Calibri"/>
          <w:szCs w:val="24"/>
        </w:rPr>
        <w:t>Dori</w:t>
      </w:r>
      <w:proofErr w:type="spellEnd"/>
      <w:r w:rsidR="00A36AC9">
        <w:rPr>
          <w:rFonts w:eastAsia="Calibri"/>
          <w:szCs w:val="24"/>
        </w:rPr>
        <w:t xml:space="preserve"> et </w:t>
      </w:r>
      <w:proofErr w:type="spellStart"/>
      <w:r w:rsidR="00A36AC9">
        <w:rPr>
          <w:rFonts w:eastAsia="Calibri"/>
          <w:szCs w:val="24"/>
        </w:rPr>
        <w:t>Kampti</w:t>
      </w:r>
      <w:proofErr w:type="spellEnd"/>
      <w:r w:rsidRPr="0042784A">
        <w:rPr>
          <w:rFonts w:eastAsia="Calibri"/>
          <w:szCs w:val="24"/>
        </w:rPr>
        <w:t>.</w:t>
      </w:r>
    </w:p>
    <w:p w14:paraId="6D4C678C" w14:textId="77777777" w:rsidR="004821C0" w:rsidRPr="00831514" w:rsidRDefault="004821C0" w:rsidP="004821C0">
      <w:pPr>
        <w:numPr>
          <w:ilvl w:val="0"/>
          <w:numId w:val="8"/>
        </w:numPr>
        <w:shd w:val="clear" w:color="auto" w:fill="FFFFFF"/>
        <w:spacing w:before="120" w:after="120" w:line="240" w:lineRule="auto"/>
        <w:ind w:left="0"/>
        <w:rPr>
          <w:rFonts w:eastAsia="Calibri"/>
          <w:szCs w:val="24"/>
        </w:rPr>
      </w:pPr>
      <w:r w:rsidRPr="00831514">
        <w:rPr>
          <w:rFonts w:eastAsia="Calibri"/>
          <w:szCs w:val="24"/>
        </w:rPr>
        <w:t xml:space="preserve">L’amélioration de la participation des </w:t>
      </w:r>
      <w:r>
        <w:rPr>
          <w:rFonts w:eastAsia="Calibri"/>
          <w:szCs w:val="24"/>
        </w:rPr>
        <w:t>VDP</w:t>
      </w:r>
      <w:r w:rsidRPr="00831514">
        <w:rPr>
          <w:rFonts w:eastAsia="Calibri"/>
          <w:szCs w:val="24"/>
        </w:rPr>
        <w:t xml:space="preserve"> dans la lutte contre le terrorisme </w:t>
      </w:r>
      <w:r>
        <w:rPr>
          <w:rFonts w:eastAsia="Calibri"/>
          <w:szCs w:val="24"/>
        </w:rPr>
        <w:t xml:space="preserve">(01007) </w:t>
      </w:r>
      <w:r w:rsidRPr="00831514">
        <w:rPr>
          <w:rFonts w:eastAsia="Calibri"/>
          <w:szCs w:val="24"/>
        </w:rPr>
        <w:t>a été un</w:t>
      </w:r>
      <w:r>
        <w:rPr>
          <w:rFonts w:eastAsia="Calibri"/>
          <w:szCs w:val="24"/>
        </w:rPr>
        <w:t xml:space="preserve"> acquis palpable se traduisant par </w:t>
      </w:r>
      <w:r w:rsidRPr="00831514">
        <w:rPr>
          <w:rFonts w:eastAsia="Calibri"/>
          <w:szCs w:val="24"/>
        </w:rPr>
        <w:t xml:space="preserve">la </w:t>
      </w:r>
      <w:r>
        <w:rPr>
          <w:rFonts w:eastAsia="Calibri"/>
          <w:szCs w:val="24"/>
        </w:rPr>
        <w:t xml:space="preserve">création </w:t>
      </w:r>
      <w:r w:rsidRPr="00831514">
        <w:rPr>
          <w:rFonts w:eastAsia="Calibri"/>
          <w:szCs w:val="24"/>
        </w:rPr>
        <w:t>de</w:t>
      </w:r>
      <w:r>
        <w:rPr>
          <w:rFonts w:eastAsia="Calibri"/>
          <w:szCs w:val="24"/>
        </w:rPr>
        <w:t>s</w:t>
      </w:r>
      <w:r w:rsidRPr="00831514">
        <w:rPr>
          <w:rFonts w:eastAsia="Calibri"/>
          <w:szCs w:val="24"/>
        </w:rPr>
        <w:t xml:space="preserve"> cellule</w:t>
      </w:r>
      <w:r>
        <w:rPr>
          <w:rFonts w:eastAsia="Calibri"/>
          <w:szCs w:val="24"/>
        </w:rPr>
        <w:t>s</w:t>
      </w:r>
      <w:r w:rsidRPr="00831514">
        <w:rPr>
          <w:rFonts w:eastAsia="Calibri"/>
          <w:szCs w:val="24"/>
        </w:rPr>
        <w:t xml:space="preserve"> VDP</w:t>
      </w:r>
      <w:r>
        <w:rPr>
          <w:rFonts w:eastAsia="Calibri"/>
          <w:szCs w:val="24"/>
        </w:rPr>
        <w:t xml:space="preserve"> dans toutes les</w:t>
      </w:r>
      <w:r w:rsidRPr="00831514">
        <w:rPr>
          <w:rFonts w:eastAsia="Calibri"/>
          <w:szCs w:val="24"/>
        </w:rPr>
        <w:t xml:space="preserve"> communes à fort défi sécuritaire disposant</w:t>
      </w:r>
      <w:r>
        <w:rPr>
          <w:rFonts w:eastAsia="Calibri"/>
          <w:szCs w:val="24"/>
        </w:rPr>
        <w:t xml:space="preserve"> (100%) </w:t>
      </w:r>
      <w:r w:rsidRPr="00831514">
        <w:rPr>
          <w:rFonts w:eastAsia="Calibri"/>
          <w:szCs w:val="24"/>
        </w:rPr>
        <w:t xml:space="preserve">et la couverture intégrale de </w:t>
      </w:r>
      <w:r>
        <w:rPr>
          <w:rFonts w:eastAsia="Calibri"/>
          <w:szCs w:val="24"/>
        </w:rPr>
        <w:t xml:space="preserve">la </w:t>
      </w:r>
      <w:r w:rsidRPr="00831514">
        <w:rPr>
          <w:rFonts w:eastAsia="Calibri"/>
          <w:szCs w:val="24"/>
        </w:rPr>
        <w:t>prise en charge financière et sanitaire des VDP et de leurs ayants droit</w:t>
      </w:r>
      <w:r>
        <w:rPr>
          <w:rFonts w:eastAsia="Calibri"/>
          <w:szCs w:val="24"/>
        </w:rPr>
        <w:t xml:space="preserve"> par</w:t>
      </w:r>
      <w:r w:rsidRPr="00831514">
        <w:rPr>
          <w:rFonts w:eastAsia="Calibri"/>
          <w:szCs w:val="24"/>
        </w:rPr>
        <w:t xml:space="preserve"> l</w:t>
      </w:r>
      <w:r>
        <w:rPr>
          <w:rFonts w:eastAsia="Calibri"/>
          <w:szCs w:val="24"/>
        </w:rPr>
        <w:t xml:space="preserve">es ressources </w:t>
      </w:r>
      <w:r w:rsidRPr="00831514">
        <w:rPr>
          <w:rFonts w:eastAsia="Calibri"/>
          <w:szCs w:val="24"/>
        </w:rPr>
        <w:t xml:space="preserve">du Fonds de soutien patriotique. </w:t>
      </w:r>
      <w:r>
        <w:rPr>
          <w:rFonts w:eastAsia="Calibri"/>
          <w:szCs w:val="24"/>
        </w:rPr>
        <w:t>D</w:t>
      </w:r>
      <w:r w:rsidRPr="00831514">
        <w:rPr>
          <w:rFonts w:eastAsia="Calibri"/>
          <w:szCs w:val="24"/>
        </w:rPr>
        <w:t>e même</w:t>
      </w:r>
      <w:r>
        <w:rPr>
          <w:rFonts w:eastAsia="Calibri"/>
          <w:szCs w:val="24"/>
        </w:rPr>
        <w:t xml:space="preserve">, </w:t>
      </w:r>
      <w:r w:rsidRPr="00831514">
        <w:rPr>
          <w:rFonts w:eastAsia="Calibri"/>
          <w:szCs w:val="24"/>
        </w:rPr>
        <w:t xml:space="preserve">avec </w:t>
      </w:r>
      <w:r>
        <w:rPr>
          <w:rFonts w:eastAsia="Calibri"/>
          <w:szCs w:val="24"/>
        </w:rPr>
        <w:t>un taux de</w:t>
      </w:r>
      <w:r w:rsidRPr="00831514">
        <w:rPr>
          <w:rFonts w:eastAsia="Calibri"/>
          <w:szCs w:val="24"/>
        </w:rPr>
        <w:t xml:space="preserve"> couverture de 76,66% des juridictions par une unité spéciale judiciaire de sécurité</w:t>
      </w:r>
      <w:r w:rsidRPr="002B3D95">
        <w:rPr>
          <w:rFonts w:eastAsia="Calibri"/>
          <w:szCs w:val="24"/>
        </w:rPr>
        <w:t xml:space="preserve"> </w:t>
      </w:r>
      <w:r>
        <w:rPr>
          <w:rFonts w:eastAsia="Calibri"/>
          <w:szCs w:val="24"/>
        </w:rPr>
        <w:t>pour</w:t>
      </w:r>
      <w:r w:rsidRPr="00831514">
        <w:rPr>
          <w:rFonts w:eastAsia="Calibri"/>
          <w:szCs w:val="24"/>
        </w:rPr>
        <w:t xml:space="preserve"> une cible de 66%</w:t>
      </w:r>
      <w:r>
        <w:rPr>
          <w:rFonts w:eastAsia="Calibri"/>
          <w:szCs w:val="24"/>
        </w:rPr>
        <w:t xml:space="preserve">, </w:t>
      </w:r>
      <w:r w:rsidRPr="00831514">
        <w:rPr>
          <w:rFonts w:eastAsia="Calibri"/>
          <w:szCs w:val="24"/>
        </w:rPr>
        <w:t>la sécurisation des juridictions et établissements pénitentiaires</w:t>
      </w:r>
      <w:r>
        <w:rPr>
          <w:rFonts w:eastAsia="Calibri"/>
          <w:szCs w:val="24"/>
        </w:rPr>
        <w:t xml:space="preserve"> (01013) a connu une nette avancée en 2023</w:t>
      </w:r>
      <w:r w:rsidRPr="00831514">
        <w:rPr>
          <w:rFonts w:eastAsia="Calibri"/>
          <w:szCs w:val="24"/>
        </w:rPr>
        <w:t>.</w:t>
      </w:r>
    </w:p>
    <w:p w14:paraId="272D5FC5" w14:textId="77777777" w:rsidR="004821C0" w:rsidRPr="00831514" w:rsidRDefault="004821C0" w:rsidP="004821C0">
      <w:pPr>
        <w:numPr>
          <w:ilvl w:val="0"/>
          <w:numId w:val="8"/>
        </w:numPr>
        <w:shd w:val="clear" w:color="auto" w:fill="FFFFFF"/>
        <w:spacing w:before="120" w:after="120" w:line="240" w:lineRule="auto"/>
        <w:ind w:left="0"/>
        <w:rPr>
          <w:rFonts w:eastAsia="Calibri"/>
          <w:szCs w:val="24"/>
        </w:rPr>
      </w:pPr>
      <w:r>
        <w:rPr>
          <w:rFonts w:eastAsia="Calibri"/>
          <w:szCs w:val="24"/>
        </w:rPr>
        <w:t>Les avancées notables</w:t>
      </w:r>
      <w:r w:rsidRPr="00831514">
        <w:rPr>
          <w:rFonts w:eastAsia="Calibri"/>
          <w:szCs w:val="24"/>
        </w:rPr>
        <w:t xml:space="preserve"> </w:t>
      </w:r>
      <w:r>
        <w:rPr>
          <w:rFonts w:eastAsia="Calibri"/>
          <w:szCs w:val="24"/>
        </w:rPr>
        <w:t xml:space="preserve">enregistrées </w:t>
      </w:r>
      <w:r w:rsidRPr="00831514">
        <w:rPr>
          <w:rFonts w:eastAsia="Calibri"/>
          <w:szCs w:val="24"/>
        </w:rPr>
        <w:t>dans le cadre de l'assèchement des sources d'approvisionnement des G</w:t>
      </w:r>
      <w:r>
        <w:rPr>
          <w:rFonts w:eastAsia="Calibri"/>
          <w:szCs w:val="24"/>
        </w:rPr>
        <w:t xml:space="preserve">AT </w:t>
      </w:r>
      <w:r w:rsidRPr="00831514">
        <w:rPr>
          <w:rFonts w:eastAsia="Calibri"/>
          <w:szCs w:val="24"/>
        </w:rPr>
        <w:t>en ressources de tout genre</w:t>
      </w:r>
      <w:r>
        <w:rPr>
          <w:rFonts w:eastAsia="Calibri"/>
          <w:szCs w:val="24"/>
        </w:rPr>
        <w:t xml:space="preserve"> (01008) ont trait à l’actualisation </w:t>
      </w:r>
      <w:r w:rsidRPr="00831514">
        <w:rPr>
          <w:rFonts w:eastAsia="Calibri"/>
          <w:szCs w:val="24"/>
        </w:rPr>
        <w:t>du répertoire de réseaux de transfert informel d'argent, le démantèlement d</w:t>
      </w:r>
      <w:r>
        <w:rPr>
          <w:rFonts w:eastAsia="Calibri"/>
          <w:szCs w:val="24"/>
        </w:rPr>
        <w:t>’un</w:t>
      </w:r>
      <w:r w:rsidRPr="00831514">
        <w:rPr>
          <w:rFonts w:eastAsia="Calibri"/>
          <w:szCs w:val="24"/>
        </w:rPr>
        <w:t xml:space="preserve">e </w:t>
      </w:r>
      <w:r>
        <w:rPr>
          <w:rFonts w:eastAsia="Calibri"/>
          <w:szCs w:val="24"/>
        </w:rPr>
        <w:t>dizaine de</w:t>
      </w:r>
      <w:r w:rsidRPr="00831514">
        <w:rPr>
          <w:rFonts w:eastAsia="Calibri"/>
          <w:szCs w:val="24"/>
        </w:rPr>
        <w:t xml:space="preserve"> circuits informels de commercialisation des produits pétroliers</w:t>
      </w:r>
      <w:r>
        <w:rPr>
          <w:rFonts w:eastAsia="Calibri"/>
          <w:szCs w:val="24"/>
        </w:rPr>
        <w:t>,</w:t>
      </w:r>
      <w:r w:rsidRPr="00831514">
        <w:rPr>
          <w:rFonts w:eastAsia="Calibri"/>
          <w:szCs w:val="24"/>
        </w:rPr>
        <w:t xml:space="preserve"> de</w:t>
      </w:r>
      <w:r>
        <w:rPr>
          <w:rFonts w:eastAsia="Calibri"/>
          <w:szCs w:val="24"/>
        </w:rPr>
        <w:t xml:space="preserve"> 7</w:t>
      </w:r>
      <w:r w:rsidRPr="00831514">
        <w:rPr>
          <w:rFonts w:eastAsia="Calibri"/>
          <w:szCs w:val="24"/>
        </w:rPr>
        <w:t xml:space="preserve"> circuits informels de commercialisation des motos </w:t>
      </w:r>
      <w:r>
        <w:rPr>
          <w:rFonts w:eastAsia="Calibri"/>
          <w:szCs w:val="24"/>
        </w:rPr>
        <w:t>pour une cible de</w:t>
      </w:r>
      <w:r w:rsidRPr="00831514">
        <w:rPr>
          <w:rFonts w:eastAsia="Calibri"/>
          <w:szCs w:val="24"/>
        </w:rPr>
        <w:t xml:space="preserve"> 02</w:t>
      </w:r>
      <w:r>
        <w:rPr>
          <w:rFonts w:eastAsia="Calibri"/>
          <w:szCs w:val="24"/>
        </w:rPr>
        <w:t xml:space="preserve"> ainsi qu’à l’accroissement du nombre d’opérations de contrôle des cycles et cyclomoteurs, de produits pétroliers liquides et gazeux</w:t>
      </w:r>
      <w:r w:rsidRPr="00831514">
        <w:rPr>
          <w:rFonts w:eastAsia="Calibri"/>
          <w:szCs w:val="24"/>
        </w:rPr>
        <w:t>.</w:t>
      </w:r>
    </w:p>
    <w:p w14:paraId="12BFD06D" w14:textId="77777777" w:rsidR="004821C0" w:rsidRPr="00345EBE" w:rsidRDefault="004821C0" w:rsidP="004821C0">
      <w:pPr>
        <w:numPr>
          <w:ilvl w:val="0"/>
          <w:numId w:val="8"/>
        </w:numPr>
        <w:shd w:val="clear" w:color="auto" w:fill="FFFFFF"/>
        <w:spacing w:before="120" w:after="120" w:line="240" w:lineRule="auto"/>
        <w:ind w:left="0"/>
        <w:rPr>
          <w:rFonts w:eastAsia="Calibri"/>
          <w:szCs w:val="24"/>
        </w:rPr>
      </w:pPr>
      <w:r>
        <w:rPr>
          <w:rFonts w:eastAsia="Calibri"/>
          <w:szCs w:val="24"/>
        </w:rPr>
        <w:t xml:space="preserve">Dans le cadre du </w:t>
      </w:r>
      <w:r w:rsidRPr="00831514">
        <w:rPr>
          <w:rFonts w:eastAsia="Calibri"/>
          <w:szCs w:val="24"/>
        </w:rPr>
        <w:t xml:space="preserve">soutien à la diversification des partenariats en matière de défense et sécurité </w:t>
      </w:r>
      <w:r>
        <w:rPr>
          <w:rFonts w:eastAsia="Calibri"/>
          <w:szCs w:val="24"/>
        </w:rPr>
        <w:t xml:space="preserve">(01021), </w:t>
      </w:r>
      <w:r w:rsidRPr="00831514">
        <w:rPr>
          <w:rFonts w:eastAsia="Calibri"/>
          <w:szCs w:val="24"/>
        </w:rPr>
        <w:t xml:space="preserve">un nouveau partenariat en matière de défense et de sécurité </w:t>
      </w:r>
      <w:r>
        <w:rPr>
          <w:rFonts w:eastAsia="Calibri"/>
          <w:szCs w:val="24"/>
        </w:rPr>
        <w:t xml:space="preserve">a été établi </w:t>
      </w:r>
      <w:r>
        <w:rPr>
          <w:rFonts w:eastAsia="Calibri"/>
          <w:szCs w:val="24"/>
        </w:rPr>
        <w:lastRenderedPageBreak/>
        <w:t xml:space="preserve">entre le Burkina, le Mali et le Niger qui a donné naissance à la création </w:t>
      </w:r>
      <w:r w:rsidRPr="00831514">
        <w:rPr>
          <w:rFonts w:eastAsia="Calibri"/>
          <w:szCs w:val="24"/>
        </w:rPr>
        <w:t>de l’AES</w:t>
      </w:r>
      <w:r>
        <w:rPr>
          <w:rFonts w:eastAsia="Calibri"/>
          <w:szCs w:val="24"/>
        </w:rPr>
        <w:t>. Les avancées en m</w:t>
      </w:r>
      <w:r w:rsidRPr="00831514">
        <w:rPr>
          <w:rFonts w:eastAsia="Calibri"/>
          <w:szCs w:val="24"/>
        </w:rPr>
        <w:t>a</w:t>
      </w:r>
      <w:r>
        <w:rPr>
          <w:rFonts w:eastAsia="Calibri"/>
          <w:szCs w:val="24"/>
        </w:rPr>
        <w:t>tière de</w:t>
      </w:r>
      <w:r w:rsidRPr="00831514">
        <w:rPr>
          <w:rFonts w:eastAsia="Calibri"/>
          <w:szCs w:val="24"/>
        </w:rPr>
        <w:t xml:space="preserve"> lutte contre le blanchiment des capitaux et le financement du terrorisme</w:t>
      </w:r>
      <w:r>
        <w:rPr>
          <w:rFonts w:eastAsia="Calibri"/>
          <w:szCs w:val="24"/>
        </w:rPr>
        <w:t xml:space="preserve"> (01009) ont été </w:t>
      </w:r>
      <w:r w:rsidRPr="00831514">
        <w:rPr>
          <w:rFonts w:eastAsia="Calibri"/>
          <w:szCs w:val="24"/>
        </w:rPr>
        <w:t>matérialisée</w:t>
      </w:r>
      <w:r>
        <w:rPr>
          <w:rFonts w:eastAsia="Calibri"/>
          <w:szCs w:val="24"/>
        </w:rPr>
        <w:t>s</w:t>
      </w:r>
      <w:r w:rsidRPr="00831514">
        <w:rPr>
          <w:rFonts w:eastAsia="Calibri"/>
          <w:szCs w:val="24"/>
        </w:rPr>
        <w:t xml:space="preserve"> par la</w:t>
      </w:r>
      <w:r>
        <w:rPr>
          <w:rFonts w:eastAsia="Calibri"/>
          <w:szCs w:val="24"/>
        </w:rPr>
        <w:t xml:space="preserve"> conduite de </w:t>
      </w:r>
      <w:r w:rsidRPr="00831514">
        <w:rPr>
          <w:rFonts w:eastAsia="Calibri"/>
          <w:szCs w:val="24"/>
        </w:rPr>
        <w:t>l’évaluation nationale des risques de FT</w:t>
      </w:r>
      <w:r>
        <w:rPr>
          <w:rFonts w:eastAsia="Calibri"/>
          <w:szCs w:val="24"/>
        </w:rPr>
        <w:t xml:space="preserve">, suivie de la conception </w:t>
      </w:r>
      <w:r w:rsidRPr="00831514">
        <w:rPr>
          <w:rFonts w:eastAsia="Calibri"/>
          <w:szCs w:val="24"/>
        </w:rPr>
        <w:t>de son plan d’action de mitigation des risques</w:t>
      </w:r>
      <w:r w:rsidRPr="00345EBE">
        <w:rPr>
          <w:rFonts w:eastAsia="Calibri"/>
          <w:szCs w:val="24"/>
        </w:rPr>
        <w:t>, l’élaboration des listes nationales des personnes suspectées de financement du terrorisme en vue du gel de leurs avoirs acté par les arrêtés n°2023-00239/MEFP/CAB du 28 avril 2023 et n°2023-0557/MEFP/CAB du 10 novembre 2023.</w:t>
      </w:r>
    </w:p>
    <w:p w14:paraId="63ABA07D" w14:textId="77777777" w:rsidR="004821C0" w:rsidRPr="00831514" w:rsidRDefault="004821C0" w:rsidP="004821C0">
      <w:pPr>
        <w:numPr>
          <w:ilvl w:val="0"/>
          <w:numId w:val="8"/>
        </w:numPr>
        <w:shd w:val="clear" w:color="auto" w:fill="FFFFFF"/>
        <w:spacing w:before="120" w:after="120" w:line="240" w:lineRule="auto"/>
        <w:ind w:left="0"/>
        <w:rPr>
          <w:rFonts w:eastAsia="Calibri"/>
          <w:szCs w:val="24"/>
        </w:rPr>
      </w:pPr>
      <w:r w:rsidRPr="00831514">
        <w:rPr>
          <w:rFonts w:eastAsia="Calibri"/>
          <w:szCs w:val="24"/>
        </w:rPr>
        <w:t xml:space="preserve">En revanche, les progrès </w:t>
      </w:r>
      <w:r>
        <w:rPr>
          <w:rFonts w:eastAsia="Calibri"/>
          <w:szCs w:val="24"/>
        </w:rPr>
        <w:t>s</w:t>
      </w:r>
      <w:r w:rsidRPr="00831514">
        <w:rPr>
          <w:rFonts w:eastAsia="Calibri"/>
          <w:szCs w:val="24"/>
        </w:rPr>
        <w:t xml:space="preserve">ont moins fastes dans la mise en œuvre de certaines actions. Il s’agit notamment de : (i) l’adoption et l’opérationnalisation d’une stratégie nationale de sécurisation des exploitations minières et </w:t>
      </w:r>
      <w:r>
        <w:rPr>
          <w:rFonts w:eastAsia="Calibri"/>
          <w:szCs w:val="24"/>
        </w:rPr>
        <w:t xml:space="preserve">le </w:t>
      </w:r>
      <w:r w:rsidRPr="00831514">
        <w:rPr>
          <w:rFonts w:eastAsia="Calibri"/>
          <w:szCs w:val="24"/>
        </w:rPr>
        <w:t>renforcement de la résilience des sites miniers</w:t>
      </w:r>
      <w:r>
        <w:rPr>
          <w:rFonts w:eastAsia="Calibri"/>
          <w:szCs w:val="24"/>
        </w:rPr>
        <w:t xml:space="preserve"> (01011)</w:t>
      </w:r>
      <w:r w:rsidRPr="00831514">
        <w:rPr>
          <w:rFonts w:eastAsia="Calibri"/>
          <w:szCs w:val="24"/>
        </w:rPr>
        <w:t xml:space="preserve"> </w:t>
      </w:r>
      <w:r>
        <w:rPr>
          <w:rFonts w:eastAsia="Calibri"/>
          <w:szCs w:val="24"/>
        </w:rPr>
        <w:t>car</w:t>
      </w:r>
      <w:r w:rsidRPr="00831514">
        <w:rPr>
          <w:rFonts w:eastAsia="Calibri"/>
          <w:szCs w:val="24"/>
        </w:rPr>
        <w:t xml:space="preserve"> </w:t>
      </w:r>
      <w:r>
        <w:rPr>
          <w:rFonts w:eastAsia="Calibri"/>
          <w:szCs w:val="24"/>
        </w:rPr>
        <w:t xml:space="preserve">ladite </w:t>
      </w:r>
      <w:r w:rsidRPr="00831514">
        <w:rPr>
          <w:rFonts w:eastAsia="Calibri"/>
          <w:szCs w:val="24"/>
        </w:rPr>
        <w:t xml:space="preserve">stratégie n’a pu être </w:t>
      </w:r>
      <w:r>
        <w:rPr>
          <w:rFonts w:eastAsia="Calibri"/>
          <w:szCs w:val="24"/>
        </w:rPr>
        <w:t>adoptée</w:t>
      </w:r>
      <w:r w:rsidRPr="00831514">
        <w:rPr>
          <w:rFonts w:eastAsia="Calibri"/>
          <w:szCs w:val="24"/>
        </w:rPr>
        <w:t xml:space="preserve"> en 2023 ; (ii) la  mise en œuvre de mesures exceptionnelles pour le rétablissement des réseaux et services de communication électronique</w:t>
      </w:r>
      <w:r>
        <w:rPr>
          <w:rFonts w:eastAsia="Calibri"/>
          <w:szCs w:val="24"/>
        </w:rPr>
        <w:t xml:space="preserve"> (01018) freinée </w:t>
      </w:r>
      <w:r w:rsidRPr="00831514">
        <w:rPr>
          <w:rFonts w:eastAsia="Calibri"/>
          <w:szCs w:val="24"/>
        </w:rPr>
        <w:t>par l’insécurité</w:t>
      </w:r>
      <w:r>
        <w:rPr>
          <w:rFonts w:eastAsia="Calibri"/>
          <w:szCs w:val="24"/>
        </w:rPr>
        <w:t>,</w:t>
      </w:r>
      <w:r w:rsidRPr="00831514">
        <w:rPr>
          <w:rFonts w:eastAsia="Calibri"/>
          <w:szCs w:val="24"/>
        </w:rPr>
        <w:t xml:space="preserve"> et (iii) </w:t>
      </w:r>
      <w:r>
        <w:rPr>
          <w:rFonts w:eastAsia="Calibri"/>
          <w:szCs w:val="24"/>
        </w:rPr>
        <w:t>le</w:t>
      </w:r>
      <w:r w:rsidRPr="00831514">
        <w:rPr>
          <w:rFonts w:eastAsia="Calibri"/>
          <w:szCs w:val="24"/>
        </w:rPr>
        <w:t xml:space="preserve"> renforcement de la supervision de l’infrastructure et </w:t>
      </w:r>
      <w:r>
        <w:rPr>
          <w:rFonts w:eastAsia="Calibri"/>
          <w:szCs w:val="24"/>
        </w:rPr>
        <w:t xml:space="preserve">la </w:t>
      </w:r>
      <w:r w:rsidRPr="00831514">
        <w:rPr>
          <w:rFonts w:eastAsia="Calibri"/>
          <w:szCs w:val="24"/>
        </w:rPr>
        <w:t xml:space="preserve">mise à disposition de capacités de stockage et de puissance de calcul </w:t>
      </w:r>
      <w:r>
        <w:rPr>
          <w:rFonts w:eastAsia="Calibri"/>
          <w:szCs w:val="24"/>
        </w:rPr>
        <w:t xml:space="preserve">dans un </w:t>
      </w:r>
      <w:proofErr w:type="spellStart"/>
      <w:r>
        <w:rPr>
          <w:rFonts w:eastAsia="Calibri"/>
          <w:szCs w:val="24"/>
        </w:rPr>
        <w:t>datacenter</w:t>
      </w:r>
      <w:proofErr w:type="spellEnd"/>
      <w:r>
        <w:rPr>
          <w:rFonts w:eastAsia="Calibri"/>
          <w:szCs w:val="24"/>
        </w:rPr>
        <w:t xml:space="preserve"> normalisé (01021) freiné par </w:t>
      </w:r>
      <w:r w:rsidRPr="00831514">
        <w:rPr>
          <w:rFonts w:eastAsia="Calibri"/>
          <w:szCs w:val="24"/>
        </w:rPr>
        <w:t>la non</w:t>
      </w:r>
      <w:r>
        <w:rPr>
          <w:rFonts w:eastAsia="Calibri"/>
          <w:szCs w:val="24"/>
        </w:rPr>
        <w:t>-</w:t>
      </w:r>
      <w:r w:rsidRPr="00831514">
        <w:rPr>
          <w:rFonts w:eastAsia="Calibri"/>
          <w:szCs w:val="24"/>
        </w:rPr>
        <w:t>livraison des</w:t>
      </w:r>
      <w:r>
        <w:rPr>
          <w:rFonts w:eastAsia="Calibri"/>
          <w:szCs w:val="24"/>
        </w:rPr>
        <w:t xml:space="preserve"> </w:t>
      </w:r>
      <w:r w:rsidRPr="00831514">
        <w:rPr>
          <w:rFonts w:eastAsia="Calibri"/>
          <w:szCs w:val="24"/>
        </w:rPr>
        <w:t xml:space="preserve">composants </w:t>
      </w:r>
      <w:r>
        <w:rPr>
          <w:rFonts w:eastAsia="Calibri"/>
          <w:szCs w:val="24"/>
        </w:rPr>
        <w:t>requis pour</w:t>
      </w:r>
      <w:r w:rsidRPr="00831514">
        <w:rPr>
          <w:rFonts w:eastAsia="Calibri"/>
          <w:szCs w:val="24"/>
        </w:rPr>
        <w:t xml:space="preserve"> le renforcement des capacités du Cloud Gouvernemental et </w:t>
      </w:r>
      <w:r>
        <w:rPr>
          <w:rFonts w:eastAsia="Calibri"/>
          <w:szCs w:val="24"/>
        </w:rPr>
        <w:t xml:space="preserve">la </w:t>
      </w:r>
      <w:r w:rsidRPr="00831514">
        <w:rPr>
          <w:rFonts w:eastAsia="Calibri"/>
          <w:szCs w:val="24"/>
        </w:rPr>
        <w:t>mutualisation</w:t>
      </w:r>
      <w:r>
        <w:rPr>
          <w:rFonts w:eastAsia="Calibri"/>
          <w:szCs w:val="24"/>
        </w:rPr>
        <w:t xml:space="preserve"> non-encore effective</w:t>
      </w:r>
      <w:r w:rsidRPr="00831514">
        <w:rPr>
          <w:rFonts w:eastAsia="Calibri"/>
          <w:szCs w:val="24"/>
        </w:rPr>
        <w:t xml:space="preserve"> des </w:t>
      </w:r>
      <w:proofErr w:type="spellStart"/>
      <w:r w:rsidRPr="00831514">
        <w:rPr>
          <w:rFonts w:eastAsia="Calibri"/>
          <w:szCs w:val="24"/>
        </w:rPr>
        <w:t>datacenters</w:t>
      </w:r>
      <w:proofErr w:type="spellEnd"/>
      <w:r w:rsidRPr="00831514">
        <w:rPr>
          <w:rFonts w:eastAsia="Calibri"/>
          <w:szCs w:val="24"/>
        </w:rPr>
        <w:t xml:space="preserve"> existants.</w:t>
      </w:r>
    </w:p>
    <w:p w14:paraId="08441F24" w14:textId="6EE1ADD0" w:rsidR="00A05049" w:rsidRPr="004821C0" w:rsidRDefault="004821C0" w:rsidP="004821C0">
      <w:pPr>
        <w:numPr>
          <w:ilvl w:val="0"/>
          <w:numId w:val="8"/>
        </w:numPr>
        <w:shd w:val="clear" w:color="auto" w:fill="FFFFFF"/>
        <w:spacing w:before="120" w:after="120" w:line="240" w:lineRule="auto"/>
        <w:ind w:left="0"/>
        <w:rPr>
          <w:rFonts w:eastAsia="Calibri"/>
          <w:szCs w:val="24"/>
        </w:rPr>
      </w:pPr>
      <w:r w:rsidRPr="004821C0">
        <w:rPr>
          <w:rFonts w:eastAsia="Calibri"/>
          <w:szCs w:val="24"/>
        </w:rPr>
        <w:t>Les principales difficultés dans la mise en œuvre des actions de ce pilier concernent l’inaccessibilité des zones d’intervention du fait de l’insécurité, les litiges avec les propriétaires terriens, l’incapacité financière de certains prestataires, les lourdeurs dans le processus de contractualisation, la complexité de la technologie adoptée et les régulations budgétaires.</w:t>
      </w:r>
      <w:r w:rsidR="00A05049" w:rsidRPr="008D2129">
        <w:br w:type="page"/>
      </w:r>
    </w:p>
    <w:p w14:paraId="7300C041" w14:textId="25B666B2" w:rsidR="007D54FD" w:rsidRPr="007D54FD" w:rsidRDefault="00EA252D" w:rsidP="007D54FD">
      <w:pPr>
        <w:pStyle w:val="PAT2"/>
      </w:pPr>
      <w:bookmarkStart w:id="39" w:name="_Toc163141212"/>
      <w:bookmarkStart w:id="40" w:name="_Toc164692887"/>
      <w:r w:rsidRPr="008D2129">
        <w:lastRenderedPageBreak/>
        <w:t>Pilier 2 : Répondre à la crise humanitaire</w:t>
      </w:r>
      <w:bookmarkEnd w:id="39"/>
      <w:bookmarkEnd w:id="40"/>
    </w:p>
    <w:p w14:paraId="68AEB8DF" w14:textId="6554A526" w:rsidR="000D5120" w:rsidRPr="008D2129" w:rsidRDefault="007D54FD" w:rsidP="00F175A7">
      <w:pPr>
        <w:numPr>
          <w:ilvl w:val="0"/>
          <w:numId w:val="8"/>
        </w:numPr>
        <w:shd w:val="clear" w:color="auto" w:fill="FFFFFF"/>
        <w:spacing w:before="120" w:after="120" w:line="240" w:lineRule="auto"/>
        <w:ind w:left="0"/>
        <w:rPr>
          <w:rFonts w:eastAsia="Calibri"/>
          <w:szCs w:val="24"/>
        </w:rPr>
      </w:pPr>
      <w:r w:rsidRPr="008D20C6">
        <w:rPr>
          <w:rFonts w:eastAsia="Times New Roman" w:cs="Times New Roman"/>
        </w:rPr>
        <w:t>La consolidation de la résilience, de la sécurité, de la cohésion sociale et de la paix se fait à travers la réalisation de deux objectifs stratégiques à savoir l’OS1.1 : Renforcer la résilience des populations et des communautés au risque de basculement dans la radicalisation et l’extrémisme violent et l’OS 4.1 : Développer durablement un secteur agro-</w:t>
      </w:r>
      <w:proofErr w:type="spellStart"/>
      <w:r w:rsidRPr="008D20C6">
        <w:rPr>
          <w:rFonts w:eastAsia="Times New Roman" w:cs="Times New Roman"/>
        </w:rPr>
        <w:t>sylvo</w:t>
      </w:r>
      <w:proofErr w:type="spellEnd"/>
      <w:r w:rsidRPr="008D20C6">
        <w:rPr>
          <w:rFonts w:eastAsia="Times New Roman" w:cs="Times New Roman"/>
        </w:rPr>
        <w:t>-pastoral, faunique et halieutique productif et résilient, davantage orienté vers le marché</w:t>
      </w:r>
      <w:r w:rsidR="00333480">
        <w:rPr>
          <w:rFonts w:eastAsia="Calibri"/>
          <w:szCs w:val="24"/>
        </w:rPr>
        <w:t>.</w:t>
      </w:r>
    </w:p>
    <w:p w14:paraId="194159AD" w14:textId="11F7265F" w:rsidR="00321B1D" w:rsidRPr="008D2129" w:rsidRDefault="00321B1D" w:rsidP="00D04649">
      <w:pPr>
        <w:shd w:val="clear" w:color="auto" w:fill="FFFFFF"/>
        <w:spacing w:before="120" w:after="120" w:line="240" w:lineRule="auto"/>
        <w:rPr>
          <w:rFonts w:eastAsia="Calibri"/>
          <w:szCs w:val="24"/>
        </w:rPr>
      </w:pPr>
    </w:p>
    <w:p w14:paraId="75064A21" w14:textId="3754B636" w:rsidR="00321B1D" w:rsidRPr="008D2129" w:rsidRDefault="00A747BF" w:rsidP="00664E91">
      <w:pPr>
        <w:pStyle w:val="PAT3"/>
        <w:ind w:left="1571"/>
      </w:pPr>
      <w:bookmarkStart w:id="41" w:name="_Toc163141213"/>
      <w:r w:rsidRPr="008D2129">
        <w:t>Axe 1 : Consolider la résilience, la sécurité, la cohésion sociale et la paix</w:t>
      </w:r>
      <w:bookmarkEnd w:id="41"/>
    </w:p>
    <w:p w14:paraId="1FAD3AD8" w14:textId="3A630045" w:rsidR="000D5120" w:rsidRPr="008D2129" w:rsidRDefault="00EF509F" w:rsidP="00F175A7">
      <w:pPr>
        <w:numPr>
          <w:ilvl w:val="0"/>
          <w:numId w:val="8"/>
        </w:numPr>
        <w:shd w:val="clear" w:color="auto" w:fill="FFFFFF"/>
        <w:spacing w:before="120" w:after="120" w:line="240" w:lineRule="auto"/>
        <w:ind w:left="0"/>
        <w:rPr>
          <w:rFonts w:eastAsia="Calibri"/>
          <w:szCs w:val="24"/>
        </w:rPr>
      </w:pPr>
      <w:r w:rsidRPr="008D20C6">
        <w:rPr>
          <w:rFonts w:eastAsia="Times New Roman" w:cs="Times New Roman"/>
        </w:rPr>
        <w:t>La consolidation de la résilience, de la sécurité, de la cohésion sociale et de la paix se fait à travers la réalisation de deux objectifs stratégiques à savoir l’OS 1.1 : Renforcer la résilience des populations et des communautés au risque de basculement dans la radicalisation et l’extrémisme violent et l’OS 4.1 : Développer durablement un secteur agro-</w:t>
      </w:r>
      <w:proofErr w:type="spellStart"/>
      <w:r w:rsidRPr="008D20C6">
        <w:rPr>
          <w:rFonts w:eastAsia="Times New Roman" w:cs="Times New Roman"/>
        </w:rPr>
        <w:t>sylvo</w:t>
      </w:r>
      <w:proofErr w:type="spellEnd"/>
      <w:r w:rsidRPr="008D20C6">
        <w:rPr>
          <w:rFonts w:eastAsia="Times New Roman" w:cs="Times New Roman"/>
        </w:rPr>
        <w:t>-pastoral, faunique et halieutique productif et résilient, davantage orienté vers le marché</w:t>
      </w:r>
      <w:r w:rsidR="000D5120" w:rsidRPr="008D2129">
        <w:rPr>
          <w:rFonts w:eastAsia="Calibri"/>
          <w:szCs w:val="24"/>
        </w:rPr>
        <w:t>.</w:t>
      </w:r>
    </w:p>
    <w:p w14:paraId="29FB5C93" w14:textId="77777777" w:rsidR="000D5120" w:rsidRPr="008D2129" w:rsidRDefault="000D5120" w:rsidP="00D04649">
      <w:pPr>
        <w:pStyle w:val="PAT2"/>
        <w:numPr>
          <w:ilvl w:val="0"/>
          <w:numId w:val="0"/>
        </w:numPr>
        <w:outlineLvl w:val="9"/>
        <w:rPr>
          <w:lang w:eastAsia="en-US"/>
        </w:rPr>
      </w:pPr>
    </w:p>
    <w:p w14:paraId="60B04573" w14:textId="707408B9" w:rsidR="00436893" w:rsidRPr="00B4222C" w:rsidRDefault="00EA252D" w:rsidP="00B4222C">
      <w:pPr>
        <w:pStyle w:val="PAT4"/>
        <w:ind w:left="1287"/>
      </w:pPr>
      <w:bookmarkStart w:id="42" w:name="_Toc163141214"/>
      <w:r w:rsidRPr="008D2129">
        <w:t>Objectif stratégique 1.1 : Renforcer la résilience des populations et des communautés au risque de basculement dans la radicalisation et l’extrémisme violent</w:t>
      </w:r>
      <w:bookmarkEnd w:id="42"/>
    </w:p>
    <w:p w14:paraId="2BD07D86" w14:textId="77777777"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Le renforcement de la résilience des populations et des communautés au risque de basculement dans la radicalisation et l’extrémisme violent s’opérationnalise à travers l’implémentation de neuf (9) actions.</w:t>
      </w:r>
    </w:p>
    <w:p w14:paraId="786C3A85" w14:textId="77777777"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La première action porte sur le « </w:t>
      </w:r>
      <w:r w:rsidRPr="008139E1">
        <w:rPr>
          <w:rFonts w:eastAsia="Times New Roman" w:cs="Times New Roman"/>
          <w:b/>
        </w:rPr>
        <w:t>soutien au retour volontaire des personnes déplacées dans leurs zones d'origine et garantie de leur sécurité (02001)</w:t>
      </w:r>
      <w:r w:rsidRPr="008D20C6">
        <w:rPr>
          <w:rFonts w:eastAsia="Times New Roman" w:cs="Times New Roman"/>
        </w:rPr>
        <w:t xml:space="preserve"> » et est mise en œuvre par les secteurs TEPS, GE et PASP. Au 31 décembre 2023, sur une cible annuelle de 88 099, le nombre de PDI volontairement retournées, intégrées ou réinstallées est estimé à 76 000, soit un taux d’atteinte de la cible de 86,3%. Le bilan de la mise en œuvre des produits associés à cette action est présenté ci-dessous par CSD.</w:t>
      </w:r>
    </w:p>
    <w:p w14:paraId="6B0DED09" w14:textId="32703174"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Le secteur TEPS contribue à la mise en œuvre de l’action 02001 à travers la réalisation de </w:t>
      </w:r>
      <w:r w:rsidR="00F007C0">
        <w:rPr>
          <w:rFonts w:eastAsia="Times New Roman" w:cs="Times New Roman"/>
        </w:rPr>
        <w:t>trois</w:t>
      </w:r>
      <w:r w:rsidRPr="008D20C6">
        <w:rPr>
          <w:rFonts w:eastAsia="Times New Roman" w:cs="Times New Roman"/>
        </w:rPr>
        <w:t xml:space="preserve"> (0</w:t>
      </w:r>
      <w:r w:rsidR="00192173">
        <w:rPr>
          <w:rFonts w:eastAsia="Times New Roman" w:cs="Times New Roman"/>
        </w:rPr>
        <w:t>3</w:t>
      </w:r>
      <w:r w:rsidRPr="008D20C6">
        <w:rPr>
          <w:rFonts w:eastAsia="Times New Roman" w:cs="Times New Roman"/>
        </w:rPr>
        <w:t xml:space="preserve">) produits dont le détail est consigné dans le tableau ci-dessous. Au 31 décembre 2023, </w:t>
      </w:r>
      <w:r w:rsidR="00F007C0">
        <w:rPr>
          <w:rFonts w:eastAsia="Times New Roman" w:cs="Times New Roman"/>
        </w:rPr>
        <w:t xml:space="preserve">seul </w:t>
      </w:r>
      <w:r w:rsidRPr="008D20C6">
        <w:rPr>
          <w:rFonts w:eastAsia="Times New Roman" w:cs="Times New Roman"/>
        </w:rPr>
        <w:t>l’exécution d</w:t>
      </w:r>
      <w:r w:rsidR="00F007C0">
        <w:rPr>
          <w:rFonts w:eastAsia="Times New Roman" w:cs="Times New Roman"/>
        </w:rPr>
        <w:t xml:space="preserve">’un </w:t>
      </w:r>
      <w:r w:rsidRPr="008D20C6">
        <w:rPr>
          <w:rFonts w:eastAsia="Times New Roman" w:cs="Times New Roman"/>
        </w:rPr>
        <w:t>(</w:t>
      </w:r>
      <w:r w:rsidR="00F007C0">
        <w:rPr>
          <w:rFonts w:eastAsia="Times New Roman" w:cs="Times New Roman"/>
        </w:rPr>
        <w:t>1</w:t>
      </w:r>
      <w:r w:rsidRPr="008D20C6">
        <w:rPr>
          <w:rFonts w:eastAsia="Times New Roman" w:cs="Times New Roman"/>
        </w:rPr>
        <w:t xml:space="preserve">) de ces produits est en deçà des attentes. Il s’agit de la formation de 50 PDI en gestion organisationnelle et associative qui n’a </w:t>
      </w:r>
      <w:r w:rsidR="000C3FA5">
        <w:rPr>
          <w:rFonts w:eastAsia="Times New Roman" w:cs="Times New Roman"/>
        </w:rPr>
        <w:t>pas été réalisée</w:t>
      </w:r>
      <w:r w:rsidR="00F007C0">
        <w:rPr>
          <w:rFonts w:eastAsia="Times New Roman" w:cs="Times New Roman"/>
        </w:rPr>
        <w:t>.</w:t>
      </w:r>
      <w:r w:rsidR="000C3FA5" w:rsidRPr="008D20C6">
        <w:rPr>
          <w:rFonts w:eastAsia="Times New Roman" w:cs="Times New Roman"/>
        </w:rPr>
        <w:t xml:space="preserve"> </w:t>
      </w:r>
      <w:r w:rsidRPr="008D20C6">
        <w:rPr>
          <w:rFonts w:eastAsia="Times New Roman" w:cs="Times New Roman"/>
        </w:rPr>
        <w:t xml:space="preserve">La </w:t>
      </w:r>
      <w:r w:rsidR="000C3FA5">
        <w:rPr>
          <w:rFonts w:eastAsia="Times New Roman" w:cs="Times New Roman"/>
        </w:rPr>
        <w:t>non</w:t>
      </w:r>
      <w:r w:rsidR="004B06EC">
        <w:rPr>
          <w:rFonts w:eastAsia="Times New Roman" w:cs="Times New Roman"/>
        </w:rPr>
        <w:t>-</w:t>
      </w:r>
      <w:r w:rsidRPr="008D20C6">
        <w:rPr>
          <w:rFonts w:eastAsia="Times New Roman" w:cs="Times New Roman"/>
        </w:rPr>
        <w:t>tenue de la formation est due à la suspension de certaines activités des trois (03) fonds de financement (FASI, FAPE, FAIJ) du MSJE dans le cadre de la réforme desdits fonds.</w:t>
      </w:r>
    </w:p>
    <w:p w14:paraId="104B61B1" w14:textId="3B5067CE"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Quant aux autres produits ayant trait au financement des projets d'entrepreneuriat</w:t>
      </w:r>
      <w:r w:rsidR="00F007C0">
        <w:rPr>
          <w:rFonts w:eastAsia="Times New Roman" w:cs="Times New Roman"/>
        </w:rPr>
        <w:t xml:space="preserve"> et au </w:t>
      </w:r>
      <w:r w:rsidRPr="008D20C6">
        <w:rPr>
          <w:rFonts w:eastAsia="Times New Roman" w:cs="Times New Roman"/>
        </w:rPr>
        <w:t>recrutement d’animateurs communautaires au profit des PDI, les cibles visées ont été atteint</w:t>
      </w:r>
      <w:r w:rsidR="000C3FA5">
        <w:rPr>
          <w:rFonts w:eastAsia="Times New Roman" w:cs="Times New Roman"/>
        </w:rPr>
        <w:t>e</w:t>
      </w:r>
      <w:r w:rsidRPr="008D20C6">
        <w:rPr>
          <w:rFonts w:eastAsia="Times New Roman" w:cs="Times New Roman"/>
        </w:rPr>
        <w:t xml:space="preserve">s </w:t>
      </w:r>
      <w:r w:rsidR="000C3FA5">
        <w:rPr>
          <w:rFonts w:eastAsia="Times New Roman" w:cs="Times New Roman"/>
        </w:rPr>
        <w:t xml:space="preserve">et </w:t>
      </w:r>
      <w:r w:rsidRPr="008D20C6">
        <w:rPr>
          <w:rFonts w:eastAsia="Times New Roman" w:cs="Times New Roman"/>
        </w:rPr>
        <w:t>la situation est faite dans le tableau ci-dessous.</w:t>
      </w:r>
    </w:p>
    <w:p w14:paraId="1C41FB3E" w14:textId="421DFF77" w:rsidR="00436893" w:rsidRPr="00B4222C" w:rsidRDefault="00B4222C" w:rsidP="00436893">
      <w:pPr>
        <w:shd w:val="clear" w:color="auto" w:fill="FFFFFF"/>
        <w:spacing w:before="240" w:after="240" w:line="240" w:lineRule="auto"/>
        <w:rPr>
          <w:sz w:val="22"/>
        </w:rPr>
      </w:pPr>
      <w:bookmarkStart w:id="43" w:name="_Toc164503600"/>
      <w:r w:rsidRPr="00B4222C">
        <w:rPr>
          <w:b/>
          <w:bCs/>
          <w:sz w:val="22"/>
          <w:u w:val="single"/>
        </w:rPr>
        <w:lastRenderedPageBreak/>
        <w:t xml:space="preserve">Tableau </w:t>
      </w:r>
      <w:r w:rsidRPr="00B4222C">
        <w:rPr>
          <w:b/>
          <w:bCs/>
          <w:sz w:val="22"/>
          <w:u w:val="single"/>
        </w:rPr>
        <w:fldChar w:fldCharType="begin"/>
      </w:r>
      <w:r w:rsidRPr="00B4222C">
        <w:rPr>
          <w:b/>
          <w:bCs/>
          <w:sz w:val="22"/>
          <w:u w:val="single"/>
        </w:rPr>
        <w:instrText xml:space="preserve"> SEQ Tableau \* ARABIC </w:instrText>
      </w:r>
      <w:r w:rsidRPr="00B4222C">
        <w:rPr>
          <w:b/>
          <w:bCs/>
          <w:sz w:val="22"/>
          <w:u w:val="single"/>
        </w:rPr>
        <w:fldChar w:fldCharType="separate"/>
      </w:r>
      <w:r w:rsidR="007C2E4E">
        <w:rPr>
          <w:b/>
          <w:bCs/>
          <w:noProof/>
          <w:sz w:val="22"/>
          <w:u w:val="single"/>
        </w:rPr>
        <w:t>13</w:t>
      </w:r>
      <w:r w:rsidRPr="00B4222C">
        <w:rPr>
          <w:b/>
          <w:bCs/>
          <w:sz w:val="22"/>
          <w:u w:val="single"/>
        </w:rPr>
        <w:fldChar w:fldCharType="end"/>
      </w:r>
      <w:r w:rsidR="00436893" w:rsidRPr="00B4222C">
        <w:rPr>
          <w:sz w:val="22"/>
        </w:rPr>
        <w:t>: situation des indicateurs de produits de l’action 02001 du secteur TEPS au 31 décembre 2023</w:t>
      </w:r>
      <w:bookmarkEnd w:id="43"/>
    </w:p>
    <w:tbl>
      <w:tblPr>
        <w:tblStyle w:val="TableauGrille4-Accentuation119"/>
        <w:tblW w:w="5000" w:type="pct"/>
        <w:tblLook w:val="04A0" w:firstRow="1" w:lastRow="0" w:firstColumn="1" w:lastColumn="0" w:noHBand="0" w:noVBand="1"/>
      </w:tblPr>
      <w:tblGrid>
        <w:gridCol w:w="5215"/>
        <w:gridCol w:w="1170"/>
        <w:gridCol w:w="1351"/>
        <w:gridCol w:w="1280"/>
      </w:tblGrid>
      <w:tr w:rsidR="00436893" w:rsidRPr="00FF315F" w14:paraId="635159B6" w14:textId="77777777" w:rsidTr="004C74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2" w:type="pct"/>
          </w:tcPr>
          <w:p w14:paraId="2A503C70" w14:textId="7B9890A0" w:rsidR="00436893" w:rsidRPr="00FF315F" w:rsidRDefault="00436893" w:rsidP="00F175A7">
            <w:pPr>
              <w:spacing w:after="0" w:line="240" w:lineRule="auto"/>
              <w:ind w:firstLine="0"/>
            </w:pPr>
            <w:r w:rsidRPr="00FF315F">
              <w:rPr>
                <w:rFonts w:eastAsia="Times New Roman" w:cs="Times New Roman"/>
              </w:rPr>
              <w:t xml:space="preserve">Indicateurs </w:t>
            </w:r>
          </w:p>
        </w:tc>
        <w:tc>
          <w:tcPr>
            <w:tcW w:w="649" w:type="pct"/>
          </w:tcPr>
          <w:p w14:paraId="632B5007" w14:textId="77777777" w:rsidR="00436893" w:rsidRPr="00FF315F"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2022</w:t>
            </w:r>
          </w:p>
        </w:tc>
        <w:tc>
          <w:tcPr>
            <w:tcW w:w="749" w:type="pct"/>
          </w:tcPr>
          <w:p w14:paraId="0FAA175B" w14:textId="77777777" w:rsidR="00436893" w:rsidRPr="00FF315F"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Réal 2023</w:t>
            </w:r>
          </w:p>
        </w:tc>
        <w:tc>
          <w:tcPr>
            <w:tcW w:w="710" w:type="pct"/>
          </w:tcPr>
          <w:p w14:paraId="0B4EA660" w14:textId="77777777" w:rsidR="00436893" w:rsidRPr="00FF315F"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F315F">
              <w:rPr>
                <w:rFonts w:eastAsia="Times New Roman" w:cs="Times New Roman"/>
              </w:rPr>
              <w:t>Cible 2023</w:t>
            </w:r>
          </w:p>
        </w:tc>
      </w:tr>
      <w:tr w:rsidR="00436893" w:rsidRPr="00FF315F" w14:paraId="7BDAD7AF"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tcPr>
          <w:p w14:paraId="42EB74BB" w14:textId="77777777" w:rsidR="00436893" w:rsidRPr="00FF315F" w:rsidRDefault="00436893" w:rsidP="00F175A7">
            <w:pPr>
              <w:spacing w:after="0" w:line="240" w:lineRule="auto"/>
              <w:ind w:firstLine="0"/>
            </w:pPr>
            <w:r w:rsidRPr="00FF315F">
              <w:rPr>
                <w:rFonts w:eastAsia="Times New Roman" w:cs="Times New Roman"/>
              </w:rPr>
              <w:t>Nombre de projets d'entrepreneuriat de PDI financés</w:t>
            </w:r>
          </w:p>
        </w:tc>
        <w:tc>
          <w:tcPr>
            <w:tcW w:w="649" w:type="pct"/>
          </w:tcPr>
          <w:p w14:paraId="5DEA0D10" w14:textId="77777777" w:rsidR="00436893" w:rsidRPr="00FF315F"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0</w:t>
            </w:r>
          </w:p>
        </w:tc>
        <w:tc>
          <w:tcPr>
            <w:tcW w:w="749" w:type="pct"/>
          </w:tcPr>
          <w:p w14:paraId="77040490" w14:textId="77777777" w:rsidR="00436893" w:rsidRPr="00FF315F"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162</w:t>
            </w:r>
          </w:p>
        </w:tc>
        <w:tc>
          <w:tcPr>
            <w:tcW w:w="710" w:type="pct"/>
          </w:tcPr>
          <w:p w14:paraId="702FFBC6" w14:textId="77777777" w:rsidR="00436893" w:rsidRPr="00FF315F"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85</w:t>
            </w:r>
          </w:p>
        </w:tc>
      </w:tr>
      <w:tr w:rsidR="00436893" w:rsidRPr="00FF315F" w14:paraId="5A8EFBBE" w14:textId="77777777" w:rsidTr="00E52836">
        <w:tc>
          <w:tcPr>
            <w:cnfStyle w:val="001000000000" w:firstRow="0" w:lastRow="0" w:firstColumn="1" w:lastColumn="0" w:oddVBand="0" w:evenVBand="0" w:oddHBand="0" w:evenHBand="0" w:firstRowFirstColumn="0" w:firstRowLastColumn="0" w:lastRowFirstColumn="0" w:lastRowLastColumn="0"/>
            <w:tcW w:w="2892" w:type="pct"/>
          </w:tcPr>
          <w:p w14:paraId="15913F0D" w14:textId="40830CBA" w:rsidR="00436893" w:rsidRPr="00FF315F" w:rsidRDefault="00436893" w:rsidP="00DF4FBA">
            <w:pPr>
              <w:spacing w:after="0" w:line="240" w:lineRule="auto"/>
              <w:ind w:firstLine="0"/>
            </w:pPr>
            <w:r w:rsidRPr="00FF315F">
              <w:rPr>
                <w:rFonts w:eastAsia="Times New Roman" w:cs="Times New Roman"/>
              </w:rPr>
              <w:t>Nombre</w:t>
            </w:r>
            <w:r w:rsidR="00DF4FBA">
              <w:rPr>
                <w:rFonts w:eastAsia="Times New Roman" w:cs="Times New Roman"/>
              </w:rPr>
              <w:t xml:space="preserve"> </w:t>
            </w:r>
            <w:r w:rsidRPr="00FF315F">
              <w:rPr>
                <w:rFonts w:eastAsia="Times New Roman" w:cs="Times New Roman"/>
              </w:rPr>
              <w:t>de PDI formé</w:t>
            </w:r>
            <w:r w:rsidR="00DF4FBA">
              <w:rPr>
                <w:rFonts w:eastAsia="Times New Roman" w:cs="Times New Roman"/>
              </w:rPr>
              <w:t>e</w:t>
            </w:r>
            <w:r w:rsidRPr="00FF315F">
              <w:rPr>
                <w:rFonts w:eastAsia="Times New Roman" w:cs="Times New Roman"/>
              </w:rPr>
              <w:t xml:space="preserve">s </w:t>
            </w:r>
            <w:r w:rsidR="00DF4FBA">
              <w:rPr>
                <w:rFonts w:eastAsia="Times New Roman" w:cs="Times New Roman"/>
              </w:rPr>
              <w:t>à la</w:t>
            </w:r>
            <w:r w:rsidRPr="00FF315F">
              <w:rPr>
                <w:rFonts w:eastAsia="Times New Roman" w:cs="Times New Roman"/>
              </w:rPr>
              <w:t xml:space="preserve"> gestion organisationnelle et associative</w:t>
            </w:r>
          </w:p>
        </w:tc>
        <w:tc>
          <w:tcPr>
            <w:tcW w:w="649" w:type="pct"/>
          </w:tcPr>
          <w:p w14:paraId="002C8D8C" w14:textId="77777777" w:rsidR="00436893" w:rsidRPr="00FF315F"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0</w:t>
            </w:r>
          </w:p>
        </w:tc>
        <w:tc>
          <w:tcPr>
            <w:tcW w:w="749" w:type="pct"/>
          </w:tcPr>
          <w:p w14:paraId="483EF3B3" w14:textId="77777777" w:rsidR="00436893" w:rsidRPr="00FF315F"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0</w:t>
            </w:r>
          </w:p>
        </w:tc>
        <w:tc>
          <w:tcPr>
            <w:tcW w:w="710" w:type="pct"/>
          </w:tcPr>
          <w:p w14:paraId="3217EA94" w14:textId="77777777" w:rsidR="00436893" w:rsidRPr="00FF315F"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F315F">
              <w:rPr>
                <w:rFonts w:eastAsia="Times New Roman" w:cs="Times New Roman"/>
              </w:rPr>
              <w:t>50</w:t>
            </w:r>
          </w:p>
        </w:tc>
      </w:tr>
      <w:tr w:rsidR="00436893" w:rsidRPr="00FF315F" w14:paraId="1E824761"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tcPr>
          <w:p w14:paraId="2D2A6357" w14:textId="77777777" w:rsidR="00436893" w:rsidRPr="00FF315F" w:rsidRDefault="00436893" w:rsidP="00F175A7">
            <w:pPr>
              <w:spacing w:after="0" w:line="240" w:lineRule="auto"/>
              <w:ind w:firstLine="0"/>
            </w:pPr>
            <w:r w:rsidRPr="00FF315F">
              <w:rPr>
                <w:rFonts w:eastAsia="Times New Roman" w:cs="Times New Roman"/>
              </w:rPr>
              <w:t>Nombre d’animateurs communautaires recrutés</w:t>
            </w:r>
          </w:p>
        </w:tc>
        <w:tc>
          <w:tcPr>
            <w:tcW w:w="649" w:type="pct"/>
          </w:tcPr>
          <w:p w14:paraId="4E31D2BB" w14:textId="77777777" w:rsidR="00436893" w:rsidRPr="00FF315F"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100</w:t>
            </w:r>
          </w:p>
        </w:tc>
        <w:tc>
          <w:tcPr>
            <w:tcW w:w="749" w:type="pct"/>
          </w:tcPr>
          <w:p w14:paraId="686E1D68" w14:textId="77777777" w:rsidR="00436893" w:rsidRPr="00FF315F"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395</w:t>
            </w:r>
          </w:p>
        </w:tc>
        <w:tc>
          <w:tcPr>
            <w:tcW w:w="710" w:type="pct"/>
          </w:tcPr>
          <w:p w14:paraId="636B17F0" w14:textId="77777777" w:rsidR="00436893" w:rsidRPr="00FF315F"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F315F">
              <w:rPr>
                <w:rFonts w:eastAsia="Times New Roman" w:cs="Times New Roman"/>
              </w:rPr>
              <w:t>400</w:t>
            </w:r>
          </w:p>
        </w:tc>
      </w:tr>
    </w:tbl>
    <w:p w14:paraId="06F90B04" w14:textId="38D74071" w:rsidR="00436893" w:rsidRPr="00AC46D6" w:rsidRDefault="00436893" w:rsidP="00436893">
      <w:pPr>
        <w:shd w:val="clear" w:color="auto" w:fill="FFFFFF"/>
        <w:spacing w:before="120" w:after="120" w:line="276" w:lineRule="auto"/>
        <w:rPr>
          <w:rFonts w:eastAsia="Times New Roman" w:cs="Times New Roman"/>
          <w:sz w:val="20"/>
          <w:szCs w:val="20"/>
        </w:rPr>
      </w:pPr>
      <w:r w:rsidRPr="00AC46D6">
        <w:rPr>
          <w:rFonts w:eastAsia="Times New Roman" w:cs="Times New Roman"/>
          <w:b/>
          <w:sz w:val="20"/>
          <w:szCs w:val="20"/>
          <w:u w:val="single"/>
        </w:rPr>
        <w:t>Source</w:t>
      </w:r>
      <w:r w:rsidRPr="00AC46D6">
        <w:rPr>
          <w:rFonts w:eastAsia="Times New Roman" w:cs="Times New Roman"/>
          <w:sz w:val="20"/>
          <w:szCs w:val="20"/>
        </w:rPr>
        <w:t xml:space="preserve"> : rapport </w:t>
      </w:r>
      <w:r w:rsidR="00603CB3">
        <w:rPr>
          <w:rFonts w:eastAsia="Times New Roman" w:cs="Times New Roman"/>
          <w:sz w:val="20"/>
          <w:szCs w:val="20"/>
        </w:rPr>
        <w:t xml:space="preserve">annuel </w:t>
      </w:r>
      <w:r w:rsidRPr="00AC46D6">
        <w:rPr>
          <w:rFonts w:eastAsia="Times New Roman" w:cs="Times New Roman"/>
          <w:sz w:val="20"/>
          <w:szCs w:val="20"/>
        </w:rPr>
        <w:t>de performance 2023 du CSD TEPS, février 2024</w:t>
      </w:r>
    </w:p>
    <w:p w14:paraId="1B284377" w14:textId="1BCC535F"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Le secteur GE participe à l’action (02001) par l’intermédiaire de projets majeurs de stabilisation au rang desquels le Plan de stabilisation de l’axe Ouaga-Kaya-</w:t>
      </w:r>
      <w:proofErr w:type="spellStart"/>
      <w:r w:rsidRPr="008D20C6">
        <w:rPr>
          <w:rFonts w:eastAsia="Times New Roman" w:cs="Times New Roman"/>
        </w:rPr>
        <w:t>Dori</w:t>
      </w:r>
      <w:proofErr w:type="spellEnd"/>
      <w:r w:rsidRPr="008D20C6">
        <w:rPr>
          <w:rFonts w:eastAsia="Times New Roman" w:cs="Times New Roman"/>
        </w:rPr>
        <w:t xml:space="preserve"> (OKD) et du Projet communautaire de relèvement et de stabilisation du Sahel (PCRSS). Au 31 décembre 2023, la mise en œuvre de cette action s’est traduite par seulement les interventions du projet PCRSS qui reste</w:t>
      </w:r>
      <w:r w:rsidR="00104A7B">
        <w:rPr>
          <w:rFonts w:eastAsia="Times New Roman" w:cs="Times New Roman"/>
        </w:rPr>
        <w:t>nt</w:t>
      </w:r>
      <w:r w:rsidRPr="008D20C6">
        <w:rPr>
          <w:rFonts w:eastAsia="Times New Roman" w:cs="Times New Roman"/>
        </w:rPr>
        <w:t xml:space="preserve"> fort appréciables. En revanche, dans le cadre du Plan OKD, aucune activité n’a pu être menée sur l’axe Ouaga-Kaya-</w:t>
      </w:r>
      <w:proofErr w:type="spellStart"/>
      <w:r w:rsidRPr="008D20C6">
        <w:rPr>
          <w:rFonts w:eastAsia="Times New Roman" w:cs="Times New Roman"/>
        </w:rPr>
        <w:t>Dori</w:t>
      </w:r>
      <w:proofErr w:type="spellEnd"/>
      <w:r w:rsidRPr="008D20C6">
        <w:rPr>
          <w:rFonts w:eastAsia="Times New Roman" w:cs="Times New Roman"/>
        </w:rPr>
        <w:t xml:space="preserve"> du fait de la situation sécuritaire. Toutefois, la stratégie d’intervention a été refondée</w:t>
      </w:r>
      <w:r w:rsidR="000C3FA5">
        <w:rPr>
          <w:rFonts w:eastAsia="Times New Roman" w:cs="Times New Roman"/>
        </w:rPr>
        <w:t>,</w:t>
      </w:r>
      <w:r w:rsidRPr="008D20C6">
        <w:rPr>
          <w:rFonts w:eastAsia="Times New Roman" w:cs="Times New Roman"/>
        </w:rPr>
        <w:t xml:space="preserve"> matérialisée par la mise en place d’un nouveau projet dénommé «</w:t>
      </w:r>
      <w:r w:rsidR="00F53A06">
        <w:rPr>
          <w:rFonts w:eastAsia="Times New Roman" w:cs="Times New Roman"/>
        </w:rPr>
        <w:t xml:space="preserve"> </w:t>
      </w:r>
      <w:r w:rsidRPr="008D20C6">
        <w:rPr>
          <w:rFonts w:eastAsia="Times New Roman" w:cs="Times New Roman"/>
        </w:rPr>
        <w:t>Plan Ouaga-Kaya-</w:t>
      </w:r>
      <w:proofErr w:type="spellStart"/>
      <w:r w:rsidRPr="008D20C6">
        <w:rPr>
          <w:rFonts w:eastAsia="Times New Roman" w:cs="Times New Roman"/>
        </w:rPr>
        <w:t>Dori</w:t>
      </w:r>
      <w:proofErr w:type="spellEnd"/>
      <w:r w:rsidRPr="008D20C6">
        <w:rPr>
          <w:rFonts w:eastAsia="Times New Roman" w:cs="Times New Roman"/>
        </w:rPr>
        <w:t>-</w:t>
      </w:r>
      <w:proofErr w:type="spellStart"/>
      <w:proofErr w:type="gramStart"/>
      <w:r w:rsidRPr="008D20C6">
        <w:rPr>
          <w:rFonts w:eastAsia="Times New Roman" w:cs="Times New Roman"/>
        </w:rPr>
        <w:t>Djibo</w:t>
      </w:r>
      <w:proofErr w:type="spellEnd"/>
      <w:r w:rsidRPr="008D20C6">
        <w:rPr>
          <w:rFonts w:eastAsia="Times New Roman" w:cs="Times New Roman"/>
        </w:rPr>
        <w:t>»</w:t>
      </w:r>
      <w:proofErr w:type="gramEnd"/>
      <w:r w:rsidRPr="008D20C6">
        <w:rPr>
          <w:rFonts w:eastAsia="Times New Roman" w:cs="Times New Roman"/>
        </w:rPr>
        <w:t xml:space="preserve"> (Plan OKDD) dont l’exécution sera assurée par des agences (</w:t>
      </w:r>
      <w:proofErr w:type="spellStart"/>
      <w:r w:rsidRPr="008D20C6">
        <w:rPr>
          <w:rFonts w:eastAsia="Times New Roman" w:cs="Times New Roman"/>
        </w:rPr>
        <w:t>Enabel</w:t>
      </w:r>
      <w:proofErr w:type="spellEnd"/>
      <w:r w:rsidRPr="008D20C6">
        <w:rPr>
          <w:rFonts w:eastAsia="Times New Roman" w:cs="Times New Roman"/>
        </w:rPr>
        <w:t>/GIZ, Oxfam, Expertise France, Association Laboratoire citoyennetés). Relativement aux interventions du PCRSS, elles se sont soldées par l’atteinte des cibles visées en 2023 de quatre (4) des six (6) indicateurs dont le détail est récapitulé dans le tableau ci-dessous. Ainsi, les acquis majeurs ont trait à : (i) la dotation des non</w:t>
      </w:r>
      <w:r w:rsidR="00104A7B">
        <w:rPr>
          <w:rFonts w:eastAsia="Times New Roman" w:cs="Times New Roman"/>
        </w:rPr>
        <w:t>-</w:t>
      </w:r>
      <w:r w:rsidRPr="008D20C6">
        <w:rPr>
          <w:rFonts w:eastAsia="Times New Roman" w:cs="Times New Roman"/>
        </w:rPr>
        <w:t>vivres (Kits AME) à 38 718 bénéficiaires, (ii) l’aménagement de 275 hectares de terres agricoles ; (iii) l’octroi d’intrants agricoles au profit de 37</w:t>
      </w:r>
      <w:r w:rsidR="00D1377F">
        <w:rPr>
          <w:rFonts w:eastAsia="Calibri"/>
          <w:szCs w:val="24"/>
        </w:rPr>
        <w:t> </w:t>
      </w:r>
      <w:r w:rsidRPr="008D20C6">
        <w:rPr>
          <w:rFonts w:eastAsia="Times New Roman" w:cs="Times New Roman"/>
        </w:rPr>
        <w:t>000 agriculteurs et à l’amélioration de l’accès aux services socioéconomiques (sanitaires, scolaires, marchandes, d’élevage) au profit de 200</w:t>
      </w:r>
      <w:r w:rsidR="00D1377F">
        <w:rPr>
          <w:rFonts w:eastAsia="Calibri"/>
          <w:szCs w:val="24"/>
        </w:rPr>
        <w:t> </w:t>
      </w:r>
      <w:r w:rsidRPr="008D20C6">
        <w:rPr>
          <w:rFonts w:eastAsia="Times New Roman" w:cs="Times New Roman"/>
        </w:rPr>
        <w:t>000 personnes sur 138</w:t>
      </w:r>
      <w:r w:rsidR="00D1377F">
        <w:rPr>
          <w:rFonts w:eastAsia="Calibri"/>
          <w:szCs w:val="24"/>
        </w:rPr>
        <w:t> </w:t>
      </w:r>
      <w:r w:rsidRPr="008D20C6">
        <w:rPr>
          <w:rFonts w:eastAsia="Times New Roman" w:cs="Times New Roman"/>
        </w:rPr>
        <w:t>361 prévues. En revanche, aucune avancée n’a été observée en matière de réhabilitation de route</w:t>
      </w:r>
      <w:r w:rsidR="00104A7B">
        <w:rPr>
          <w:rFonts w:eastAsia="Times New Roman" w:cs="Times New Roman"/>
        </w:rPr>
        <w:t>s</w:t>
      </w:r>
      <w:r w:rsidRPr="008D20C6">
        <w:rPr>
          <w:rFonts w:eastAsia="Times New Roman" w:cs="Times New Roman"/>
        </w:rPr>
        <w:t xml:space="preserve"> et réalisation d’infrastructures de stockage.</w:t>
      </w:r>
    </w:p>
    <w:p w14:paraId="72B0E9BE" w14:textId="1649B1A6" w:rsidR="00436893" w:rsidRPr="00B4222C" w:rsidRDefault="00B4222C" w:rsidP="00436893">
      <w:pPr>
        <w:shd w:val="clear" w:color="auto" w:fill="FFFFFF"/>
        <w:spacing w:before="240" w:after="240" w:line="240" w:lineRule="auto"/>
        <w:rPr>
          <w:sz w:val="22"/>
        </w:rPr>
      </w:pPr>
      <w:bookmarkStart w:id="44" w:name="_Toc164503601"/>
      <w:r w:rsidRPr="00B4222C">
        <w:rPr>
          <w:b/>
          <w:bCs/>
          <w:sz w:val="22"/>
          <w:u w:val="single"/>
        </w:rPr>
        <w:t xml:space="preserve">Tableau </w:t>
      </w:r>
      <w:r w:rsidRPr="00B4222C">
        <w:rPr>
          <w:b/>
          <w:bCs/>
          <w:sz w:val="22"/>
          <w:u w:val="single"/>
        </w:rPr>
        <w:fldChar w:fldCharType="begin"/>
      </w:r>
      <w:r w:rsidRPr="00B4222C">
        <w:rPr>
          <w:b/>
          <w:bCs/>
          <w:sz w:val="22"/>
          <w:u w:val="single"/>
        </w:rPr>
        <w:instrText xml:space="preserve"> SEQ Tableau \* ARABIC </w:instrText>
      </w:r>
      <w:r w:rsidRPr="00B4222C">
        <w:rPr>
          <w:b/>
          <w:bCs/>
          <w:sz w:val="22"/>
          <w:u w:val="single"/>
        </w:rPr>
        <w:fldChar w:fldCharType="separate"/>
      </w:r>
      <w:r w:rsidR="007C2E4E">
        <w:rPr>
          <w:b/>
          <w:bCs/>
          <w:noProof/>
          <w:sz w:val="22"/>
          <w:u w:val="single"/>
        </w:rPr>
        <w:t>14</w:t>
      </w:r>
      <w:r w:rsidRPr="00B4222C">
        <w:rPr>
          <w:b/>
          <w:bCs/>
          <w:sz w:val="22"/>
          <w:u w:val="single"/>
        </w:rPr>
        <w:fldChar w:fldCharType="end"/>
      </w:r>
      <w:r w:rsidR="00436893" w:rsidRPr="00B4222C">
        <w:rPr>
          <w:sz w:val="22"/>
        </w:rPr>
        <w:t>: situation des indicateurs de produits de l’action « soutien au retour volontaire des personnes déplacées dans leurs zones d'origine et garantie de leur sécurité »</w:t>
      </w:r>
      <w:bookmarkEnd w:id="44"/>
    </w:p>
    <w:tbl>
      <w:tblPr>
        <w:tblStyle w:val="TableauGrille4-Accentuation119"/>
        <w:tblW w:w="5000" w:type="pct"/>
        <w:tblLook w:val="04A0" w:firstRow="1" w:lastRow="0" w:firstColumn="1" w:lastColumn="0" w:noHBand="0" w:noVBand="1"/>
      </w:tblPr>
      <w:tblGrid>
        <w:gridCol w:w="4766"/>
        <w:gridCol w:w="1260"/>
        <w:gridCol w:w="1529"/>
        <w:gridCol w:w="1461"/>
      </w:tblGrid>
      <w:tr w:rsidR="00436893" w:rsidRPr="004C7470" w14:paraId="56F10108" w14:textId="77777777" w:rsidTr="003D2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43" w:type="pct"/>
          </w:tcPr>
          <w:p w14:paraId="0804231A" w14:textId="2C55F54C" w:rsidR="00436893" w:rsidRPr="004C7470" w:rsidRDefault="00436893" w:rsidP="00F175A7">
            <w:pPr>
              <w:spacing w:after="0" w:line="240" w:lineRule="auto"/>
              <w:ind w:firstLine="0"/>
            </w:pPr>
            <w:r w:rsidRPr="004C7470">
              <w:rPr>
                <w:rFonts w:eastAsia="Times New Roman" w:cs="Times New Roman"/>
              </w:rPr>
              <w:t xml:space="preserve">Indicateurs </w:t>
            </w:r>
          </w:p>
        </w:tc>
        <w:tc>
          <w:tcPr>
            <w:tcW w:w="699" w:type="pct"/>
          </w:tcPr>
          <w:p w14:paraId="21C34057"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2022</w:t>
            </w:r>
          </w:p>
        </w:tc>
        <w:tc>
          <w:tcPr>
            <w:tcW w:w="848" w:type="pct"/>
          </w:tcPr>
          <w:p w14:paraId="5A87FD4E"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810" w:type="pct"/>
          </w:tcPr>
          <w:p w14:paraId="2E0D7FEA"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436893" w:rsidRPr="004C7470" w14:paraId="6370258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76C1859E" w14:textId="77777777" w:rsidR="00436893" w:rsidRPr="004C7470" w:rsidRDefault="00436893" w:rsidP="00F175A7">
            <w:pPr>
              <w:spacing w:after="0" w:line="240" w:lineRule="auto"/>
              <w:ind w:firstLine="0"/>
            </w:pPr>
            <w:r w:rsidRPr="004C7470">
              <w:rPr>
                <w:rFonts w:eastAsia="Times New Roman" w:cs="Times New Roman"/>
              </w:rPr>
              <w:t>Nombre de bénéficiaires d'un meilleur accès aux services socioéconomiques dans le cadre de la mise en œuvre du PCRSS</w:t>
            </w:r>
          </w:p>
        </w:tc>
        <w:tc>
          <w:tcPr>
            <w:tcW w:w="699" w:type="pct"/>
          </w:tcPr>
          <w:p w14:paraId="792FE5F2"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138</w:t>
            </w:r>
            <w:r w:rsidRPr="004C7470">
              <w:rPr>
                <w:rFonts w:ascii="Times New Roman" w:eastAsia="Times New Roman" w:hAnsi="Times New Roman" w:cs="Times New Roman"/>
              </w:rPr>
              <w:t> </w:t>
            </w:r>
            <w:r w:rsidRPr="004C7470">
              <w:rPr>
                <w:rFonts w:eastAsia="Times New Roman" w:cs="Times New Roman"/>
              </w:rPr>
              <w:t>361</w:t>
            </w:r>
          </w:p>
        </w:tc>
        <w:tc>
          <w:tcPr>
            <w:tcW w:w="848" w:type="pct"/>
          </w:tcPr>
          <w:p w14:paraId="3D957651"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299 676</w:t>
            </w:r>
          </w:p>
        </w:tc>
        <w:tc>
          <w:tcPr>
            <w:tcW w:w="810" w:type="pct"/>
          </w:tcPr>
          <w:p w14:paraId="29E8CF94"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200 000</w:t>
            </w:r>
          </w:p>
        </w:tc>
      </w:tr>
      <w:tr w:rsidR="00436893" w:rsidRPr="004C7470" w14:paraId="0F6979AA" w14:textId="77777777" w:rsidTr="00E52836">
        <w:tc>
          <w:tcPr>
            <w:cnfStyle w:val="001000000000" w:firstRow="0" w:lastRow="0" w:firstColumn="1" w:lastColumn="0" w:oddVBand="0" w:evenVBand="0" w:oddHBand="0" w:evenHBand="0" w:firstRowFirstColumn="0" w:firstRowLastColumn="0" w:lastRowFirstColumn="0" w:lastRowLastColumn="0"/>
            <w:tcW w:w="2643" w:type="pct"/>
          </w:tcPr>
          <w:p w14:paraId="605D6252" w14:textId="77777777" w:rsidR="00436893" w:rsidRPr="004C7470" w:rsidRDefault="00436893" w:rsidP="00F175A7">
            <w:pPr>
              <w:spacing w:after="0" w:line="240" w:lineRule="auto"/>
              <w:ind w:firstLine="0"/>
            </w:pPr>
            <w:r w:rsidRPr="004C7470">
              <w:rPr>
                <w:rFonts w:eastAsia="Times New Roman" w:cs="Times New Roman"/>
              </w:rPr>
              <w:t>Superficie en ha aménagée dans le cadre de la mise en œuvre du PCRSS</w:t>
            </w:r>
          </w:p>
        </w:tc>
        <w:tc>
          <w:tcPr>
            <w:tcW w:w="699" w:type="pct"/>
          </w:tcPr>
          <w:p w14:paraId="7991C44B"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w:t>
            </w:r>
          </w:p>
        </w:tc>
        <w:tc>
          <w:tcPr>
            <w:tcW w:w="848" w:type="pct"/>
          </w:tcPr>
          <w:p w14:paraId="68246FA6"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275</w:t>
            </w:r>
          </w:p>
        </w:tc>
        <w:tc>
          <w:tcPr>
            <w:tcW w:w="810" w:type="pct"/>
          </w:tcPr>
          <w:p w14:paraId="58DC1DA0"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200</w:t>
            </w:r>
          </w:p>
        </w:tc>
      </w:tr>
      <w:tr w:rsidR="00436893" w:rsidRPr="004C7470" w14:paraId="3A0C82D7"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5C6D2FDE" w14:textId="08A72D2C" w:rsidR="00436893" w:rsidRPr="004C7470" w:rsidRDefault="00436893" w:rsidP="00F175A7">
            <w:pPr>
              <w:spacing w:after="0" w:line="240" w:lineRule="auto"/>
              <w:ind w:firstLine="0"/>
            </w:pPr>
            <w:r w:rsidRPr="004C7470">
              <w:rPr>
                <w:rFonts w:eastAsia="Times New Roman" w:cs="Times New Roman"/>
              </w:rPr>
              <w:t>Nombre de bénéficiaires des non</w:t>
            </w:r>
            <w:r w:rsidR="00104A7B">
              <w:rPr>
                <w:rFonts w:eastAsia="Times New Roman" w:cs="Times New Roman"/>
              </w:rPr>
              <w:t>-</w:t>
            </w:r>
            <w:r w:rsidRPr="004C7470">
              <w:rPr>
                <w:rFonts w:eastAsia="Times New Roman" w:cs="Times New Roman"/>
              </w:rPr>
              <w:t>vivres (Kits AME) dans le cadre de la mise en œuvre du PCRSS</w:t>
            </w:r>
          </w:p>
        </w:tc>
        <w:tc>
          <w:tcPr>
            <w:tcW w:w="699" w:type="pct"/>
          </w:tcPr>
          <w:p w14:paraId="63D251EE"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16 320</w:t>
            </w:r>
          </w:p>
        </w:tc>
        <w:tc>
          <w:tcPr>
            <w:tcW w:w="848" w:type="pct"/>
          </w:tcPr>
          <w:p w14:paraId="169E0216"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38 718</w:t>
            </w:r>
          </w:p>
        </w:tc>
        <w:tc>
          <w:tcPr>
            <w:tcW w:w="810" w:type="pct"/>
          </w:tcPr>
          <w:p w14:paraId="46C2CBAD"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33 480</w:t>
            </w:r>
          </w:p>
        </w:tc>
      </w:tr>
      <w:tr w:rsidR="00436893" w:rsidRPr="004C7470" w14:paraId="1B98CA3E" w14:textId="77777777" w:rsidTr="00E52836">
        <w:tc>
          <w:tcPr>
            <w:cnfStyle w:val="001000000000" w:firstRow="0" w:lastRow="0" w:firstColumn="1" w:lastColumn="0" w:oddVBand="0" w:evenVBand="0" w:oddHBand="0" w:evenHBand="0" w:firstRowFirstColumn="0" w:firstRowLastColumn="0" w:lastRowFirstColumn="0" w:lastRowLastColumn="0"/>
            <w:tcW w:w="2643" w:type="pct"/>
          </w:tcPr>
          <w:p w14:paraId="0D044787" w14:textId="77777777" w:rsidR="00436893" w:rsidRPr="004C7470" w:rsidRDefault="00436893" w:rsidP="00F175A7">
            <w:pPr>
              <w:spacing w:after="0" w:line="240" w:lineRule="auto"/>
              <w:ind w:firstLine="0"/>
            </w:pPr>
            <w:r w:rsidRPr="004C7470">
              <w:rPr>
                <w:rFonts w:eastAsia="Times New Roman" w:cs="Times New Roman"/>
              </w:rPr>
              <w:t>Nombre d’agriculteurs bénéficiaires d’intrants agricoles dans le cadre de la mise en œuvre du PCRSS</w:t>
            </w:r>
          </w:p>
        </w:tc>
        <w:tc>
          <w:tcPr>
            <w:tcW w:w="699" w:type="pct"/>
          </w:tcPr>
          <w:p w14:paraId="7838BC37"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2 923</w:t>
            </w:r>
          </w:p>
        </w:tc>
        <w:tc>
          <w:tcPr>
            <w:tcW w:w="848" w:type="pct"/>
          </w:tcPr>
          <w:p w14:paraId="33997055"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37 000</w:t>
            </w:r>
          </w:p>
        </w:tc>
        <w:tc>
          <w:tcPr>
            <w:tcW w:w="810" w:type="pct"/>
          </w:tcPr>
          <w:p w14:paraId="20774B84" w14:textId="77777777" w:rsidR="00436893" w:rsidRPr="004C7470" w:rsidRDefault="00436893" w:rsidP="00F175A7">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4C7470">
              <w:rPr>
                <w:rFonts w:eastAsia="Times New Roman" w:cs="Times New Roman"/>
              </w:rPr>
              <w:t xml:space="preserve"> 34 000</w:t>
            </w:r>
          </w:p>
        </w:tc>
      </w:tr>
      <w:tr w:rsidR="00436893" w:rsidRPr="004C7470" w14:paraId="63B67A19"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4F936458" w14:textId="77777777" w:rsidR="00436893" w:rsidRPr="004C7470" w:rsidRDefault="00436893" w:rsidP="00F175A7">
            <w:pPr>
              <w:spacing w:after="0" w:line="240" w:lineRule="auto"/>
              <w:ind w:firstLine="0"/>
            </w:pPr>
            <w:r w:rsidRPr="004C7470">
              <w:rPr>
                <w:rFonts w:eastAsia="Times New Roman" w:cs="Times New Roman"/>
              </w:rPr>
              <w:t>Nombre de km de route réhabilitée dans le cadre de la mise en œuvre du PCRSS</w:t>
            </w:r>
          </w:p>
        </w:tc>
        <w:tc>
          <w:tcPr>
            <w:tcW w:w="699" w:type="pct"/>
          </w:tcPr>
          <w:p w14:paraId="647D6A2B"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w:t>
            </w:r>
          </w:p>
        </w:tc>
        <w:tc>
          <w:tcPr>
            <w:tcW w:w="848" w:type="pct"/>
          </w:tcPr>
          <w:p w14:paraId="3A5EEA88"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0</w:t>
            </w:r>
          </w:p>
        </w:tc>
        <w:tc>
          <w:tcPr>
            <w:tcW w:w="810" w:type="pct"/>
          </w:tcPr>
          <w:p w14:paraId="6658475C"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30</w:t>
            </w:r>
          </w:p>
        </w:tc>
      </w:tr>
      <w:tr w:rsidR="00436893" w:rsidRPr="004C7470" w14:paraId="49E647FE" w14:textId="77777777" w:rsidTr="00E52836">
        <w:tc>
          <w:tcPr>
            <w:cnfStyle w:val="001000000000" w:firstRow="0" w:lastRow="0" w:firstColumn="1" w:lastColumn="0" w:oddVBand="0" w:evenVBand="0" w:oddHBand="0" w:evenHBand="0" w:firstRowFirstColumn="0" w:firstRowLastColumn="0" w:lastRowFirstColumn="0" w:lastRowLastColumn="0"/>
            <w:tcW w:w="2643" w:type="pct"/>
          </w:tcPr>
          <w:p w14:paraId="6A76FD93" w14:textId="77777777" w:rsidR="00436893" w:rsidRPr="004C7470" w:rsidRDefault="00436893" w:rsidP="00F175A7">
            <w:pPr>
              <w:spacing w:after="0" w:line="240" w:lineRule="auto"/>
              <w:ind w:firstLine="0"/>
            </w:pPr>
            <w:r w:rsidRPr="004C7470">
              <w:rPr>
                <w:rFonts w:eastAsia="Times New Roman" w:cs="Times New Roman"/>
              </w:rPr>
              <w:lastRenderedPageBreak/>
              <w:t>Nombre d’infrastructures (magasin de stockage) réalisées dans le cadre de la mise en œuvre du PCRSS</w:t>
            </w:r>
          </w:p>
        </w:tc>
        <w:tc>
          <w:tcPr>
            <w:tcW w:w="699" w:type="pct"/>
          </w:tcPr>
          <w:p w14:paraId="71EAF134"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w:t>
            </w:r>
          </w:p>
        </w:tc>
        <w:tc>
          <w:tcPr>
            <w:tcW w:w="848" w:type="pct"/>
          </w:tcPr>
          <w:p w14:paraId="5D343AF2"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0</w:t>
            </w:r>
          </w:p>
        </w:tc>
        <w:tc>
          <w:tcPr>
            <w:tcW w:w="810" w:type="pct"/>
          </w:tcPr>
          <w:p w14:paraId="37C634D9"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w:t>
            </w:r>
          </w:p>
        </w:tc>
      </w:tr>
    </w:tbl>
    <w:p w14:paraId="2264A8FA" w14:textId="70DE274C" w:rsidR="00436893" w:rsidRPr="008D20C6" w:rsidRDefault="00436893" w:rsidP="00436893">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00603CB3">
        <w:rPr>
          <w:rFonts w:eastAsia="Times New Roman" w:cs="Times New Roman"/>
          <w:sz w:val="20"/>
          <w:szCs w:val="20"/>
        </w:rPr>
        <w:t xml:space="preserve"> : r</w:t>
      </w:r>
      <w:r w:rsidRPr="008D20C6">
        <w:rPr>
          <w:rFonts w:eastAsia="Times New Roman" w:cs="Times New Roman"/>
          <w:sz w:val="20"/>
          <w:szCs w:val="20"/>
        </w:rPr>
        <w:t xml:space="preserve">apport </w:t>
      </w:r>
      <w:r w:rsidR="00603CB3">
        <w:rPr>
          <w:rFonts w:eastAsia="Times New Roman" w:cs="Times New Roman"/>
          <w:sz w:val="20"/>
          <w:szCs w:val="20"/>
        </w:rPr>
        <w:t xml:space="preserve">annuel </w:t>
      </w:r>
      <w:r w:rsidRPr="008D20C6">
        <w:rPr>
          <w:rFonts w:eastAsia="Times New Roman" w:cs="Times New Roman"/>
          <w:sz w:val="20"/>
          <w:szCs w:val="20"/>
        </w:rPr>
        <w:t>de performance 2023 du CSD-GE, février 2024</w:t>
      </w:r>
    </w:p>
    <w:p w14:paraId="0AB34029" w14:textId="162BD228"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En terme</w:t>
      </w:r>
      <w:r w:rsidR="008911F2">
        <w:rPr>
          <w:rFonts w:eastAsia="Times New Roman" w:cs="Times New Roman"/>
        </w:rPr>
        <w:t>s</w:t>
      </w:r>
      <w:r w:rsidRPr="008D20C6">
        <w:rPr>
          <w:rFonts w:eastAsia="Times New Roman" w:cs="Times New Roman"/>
        </w:rPr>
        <w:t xml:space="preserve"> d’engagement financier, sur une prévision financière annuelle de 26</w:t>
      </w:r>
      <w:r w:rsidR="008911F2">
        <w:rPr>
          <w:rFonts w:eastAsia="Calibri"/>
          <w:szCs w:val="24"/>
        </w:rPr>
        <w:t> </w:t>
      </w:r>
      <w:r w:rsidRPr="008D20C6">
        <w:rPr>
          <w:rFonts w:eastAsia="Times New Roman" w:cs="Times New Roman"/>
        </w:rPr>
        <w:t>756</w:t>
      </w:r>
      <w:r w:rsidR="008911F2">
        <w:rPr>
          <w:rFonts w:eastAsia="Calibri"/>
          <w:szCs w:val="24"/>
        </w:rPr>
        <w:t> </w:t>
      </w:r>
      <w:r w:rsidRPr="008D20C6">
        <w:rPr>
          <w:rFonts w:eastAsia="Times New Roman" w:cs="Times New Roman"/>
        </w:rPr>
        <w:t>288</w:t>
      </w:r>
      <w:r w:rsidR="008911F2">
        <w:rPr>
          <w:rFonts w:eastAsia="Calibri"/>
          <w:szCs w:val="24"/>
        </w:rPr>
        <w:t> </w:t>
      </w:r>
      <w:r w:rsidRPr="008D20C6">
        <w:rPr>
          <w:rFonts w:eastAsia="Times New Roman" w:cs="Times New Roman"/>
        </w:rPr>
        <w:t>600 FCFA au titre de l’action 02001, ce sont 2</w:t>
      </w:r>
      <w:r w:rsidR="008911F2">
        <w:rPr>
          <w:rFonts w:eastAsia="Calibri"/>
          <w:szCs w:val="24"/>
        </w:rPr>
        <w:t> </w:t>
      </w:r>
      <w:r w:rsidRPr="008D20C6">
        <w:rPr>
          <w:rFonts w:eastAsia="Times New Roman" w:cs="Times New Roman"/>
        </w:rPr>
        <w:t>800</w:t>
      </w:r>
      <w:r w:rsidR="008911F2">
        <w:rPr>
          <w:rFonts w:eastAsia="Calibri"/>
          <w:szCs w:val="24"/>
        </w:rPr>
        <w:t> </w:t>
      </w:r>
      <w:r w:rsidRPr="008D20C6">
        <w:rPr>
          <w:rFonts w:eastAsia="Times New Roman" w:cs="Times New Roman"/>
        </w:rPr>
        <w:t>000</w:t>
      </w:r>
      <w:r w:rsidR="008911F2">
        <w:rPr>
          <w:rFonts w:eastAsia="Calibri"/>
          <w:szCs w:val="24"/>
        </w:rPr>
        <w:t> </w:t>
      </w:r>
      <w:r w:rsidRPr="008D20C6">
        <w:rPr>
          <w:rFonts w:eastAsia="Times New Roman" w:cs="Times New Roman"/>
        </w:rPr>
        <w:t>000</w:t>
      </w:r>
      <w:r w:rsidR="008911F2">
        <w:rPr>
          <w:rFonts w:eastAsia="Times New Roman" w:cs="Times New Roman"/>
        </w:rPr>
        <w:t xml:space="preserve"> FCFA</w:t>
      </w:r>
      <w:r w:rsidRPr="008D20C6">
        <w:rPr>
          <w:rFonts w:eastAsia="Times New Roman" w:cs="Times New Roman"/>
        </w:rPr>
        <w:t xml:space="preserve"> qui ont été dépensés au cours du premier semestre</w:t>
      </w:r>
      <w:r w:rsidR="00104A7B">
        <w:rPr>
          <w:rFonts w:eastAsia="Times New Roman" w:cs="Times New Roman"/>
        </w:rPr>
        <w:t>,</w:t>
      </w:r>
      <w:r w:rsidRPr="008D20C6">
        <w:rPr>
          <w:rFonts w:eastAsia="Times New Roman" w:cs="Times New Roman"/>
        </w:rPr>
        <w:t xml:space="preserve"> soit un taux d’exécution de 10,46%%.</w:t>
      </w:r>
    </w:p>
    <w:p w14:paraId="1EB78DBE" w14:textId="2F420BE0" w:rsidR="004B06EC" w:rsidRPr="004B06EC" w:rsidRDefault="00436893" w:rsidP="0042784A">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Quant à la contribution du secteur PASP au soutien au retour volontaire des personnes déplacées dans leurs zones d'origine, elle s’est traduite par un bon niveau d’engagement en terme</w:t>
      </w:r>
      <w:r w:rsidR="008911F2">
        <w:rPr>
          <w:rFonts w:eastAsia="Times New Roman" w:cs="Times New Roman"/>
        </w:rPr>
        <w:t>s</w:t>
      </w:r>
      <w:r w:rsidRPr="008D20C6">
        <w:rPr>
          <w:rFonts w:eastAsia="Times New Roman" w:cs="Times New Roman"/>
        </w:rPr>
        <w:t xml:space="preserve"> d’accompagnement des PDI en engrais, </w:t>
      </w:r>
      <w:r w:rsidR="001E62B6">
        <w:rPr>
          <w:rFonts w:eastAsia="Times New Roman" w:cs="Times New Roman"/>
        </w:rPr>
        <w:t>de</w:t>
      </w:r>
      <w:r w:rsidRPr="008D20C6">
        <w:rPr>
          <w:rFonts w:eastAsia="Times New Roman" w:cs="Times New Roman"/>
        </w:rPr>
        <w:t xml:space="preserve"> formation et </w:t>
      </w:r>
      <w:r w:rsidR="001E62B6">
        <w:rPr>
          <w:rFonts w:eastAsia="Times New Roman" w:cs="Times New Roman"/>
        </w:rPr>
        <w:t>de</w:t>
      </w:r>
      <w:r w:rsidRPr="008D20C6">
        <w:rPr>
          <w:rFonts w:eastAsia="Times New Roman" w:cs="Times New Roman"/>
        </w:rPr>
        <w:t xml:space="preserve"> dotation en animaux reproducteurs pour leur relèvement</w:t>
      </w:r>
      <w:r w:rsidR="001E62B6">
        <w:rPr>
          <w:rFonts w:eastAsia="Times New Roman" w:cs="Times New Roman"/>
        </w:rPr>
        <w:t xml:space="preserve"> et de mise à disposition d’</w:t>
      </w:r>
      <w:r w:rsidR="001E62B6" w:rsidRPr="004C7470">
        <w:rPr>
          <w:rFonts w:eastAsia="Times New Roman" w:cs="Times New Roman"/>
        </w:rPr>
        <w:t>équipements/matériels</w:t>
      </w:r>
      <w:r w:rsidR="001E62B6">
        <w:rPr>
          <w:rFonts w:eastAsia="Times New Roman" w:cs="Times New Roman"/>
        </w:rPr>
        <w:t xml:space="preserve"> de production</w:t>
      </w:r>
      <w:r w:rsidRPr="008D20C6">
        <w:rPr>
          <w:rFonts w:eastAsia="Times New Roman" w:cs="Times New Roman"/>
        </w:rPr>
        <w:t>. La situation détaillée de l’exécution des produits consignée dans le tableau ci-dess</w:t>
      </w:r>
      <w:r w:rsidR="001E62B6">
        <w:rPr>
          <w:rFonts w:eastAsia="Times New Roman" w:cs="Times New Roman"/>
        </w:rPr>
        <w:t>o</w:t>
      </w:r>
      <w:r w:rsidRPr="008D20C6">
        <w:rPr>
          <w:rFonts w:eastAsia="Times New Roman" w:cs="Times New Roman"/>
        </w:rPr>
        <w:t xml:space="preserve">us, montre </w:t>
      </w:r>
      <w:r w:rsidR="001E62B6" w:rsidRPr="008D20C6">
        <w:rPr>
          <w:rFonts w:eastAsia="Times New Roman" w:cs="Times New Roman"/>
        </w:rPr>
        <w:t>qu</w:t>
      </w:r>
      <w:r w:rsidR="001E62B6">
        <w:rPr>
          <w:rFonts w:eastAsia="Times New Roman" w:cs="Times New Roman"/>
        </w:rPr>
        <w:t>’excepté la mise à disposition des semences,</w:t>
      </w:r>
      <w:r w:rsidRPr="008D20C6">
        <w:rPr>
          <w:rFonts w:eastAsia="Times New Roman" w:cs="Times New Roman"/>
        </w:rPr>
        <w:t xml:space="preserve"> toutes les cibles visées ont été largement dépassées au 31 décembre 2023 pour les extrants dont les données sont disponibles. Cette performance </w:t>
      </w:r>
      <w:r w:rsidR="004B06EC">
        <w:rPr>
          <w:rFonts w:eastAsia="Times New Roman" w:cs="Times New Roman"/>
        </w:rPr>
        <w:t xml:space="preserve">s’explique entre autres par la mise en œuvre de </w:t>
      </w:r>
      <w:r w:rsidR="004B06EC" w:rsidRPr="004B06EC">
        <w:rPr>
          <w:rFonts w:eastAsia="Times New Roman" w:cs="Times New Roman"/>
        </w:rPr>
        <w:t>l’initiative présidentielle et de l’offensive agropastorale et halieutique</w:t>
      </w:r>
      <w:r w:rsidR="004B06EC">
        <w:rPr>
          <w:rFonts w:eastAsia="Times New Roman" w:cs="Times New Roman"/>
        </w:rPr>
        <w:t xml:space="preserve">, </w:t>
      </w:r>
      <w:r w:rsidRPr="008D20C6">
        <w:rPr>
          <w:rFonts w:eastAsia="Times New Roman" w:cs="Times New Roman"/>
        </w:rPr>
        <w:t>l’exécution du Plan de réponse et de soutien aux populations vulnérables à l’insécurité alimentaire et à la malnutrition (PRSPV)</w:t>
      </w:r>
      <w:r w:rsidR="004B06EC">
        <w:rPr>
          <w:rFonts w:eastAsia="Times New Roman" w:cs="Times New Roman"/>
        </w:rPr>
        <w:t>,</w:t>
      </w:r>
      <w:r w:rsidRPr="008D20C6">
        <w:rPr>
          <w:rFonts w:eastAsia="Times New Roman" w:cs="Times New Roman"/>
        </w:rPr>
        <w:t xml:space="preserve"> du Plan opérationnel d’appui aux activités de la campagne agricole de saison sèche 2022-2023</w:t>
      </w:r>
      <w:r w:rsidR="004B06EC">
        <w:rPr>
          <w:rFonts w:eastAsia="Times New Roman" w:cs="Times New Roman"/>
        </w:rPr>
        <w:t xml:space="preserve"> ainsi que </w:t>
      </w:r>
      <w:r w:rsidR="004B06EC" w:rsidRPr="004B06EC">
        <w:rPr>
          <w:rFonts w:eastAsia="Times New Roman" w:cs="Times New Roman"/>
        </w:rPr>
        <w:t xml:space="preserve">par l’appui du Projet de </w:t>
      </w:r>
      <w:r w:rsidR="00DF4FBA">
        <w:rPr>
          <w:rFonts w:eastAsia="Times New Roman" w:cs="Times New Roman"/>
        </w:rPr>
        <w:t>r</w:t>
      </w:r>
      <w:r w:rsidR="004B06EC" w:rsidRPr="004B06EC">
        <w:rPr>
          <w:rFonts w:eastAsia="Times New Roman" w:cs="Times New Roman"/>
        </w:rPr>
        <w:t xml:space="preserve">ésilience et de </w:t>
      </w:r>
      <w:r w:rsidR="00DF4FBA">
        <w:rPr>
          <w:rFonts w:eastAsia="Times New Roman" w:cs="Times New Roman"/>
        </w:rPr>
        <w:t>c</w:t>
      </w:r>
      <w:r w:rsidR="004B06EC" w:rsidRPr="004B06EC">
        <w:rPr>
          <w:rFonts w:eastAsia="Times New Roman" w:cs="Times New Roman"/>
        </w:rPr>
        <w:t xml:space="preserve">ompétitivité </w:t>
      </w:r>
      <w:r w:rsidR="00DF4FBA">
        <w:rPr>
          <w:rFonts w:eastAsia="Times New Roman" w:cs="Times New Roman"/>
        </w:rPr>
        <w:t>a</w:t>
      </w:r>
      <w:r w:rsidR="004B06EC" w:rsidRPr="004B06EC">
        <w:rPr>
          <w:rFonts w:eastAsia="Times New Roman" w:cs="Times New Roman"/>
        </w:rPr>
        <w:t>gricole (</w:t>
      </w:r>
      <w:proofErr w:type="spellStart"/>
      <w:r w:rsidR="004B06EC" w:rsidRPr="004B06EC">
        <w:rPr>
          <w:rFonts w:eastAsia="Times New Roman" w:cs="Times New Roman"/>
        </w:rPr>
        <w:t>PRéCA</w:t>
      </w:r>
      <w:proofErr w:type="spellEnd"/>
      <w:r w:rsidR="004B06EC" w:rsidRPr="004B06EC">
        <w:rPr>
          <w:rFonts w:eastAsia="Times New Roman" w:cs="Times New Roman"/>
        </w:rPr>
        <w:t>) pour le financement de microprojet</w:t>
      </w:r>
      <w:r w:rsidR="00DF4FBA">
        <w:rPr>
          <w:rFonts w:eastAsia="Times New Roman" w:cs="Times New Roman"/>
        </w:rPr>
        <w:t>s</w:t>
      </w:r>
      <w:r w:rsidR="004B06EC" w:rsidRPr="004B06EC">
        <w:rPr>
          <w:rFonts w:eastAsia="Times New Roman" w:cs="Times New Roman"/>
        </w:rPr>
        <w:t xml:space="preserve"> agropastoraux. </w:t>
      </w:r>
    </w:p>
    <w:p w14:paraId="3C3FAC52" w14:textId="08B42660" w:rsidR="00436893" w:rsidRPr="00B4222C" w:rsidRDefault="00B4222C" w:rsidP="00436893">
      <w:pPr>
        <w:shd w:val="clear" w:color="auto" w:fill="FFFFFF"/>
        <w:spacing w:before="120" w:after="120" w:line="276" w:lineRule="auto"/>
        <w:rPr>
          <w:sz w:val="22"/>
        </w:rPr>
      </w:pPr>
      <w:bookmarkStart w:id="45" w:name="_Toc164503602"/>
      <w:r w:rsidRPr="00B4222C">
        <w:rPr>
          <w:b/>
          <w:bCs/>
          <w:sz w:val="22"/>
          <w:u w:val="single"/>
        </w:rPr>
        <w:t xml:space="preserve">Tableau </w:t>
      </w:r>
      <w:r w:rsidRPr="00B4222C">
        <w:rPr>
          <w:b/>
          <w:bCs/>
          <w:sz w:val="22"/>
          <w:u w:val="single"/>
        </w:rPr>
        <w:fldChar w:fldCharType="begin"/>
      </w:r>
      <w:r w:rsidRPr="00B4222C">
        <w:rPr>
          <w:b/>
          <w:bCs/>
          <w:sz w:val="22"/>
          <w:u w:val="single"/>
        </w:rPr>
        <w:instrText xml:space="preserve"> SEQ Tableau \* ARABIC </w:instrText>
      </w:r>
      <w:r w:rsidRPr="00B4222C">
        <w:rPr>
          <w:b/>
          <w:bCs/>
          <w:sz w:val="22"/>
          <w:u w:val="single"/>
        </w:rPr>
        <w:fldChar w:fldCharType="separate"/>
      </w:r>
      <w:r w:rsidR="007C2E4E">
        <w:rPr>
          <w:b/>
          <w:bCs/>
          <w:noProof/>
          <w:sz w:val="22"/>
          <w:u w:val="single"/>
        </w:rPr>
        <w:t>15</w:t>
      </w:r>
      <w:r w:rsidRPr="00B4222C">
        <w:rPr>
          <w:b/>
          <w:bCs/>
          <w:sz w:val="22"/>
          <w:u w:val="single"/>
        </w:rPr>
        <w:fldChar w:fldCharType="end"/>
      </w:r>
      <w:r w:rsidR="00436893" w:rsidRPr="00B4222C">
        <w:rPr>
          <w:sz w:val="22"/>
        </w:rPr>
        <w:t xml:space="preserve">: </w:t>
      </w:r>
      <w:r w:rsidR="00751F8E">
        <w:rPr>
          <w:sz w:val="22"/>
        </w:rPr>
        <w:t>s</w:t>
      </w:r>
      <w:r w:rsidR="00436893" w:rsidRPr="00B4222C">
        <w:rPr>
          <w:sz w:val="22"/>
        </w:rPr>
        <w:t>ituation des indicateurs de produits dans le domaine agro-</w:t>
      </w:r>
      <w:proofErr w:type="spellStart"/>
      <w:r w:rsidR="00436893" w:rsidRPr="00B4222C">
        <w:rPr>
          <w:sz w:val="22"/>
        </w:rPr>
        <w:t>sylvo</w:t>
      </w:r>
      <w:proofErr w:type="spellEnd"/>
      <w:r w:rsidR="00436893" w:rsidRPr="00B4222C">
        <w:rPr>
          <w:sz w:val="22"/>
        </w:rPr>
        <w:t>-pastoral dans les zones affectées par le terrorisme dans le cadre de la mise en œuvre de l’action 02001</w:t>
      </w:r>
      <w:bookmarkEnd w:id="45"/>
    </w:p>
    <w:tbl>
      <w:tblPr>
        <w:tblStyle w:val="TableauGrille4-Accentuation119"/>
        <w:tblW w:w="5000" w:type="pct"/>
        <w:tblLook w:val="04A0" w:firstRow="1" w:lastRow="0" w:firstColumn="1" w:lastColumn="0" w:noHBand="0" w:noVBand="1"/>
      </w:tblPr>
      <w:tblGrid>
        <w:gridCol w:w="5123"/>
        <w:gridCol w:w="1349"/>
        <w:gridCol w:w="1266"/>
        <w:gridCol w:w="1278"/>
      </w:tblGrid>
      <w:tr w:rsidR="00436893" w:rsidRPr="004C7470" w14:paraId="177CB86B" w14:textId="77777777" w:rsidTr="004C74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2" w:type="pct"/>
          </w:tcPr>
          <w:p w14:paraId="71C28C98" w14:textId="6D68837B" w:rsidR="00436893" w:rsidRPr="004C7470" w:rsidRDefault="00436893" w:rsidP="00F175A7">
            <w:pPr>
              <w:spacing w:after="0" w:line="240" w:lineRule="auto"/>
            </w:pPr>
            <w:r w:rsidRPr="004C7470">
              <w:rPr>
                <w:rFonts w:eastAsia="Times New Roman" w:cs="Times New Roman"/>
              </w:rPr>
              <w:t>Indicateur</w:t>
            </w:r>
            <w:r w:rsidR="008F33DB">
              <w:rPr>
                <w:rFonts w:eastAsia="Times New Roman" w:cs="Times New Roman"/>
              </w:rPr>
              <w:t>s</w:t>
            </w:r>
          </w:p>
        </w:tc>
        <w:tc>
          <w:tcPr>
            <w:tcW w:w="749" w:type="pct"/>
          </w:tcPr>
          <w:p w14:paraId="4F989602" w14:textId="77777777" w:rsidR="00436893" w:rsidRPr="004C7470" w:rsidRDefault="00436893"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Réf. 2022</w:t>
            </w:r>
          </w:p>
        </w:tc>
        <w:tc>
          <w:tcPr>
            <w:tcW w:w="699" w:type="pct"/>
          </w:tcPr>
          <w:p w14:paraId="2BBFAF0F"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710" w:type="pct"/>
          </w:tcPr>
          <w:p w14:paraId="73AB8E3D"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436893" w:rsidRPr="004C7470" w14:paraId="2924D4E8"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pct"/>
          </w:tcPr>
          <w:p w14:paraId="26BB96E5" w14:textId="3BF012F9" w:rsidR="00436893" w:rsidRPr="004C7470" w:rsidRDefault="00436893" w:rsidP="00F175A7">
            <w:pPr>
              <w:spacing w:after="0" w:line="240" w:lineRule="auto"/>
              <w:ind w:firstLine="0"/>
            </w:pPr>
            <w:r w:rsidRPr="004C7470">
              <w:rPr>
                <w:rFonts w:eastAsia="Times New Roman" w:cs="Times New Roman"/>
              </w:rPr>
              <w:t>Quantité de semences améliorées de céréales et de cultures maraichères mise à la disposition des personnes vulnérables y compris les PDI (Tonnes)</w:t>
            </w:r>
          </w:p>
        </w:tc>
        <w:tc>
          <w:tcPr>
            <w:tcW w:w="749" w:type="pct"/>
          </w:tcPr>
          <w:p w14:paraId="0598A79C"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3 095,96</w:t>
            </w:r>
          </w:p>
        </w:tc>
        <w:tc>
          <w:tcPr>
            <w:tcW w:w="699" w:type="pct"/>
          </w:tcPr>
          <w:p w14:paraId="4C62CC09" w14:textId="781F0211" w:rsidR="00436893" w:rsidRPr="004C7470" w:rsidRDefault="001E62B6" w:rsidP="00F175A7">
            <w:pPr>
              <w:spacing w:after="0" w:line="240" w:lineRule="auto"/>
              <w:cnfStyle w:val="000000100000" w:firstRow="0" w:lastRow="0" w:firstColumn="0" w:lastColumn="0" w:oddVBand="0" w:evenVBand="0" w:oddHBand="1" w:evenHBand="0" w:firstRowFirstColumn="0" w:firstRowLastColumn="0" w:lastRowFirstColumn="0" w:lastRowLastColumn="0"/>
            </w:pPr>
            <w:r>
              <w:rPr>
                <w:rFonts w:eastAsia="Times New Roman" w:cs="Times New Roman"/>
              </w:rPr>
              <w:t>59,44</w:t>
            </w:r>
          </w:p>
        </w:tc>
        <w:tc>
          <w:tcPr>
            <w:tcW w:w="710" w:type="pct"/>
          </w:tcPr>
          <w:p w14:paraId="053A503D"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400</w:t>
            </w:r>
          </w:p>
        </w:tc>
      </w:tr>
      <w:tr w:rsidR="00436893" w:rsidRPr="004C7470" w14:paraId="2E8EC44C" w14:textId="77777777" w:rsidTr="00E52836">
        <w:tc>
          <w:tcPr>
            <w:cnfStyle w:val="001000000000" w:firstRow="0" w:lastRow="0" w:firstColumn="1" w:lastColumn="0" w:oddVBand="0" w:evenVBand="0" w:oddHBand="0" w:evenHBand="0" w:firstRowFirstColumn="0" w:firstRowLastColumn="0" w:lastRowFirstColumn="0" w:lastRowLastColumn="0"/>
            <w:tcW w:w="2842" w:type="pct"/>
          </w:tcPr>
          <w:p w14:paraId="05088A39" w14:textId="77777777" w:rsidR="00436893" w:rsidRPr="004C7470" w:rsidRDefault="00436893" w:rsidP="00F175A7">
            <w:pPr>
              <w:spacing w:after="0" w:line="240" w:lineRule="auto"/>
              <w:ind w:firstLine="0"/>
            </w:pPr>
            <w:r w:rsidRPr="004C7470">
              <w:rPr>
                <w:rFonts w:eastAsia="Times New Roman" w:cs="Times New Roman"/>
              </w:rPr>
              <w:t>Quantité d'engrais mise à la disposition des personnes vulnérables y compris les PDI (Tonnes)</w:t>
            </w:r>
          </w:p>
        </w:tc>
        <w:tc>
          <w:tcPr>
            <w:tcW w:w="749" w:type="pct"/>
          </w:tcPr>
          <w:p w14:paraId="33AB5A31"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1 786,14</w:t>
            </w:r>
          </w:p>
        </w:tc>
        <w:tc>
          <w:tcPr>
            <w:tcW w:w="699" w:type="pct"/>
          </w:tcPr>
          <w:p w14:paraId="4FAFC717" w14:textId="0414A76A" w:rsidR="00436893" w:rsidRPr="004C7470" w:rsidRDefault="001E62B6"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Times New Roman"/>
              </w:rPr>
              <w:t>10 77</w:t>
            </w:r>
            <w:r w:rsidR="004B06EC">
              <w:rPr>
                <w:rFonts w:eastAsia="Times New Roman" w:cs="Times New Roman"/>
              </w:rPr>
              <w:t>2</w:t>
            </w:r>
            <w:r>
              <w:rPr>
                <w:rFonts w:eastAsia="Times New Roman" w:cs="Times New Roman"/>
              </w:rPr>
              <w:t>,78</w:t>
            </w:r>
          </w:p>
        </w:tc>
        <w:tc>
          <w:tcPr>
            <w:tcW w:w="710" w:type="pct"/>
          </w:tcPr>
          <w:p w14:paraId="2575AD86"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2 500</w:t>
            </w:r>
          </w:p>
        </w:tc>
      </w:tr>
      <w:tr w:rsidR="00436893" w:rsidRPr="004C7470" w14:paraId="0A491A29"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pct"/>
          </w:tcPr>
          <w:p w14:paraId="360D708D" w14:textId="77777777" w:rsidR="00436893" w:rsidRPr="004C7470" w:rsidRDefault="00436893" w:rsidP="00F175A7">
            <w:pPr>
              <w:spacing w:after="0" w:line="240" w:lineRule="auto"/>
              <w:ind w:firstLine="0"/>
            </w:pPr>
            <w:r w:rsidRPr="004C7470">
              <w:rPr>
                <w:rFonts w:eastAsia="Times New Roman" w:cs="Times New Roman"/>
              </w:rPr>
              <w:t>Nombre de personnes vulnérables y compris les PDI bénéficiaires d'équipements/matériels de production</w:t>
            </w:r>
          </w:p>
        </w:tc>
        <w:tc>
          <w:tcPr>
            <w:tcW w:w="749" w:type="pct"/>
          </w:tcPr>
          <w:p w14:paraId="3CA39C00"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745</w:t>
            </w:r>
          </w:p>
        </w:tc>
        <w:tc>
          <w:tcPr>
            <w:tcW w:w="699" w:type="pct"/>
          </w:tcPr>
          <w:p w14:paraId="6BA4907A"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139E1">
              <w:rPr>
                <w:rFonts w:eastAsia="Times New Roman" w:cs="Times New Roman"/>
              </w:rPr>
              <w:t>ND</w:t>
            </w:r>
          </w:p>
        </w:tc>
        <w:tc>
          <w:tcPr>
            <w:tcW w:w="710" w:type="pct"/>
          </w:tcPr>
          <w:p w14:paraId="2347886A"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2490</w:t>
            </w:r>
          </w:p>
        </w:tc>
      </w:tr>
      <w:tr w:rsidR="00436893" w:rsidRPr="004C7470" w14:paraId="70EE6C1F" w14:textId="77777777" w:rsidTr="00E52836">
        <w:tc>
          <w:tcPr>
            <w:cnfStyle w:val="001000000000" w:firstRow="0" w:lastRow="0" w:firstColumn="1" w:lastColumn="0" w:oddVBand="0" w:evenVBand="0" w:oddHBand="0" w:evenHBand="0" w:firstRowFirstColumn="0" w:firstRowLastColumn="0" w:lastRowFirstColumn="0" w:lastRowLastColumn="0"/>
            <w:tcW w:w="2842" w:type="pct"/>
          </w:tcPr>
          <w:p w14:paraId="317D4D98" w14:textId="77777777" w:rsidR="00436893" w:rsidRPr="004C7470" w:rsidRDefault="00436893" w:rsidP="00F175A7">
            <w:pPr>
              <w:spacing w:after="0" w:line="240" w:lineRule="auto"/>
              <w:ind w:firstLine="0"/>
            </w:pPr>
            <w:r w:rsidRPr="004C7470">
              <w:rPr>
                <w:rFonts w:eastAsia="Times New Roman" w:cs="Times New Roman"/>
              </w:rPr>
              <w:t>Nombre d'équipements/matériels mis à la disposition des personnes vulnérables y compris les PDI</w:t>
            </w:r>
          </w:p>
        </w:tc>
        <w:tc>
          <w:tcPr>
            <w:tcW w:w="749" w:type="pct"/>
          </w:tcPr>
          <w:p w14:paraId="2F168AA0"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745</w:t>
            </w:r>
          </w:p>
        </w:tc>
        <w:tc>
          <w:tcPr>
            <w:tcW w:w="699" w:type="pct"/>
          </w:tcPr>
          <w:p w14:paraId="0ED0DDC4"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600</w:t>
            </w:r>
          </w:p>
        </w:tc>
        <w:tc>
          <w:tcPr>
            <w:tcW w:w="710" w:type="pct"/>
          </w:tcPr>
          <w:p w14:paraId="7DD8602C"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166</w:t>
            </w:r>
          </w:p>
        </w:tc>
      </w:tr>
      <w:tr w:rsidR="00436893" w:rsidRPr="004C7470" w14:paraId="7342648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pct"/>
          </w:tcPr>
          <w:p w14:paraId="05B6D016" w14:textId="77777777" w:rsidR="00436893" w:rsidRPr="004C7470" w:rsidRDefault="00436893" w:rsidP="00F175A7">
            <w:pPr>
              <w:spacing w:after="0" w:line="240" w:lineRule="auto"/>
              <w:ind w:firstLine="0"/>
            </w:pPr>
            <w:r w:rsidRPr="004C7470">
              <w:rPr>
                <w:rFonts w:eastAsia="Times New Roman" w:cs="Times New Roman"/>
              </w:rPr>
              <w:t xml:space="preserve">Nombre de jeunes éleveurs PDI </w:t>
            </w:r>
            <w:proofErr w:type="spellStart"/>
            <w:r w:rsidRPr="004C7470">
              <w:rPr>
                <w:rFonts w:eastAsia="Times New Roman" w:cs="Times New Roman"/>
              </w:rPr>
              <w:t>re</w:t>
            </w:r>
            <w:proofErr w:type="spellEnd"/>
            <w:r w:rsidRPr="004C7470">
              <w:rPr>
                <w:rFonts w:eastAsia="Times New Roman" w:cs="Times New Roman"/>
              </w:rPr>
              <w:t>-capacités avec des animaux reproducteurs</w:t>
            </w:r>
          </w:p>
        </w:tc>
        <w:tc>
          <w:tcPr>
            <w:tcW w:w="749" w:type="pct"/>
          </w:tcPr>
          <w:p w14:paraId="515981FB"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1714</w:t>
            </w:r>
          </w:p>
        </w:tc>
        <w:tc>
          <w:tcPr>
            <w:tcW w:w="699" w:type="pct"/>
          </w:tcPr>
          <w:p w14:paraId="71DC578B"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3 015</w:t>
            </w:r>
          </w:p>
        </w:tc>
        <w:tc>
          <w:tcPr>
            <w:tcW w:w="710" w:type="pct"/>
          </w:tcPr>
          <w:p w14:paraId="2D1755C6"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490</w:t>
            </w:r>
          </w:p>
        </w:tc>
      </w:tr>
      <w:tr w:rsidR="00436893" w:rsidRPr="004C7470" w14:paraId="383DADEF" w14:textId="77777777" w:rsidTr="00E52836">
        <w:tc>
          <w:tcPr>
            <w:cnfStyle w:val="001000000000" w:firstRow="0" w:lastRow="0" w:firstColumn="1" w:lastColumn="0" w:oddVBand="0" w:evenVBand="0" w:oddHBand="0" w:evenHBand="0" w:firstRowFirstColumn="0" w:firstRowLastColumn="0" w:lastRowFirstColumn="0" w:lastRowLastColumn="0"/>
            <w:tcW w:w="2842" w:type="pct"/>
          </w:tcPr>
          <w:p w14:paraId="5517291E" w14:textId="77777777" w:rsidR="00436893" w:rsidRPr="004C7470" w:rsidRDefault="00436893" w:rsidP="00F175A7">
            <w:pPr>
              <w:spacing w:after="0" w:line="240" w:lineRule="auto"/>
              <w:ind w:firstLine="0"/>
            </w:pPr>
            <w:r w:rsidRPr="004C7470">
              <w:rPr>
                <w:rFonts w:eastAsia="Times New Roman" w:cs="Times New Roman"/>
              </w:rPr>
              <w:t>Effectif des jeunes déplacés internes / hôtes bénéficiaires de microprojets agropastoraux</w:t>
            </w:r>
          </w:p>
        </w:tc>
        <w:tc>
          <w:tcPr>
            <w:tcW w:w="749" w:type="pct"/>
          </w:tcPr>
          <w:p w14:paraId="749145D4" w14:textId="27672F87" w:rsidR="00436893" w:rsidRPr="004C7470" w:rsidRDefault="004B06EC"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Times New Roman"/>
              </w:rPr>
              <w:t>100</w:t>
            </w:r>
          </w:p>
        </w:tc>
        <w:tc>
          <w:tcPr>
            <w:tcW w:w="699" w:type="pct"/>
          </w:tcPr>
          <w:p w14:paraId="0430BF5E" w14:textId="3C97135A" w:rsidR="00436893" w:rsidRPr="004C7470" w:rsidRDefault="004B06EC"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Times New Roman"/>
              </w:rPr>
              <w:t>714</w:t>
            </w:r>
          </w:p>
        </w:tc>
        <w:tc>
          <w:tcPr>
            <w:tcW w:w="710" w:type="pct"/>
          </w:tcPr>
          <w:p w14:paraId="5D2A3B9C"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300</w:t>
            </w:r>
          </w:p>
        </w:tc>
      </w:tr>
    </w:tbl>
    <w:p w14:paraId="314670A2" w14:textId="50A1E8AB" w:rsidR="00436893" w:rsidRPr="008D20C6" w:rsidRDefault="00436893" w:rsidP="00436893">
      <w:pPr>
        <w:shd w:val="clear" w:color="auto" w:fill="FFFFFF"/>
        <w:spacing w:before="240" w:after="240" w:line="276" w:lineRule="auto"/>
        <w:rPr>
          <w:rFonts w:eastAsia="Times New Roman" w:cs="Times New Roman"/>
          <w:sz w:val="20"/>
          <w:szCs w:val="20"/>
        </w:rPr>
      </w:pPr>
      <w:r w:rsidRPr="008D20C6">
        <w:rPr>
          <w:rFonts w:eastAsia="Times New Roman" w:cs="Times New Roman"/>
          <w:b/>
          <w:sz w:val="20"/>
          <w:szCs w:val="20"/>
        </w:rPr>
        <w:t>Source</w:t>
      </w:r>
      <w:r w:rsidRPr="008D20C6">
        <w:rPr>
          <w:rFonts w:eastAsia="Times New Roman" w:cs="Times New Roman"/>
          <w:sz w:val="20"/>
          <w:szCs w:val="20"/>
        </w:rPr>
        <w:t xml:space="preserve"> : rapport </w:t>
      </w:r>
      <w:r w:rsidR="00603CB3">
        <w:rPr>
          <w:rFonts w:eastAsia="Times New Roman" w:cs="Times New Roman"/>
          <w:sz w:val="20"/>
          <w:szCs w:val="20"/>
        </w:rPr>
        <w:t xml:space="preserve">annuel </w:t>
      </w:r>
      <w:r w:rsidRPr="008D20C6">
        <w:rPr>
          <w:rFonts w:eastAsia="Times New Roman" w:cs="Times New Roman"/>
          <w:sz w:val="20"/>
          <w:szCs w:val="20"/>
        </w:rPr>
        <w:t>de performance 2023 du CSD-PASP, février 2024</w:t>
      </w:r>
    </w:p>
    <w:p w14:paraId="765BC347" w14:textId="25356148"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Sur le plan financier, la réalisation des produits a coûté </w:t>
      </w:r>
      <w:r w:rsidR="001E62B6" w:rsidRPr="00A22633">
        <w:rPr>
          <w:rFonts w:eastAsia="Calibri"/>
          <w:szCs w:val="24"/>
        </w:rPr>
        <w:t xml:space="preserve">8,13 milliards FCFA </w:t>
      </w:r>
      <w:r w:rsidRPr="008D20C6">
        <w:rPr>
          <w:rFonts w:eastAsia="Times New Roman" w:cs="Times New Roman"/>
        </w:rPr>
        <w:t xml:space="preserve">sur une prévision de </w:t>
      </w:r>
      <w:r w:rsidR="001E62B6">
        <w:rPr>
          <w:rFonts w:eastAsia="Calibri"/>
          <w:szCs w:val="24"/>
        </w:rPr>
        <w:t>2,42 milliards F</w:t>
      </w:r>
      <w:r w:rsidR="001E62B6" w:rsidRPr="00A22633">
        <w:rPr>
          <w:rFonts w:eastAsia="Calibri"/>
          <w:szCs w:val="24"/>
        </w:rPr>
        <w:t>CFA</w:t>
      </w:r>
      <w:r w:rsidRPr="008D20C6">
        <w:rPr>
          <w:rFonts w:eastAsia="Times New Roman" w:cs="Times New Roman"/>
        </w:rPr>
        <w:t>.</w:t>
      </w:r>
    </w:p>
    <w:p w14:paraId="395F5F1F" w14:textId="0BE1BB76"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lastRenderedPageBreak/>
        <w:t xml:space="preserve">La deuxième action de ce pilier est relative à </w:t>
      </w:r>
      <w:r w:rsidRPr="008139E1">
        <w:rPr>
          <w:rFonts w:eastAsia="Times New Roman" w:cs="Times New Roman"/>
          <w:b/>
        </w:rPr>
        <w:t>la prise en charge psycho-sociale des victimes et personnes affectées par le terrorisme (02002)</w:t>
      </w:r>
      <w:r w:rsidRPr="008D20C6">
        <w:rPr>
          <w:rFonts w:eastAsia="Times New Roman" w:cs="Times New Roman"/>
        </w:rPr>
        <w:t xml:space="preserve">. Elle est mise en œuvre par les CSD-DS et TEPS. Même si l’objectif de prendre en charge </w:t>
      </w:r>
      <w:r w:rsidR="00104A7B">
        <w:rPr>
          <w:rFonts w:eastAsia="Times New Roman" w:cs="Times New Roman"/>
        </w:rPr>
        <w:t xml:space="preserve">sur le </w:t>
      </w:r>
      <w:r w:rsidRPr="008D20C6">
        <w:rPr>
          <w:rFonts w:eastAsia="Times New Roman" w:cs="Times New Roman"/>
        </w:rPr>
        <w:t>plan psycho-social 4 2000 000 victimes et personnes affectées par le terrorisme n’a pas été atteint, au 31 décembre 2023, les efforts consentis par l’ensemble des acteurs sont fort appréciables.</w:t>
      </w:r>
    </w:p>
    <w:p w14:paraId="1AD10A7F" w14:textId="6DE14919"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Ainsi, dans le secteur DS, toutes les cibles visées dans l’exécution des produits clés ont été atteintes comme l’illustre le tableau ci-dessous. Il s’agit de la prise en charge </w:t>
      </w:r>
      <w:r w:rsidR="00104A7B">
        <w:rPr>
          <w:rFonts w:eastAsia="Times New Roman" w:cs="Times New Roman"/>
        </w:rPr>
        <w:t xml:space="preserve">sur le </w:t>
      </w:r>
      <w:r w:rsidRPr="008D20C6">
        <w:rPr>
          <w:rFonts w:eastAsia="Times New Roman" w:cs="Times New Roman"/>
        </w:rPr>
        <w:t>plan psycho-social de la totalité des gendarmes et policiers blessés ainsi que la prise en charge des familles de gendarmes et policiers portés disparus.</w:t>
      </w:r>
    </w:p>
    <w:p w14:paraId="608C62A2" w14:textId="02D96D88"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Relativement à la prise en charge </w:t>
      </w:r>
      <w:r w:rsidR="00104A7B">
        <w:rPr>
          <w:rFonts w:eastAsia="Times New Roman" w:cs="Times New Roman"/>
        </w:rPr>
        <w:t xml:space="preserve">sur le </w:t>
      </w:r>
      <w:r w:rsidRPr="008D20C6">
        <w:rPr>
          <w:rFonts w:eastAsia="Times New Roman" w:cs="Times New Roman"/>
        </w:rPr>
        <w:t>plan psycho</w:t>
      </w:r>
      <w:r w:rsidR="00104A7B">
        <w:rPr>
          <w:rFonts w:eastAsia="Times New Roman" w:cs="Times New Roman"/>
        </w:rPr>
        <w:t>-</w:t>
      </w:r>
      <w:r w:rsidRPr="008D20C6">
        <w:rPr>
          <w:rFonts w:eastAsia="Times New Roman" w:cs="Times New Roman"/>
        </w:rPr>
        <w:t>social de PDI et victimes des catastrophes, menée avec le concour</w:t>
      </w:r>
      <w:r w:rsidR="00104A7B">
        <w:rPr>
          <w:rFonts w:eastAsia="Times New Roman" w:cs="Times New Roman"/>
        </w:rPr>
        <w:t>s</w:t>
      </w:r>
      <w:r w:rsidRPr="008D20C6">
        <w:rPr>
          <w:rFonts w:eastAsia="Times New Roman" w:cs="Times New Roman"/>
        </w:rPr>
        <w:t xml:space="preserve"> du CSD-TEPS, les acquis sont notables. Au 31 décembre 2023, ce sont 3</w:t>
      </w:r>
      <w:r w:rsidR="008911F2">
        <w:rPr>
          <w:rFonts w:eastAsia="Calibri"/>
          <w:szCs w:val="24"/>
        </w:rPr>
        <w:t> </w:t>
      </w:r>
      <w:r w:rsidRPr="008D20C6">
        <w:rPr>
          <w:rFonts w:eastAsia="Times New Roman" w:cs="Times New Roman"/>
        </w:rPr>
        <w:t>327</w:t>
      </w:r>
      <w:r w:rsidR="008911F2">
        <w:rPr>
          <w:rFonts w:eastAsia="Calibri"/>
          <w:szCs w:val="24"/>
        </w:rPr>
        <w:t> </w:t>
      </w:r>
      <w:r w:rsidRPr="008D20C6">
        <w:rPr>
          <w:rFonts w:eastAsia="Times New Roman" w:cs="Times New Roman"/>
        </w:rPr>
        <w:t>721 personnes sur 4</w:t>
      </w:r>
      <w:r w:rsidR="008911F2">
        <w:rPr>
          <w:rFonts w:eastAsia="Calibri"/>
          <w:szCs w:val="24"/>
        </w:rPr>
        <w:t> </w:t>
      </w:r>
      <w:r w:rsidRPr="008D20C6">
        <w:rPr>
          <w:rFonts w:eastAsia="Times New Roman" w:cs="Times New Roman"/>
        </w:rPr>
        <w:t>200</w:t>
      </w:r>
      <w:r w:rsidR="008911F2">
        <w:rPr>
          <w:rFonts w:eastAsia="Calibri"/>
          <w:szCs w:val="24"/>
        </w:rPr>
        <w:t> </w:t>
      </w:r>
      <w:r w:rsidRPr="008D20C6">
        <w:rPr>
          <w:rFonts w:eastAsia="Times New Roman" w:cs="Times New Roman"/>
        </w:rPr>
        <w:t>000 dont 1</w:t>
      </w:r>
      <w:r w:rsidR="008911F2">
        <w:rPr>
          <w:rFonts w:eastAsia="Calibri"/>
          <w:szCs w:val="24"/>
        </w:rPr>
        <w:t> </w:t>
      </w:r>
      <w:r w:rsidRPr="008D20C6">
        <w:rPr>
          <w:rFonts w:eastAsia="Times New Roman" w:cs="Times New Roman"/>
        </w:rPr>
        <w:t>556</w:t>
      </w:r>
      <w:r w:rsidR="008911F2">
        <w:rPr>
          <w:rFonts w:eastAsia="Calibri"/>
          <w:szCs w:val="24"/>
        </w:rPr>
        <w:t> </w:t>
      </w:r>
      <w:r w:rsidRPr="008D20C6">
        <w:rPr>
          <w:rFonts w:eastAsia="Times New Roman" w:cs="Times New Roman"/>
        </w:rPr>
        <w:t>079 femmes et 500 apprenants qui en ont bénéficié, soit un taux de couverture de 79,24%. La non</w:t>
      </w:r>
      <w:r w:rsidR="00104A7B">
        <w:rPr>
          <w:rFonts w:eastAsia="Times New Roman" w:cs="Times New Roman"/>
        </w:rPr>
        <w:t>-</w:t>
      </w:r>
      <w:r w:rsidRPr="008D20C6">
        <w:rPr>
          <w:rFonts w:eastAsia="Times New Roman" w:cs="Times New Roman"/>
        </w:rPr>
        <w:t>atteinte de la cible s’explique entre autres par l’enregistrement d’un nombre réduit de sinistres mais aussi par la résilience des populations face aux catastrophes. Au total, ce sont 11</w:t>
      </w:r>
      <w:r w:rsidR="008911F2">
        <w:rPr>
          <w:rFonts w:eastAsia="Calibri"/>
          <w:szCs w:val="24"/>
        </w:rPr>
        <w:t> </w:t>
      </w:r>
      <w:r w:rsidRPr="008D20C6">
        <w:rPr>
          <w:rFonts w:eastAsia="Times New Roman" w:cs="Times New Roman"/>
        </w:rPr>
        <w:t>629</w:t>
      </w:r>
      <w:r w:rsidR="008911F2">
        <w:rPr>
          <w:rFonts w:eastAsia="Calibri"/>
          <w:szCs w:val="24"/>
        </w:rPr>
        <w:t> </w:t>
      </w:r>
      <w:r w:rsidRPr="008D20C6">
        <w:rPr>
          <w:rFonts w:eastAsia="Times New Roman" w:cs="Times New Roman"/>
        </w:rPr>
        <w:t>545</w:t>
      </w:r>
      <w:r w:rsidR="008911F2">
        <w:rPr>
          <w:rFonts w:eastAsia="Calibri"/>
          <w:szCs w:val="24"/>
        </w:rPr>
        <w:t> </w:t>
      </w:r>
      <w:r w:rsidRPr="008D20C6">
        <w:rPr>
          <w:rFonts w:eastAsia="Times New Roman" w:cs="Times New Roman"/>
        </w:rPr>
        <w:t xml:space="preserve">000 </w:t>
      </w:r>
      <w:r w:rsidR="00104A7B">
        <w:rPr>
          <w:rFonts w:eastAsia="Times New Roman" w:cs="Times New Roman"/>
        </w:rPr>
        <w:t xml:space="preserve">FCFA </w:t>
      </w:r>
      <w:r w:rsidRPr="008D20C6">
        <w:rPr>
          <w:rFonts w:eastAsia="Times New Roman" w:cs="Times New Roman"/>
        </w:rPr>
        <w:t>qui ont été dépensés pour une prévision initiale de 8</w:t>
      </w:r>
      <w:r w:rsidR="008911F2">
        <w:rPr>
          <w:rFonts w:eastAsia="Calibri"/>
          <w:szCs w:val="24"/>
        </w:rPr>
        <w:t> </w:t>
      </w:r>
      <w:r w:rsidRPr="008D20C6">
        <w:rPr>
          <w:rFonts w:eastAsia="Times New Roman" w:cs="Times New Roman"/>
        </w:rPr>
        <w:t>400</w:t>
      </w:r>
      <w:r w:rsidR="008911F2">
        <w:rPr>
          <w:rFonts w:eastAsia="Calibri"/>
          <w:szCs w:val="24"/>
        </w:rPr>
        <w:t> </w:t>
      </w:r>
      <w:r w:rsidRPr="008D20C6">
        <w:rPr>
          <w:rFonts w:eastAsia="Times New Roman" w:cs="Times New Roman"/>
        </w:rPr>
        <w:t>000</w:t>
      </w:r>
      <w:r w:rsidR="00104A7B">
        <w:rPr>
          <w:rFonts w:eastAsia="Calibri"/>
          <w:szCs w:val="24"/>
        </w:rPr>
        <w:t> </w:t>
      </w:r>
      <w:r w:rsidRPr="008D20C6">
        <w:rPr>
          <w:rFonts w:eastAsia="Times New Roman" w:cs="Times New Roman"/>
        </w:rPr>
        <w:t>000</w:t>
      </w:r>
      <w:r w:rsidR="00104A7B">
        <w:rPr>
          <w:rFonts w:eastAsia="Times New Roman" w:cs="Times New Roman"/>
        </w:rPr>
        <w:t xml:space="preserve"> FCFA</w:t>
      </w:r>
      <w:r w:rsidRPr="008D20C6">
        <w:rPr>
          <w:rFonts w:eastAsia="Times New Roman" w:cs="Times New Roman"/>
        </w:rPr>
        <w:t>.</w:t>
      </w:r>
    </w:p>
    <w:p w14:paraId="04B0B90C" w14:textId="78C302A0" w:rsidR="00436893" w:rsidRPr="00B4222C" w:rsidRDefault="00B4222C" w:rsidP="004C7470">
      <w:pPr>
        <w:keepNext/>
        <w:keepLines/>
        <w:shd w:val="clear" w:color="auto" w:fill="FFFFFF"/>
        <w:spacing w:before="240" w:after="240" w:line="240" w:lineRule="auto"/>
        <w:rPr>
          <w:sz w:val="22"/>
        </w:rPr>
      </w:pPr>
      <w:bookmarkStart w:id="46" w:name="_Toc164503603"/>
      <w:r w:rsidRPr="00B4222C">
        <w:rPr>
          <w:b/>
          <w:bCs/>
          <w:sz w:val="22"/>
          <w:u w:val="single"/>
        </w:rPr>
        <w:t xml:space="preserve">Tableau </w:t>
      </w:r>
      <w:r w:rsidRPr="00B4222C">
        <w:rPr>
          <w:b/>
          <w:bCs/>
          <w:sz w:val="22"/>
          <w:u w:val="single"/>
        </w:rPr>
        <w:fldChar w:fldCharType="begin"/>
      </w:r>
      <w:r w:rsidRPr="00B4222C">
        <w:rPr>
          <w:b/>
          <w:bCs/>
          <w:sz w:val="22"/>
          <w:u w:val="single"/>
        </w:rPr>
        <w:instrText xml:space="preserve"> SEQ Tableau \* ARABIC </w:instrText>
      </w:r>
      <w:r w:rsidRPr="00B4222C">
        <w:rPr>
          <w:b/>
          <w:bCs/>
          <w:sz w:val="22"/>
          <w:u w:val="single"/>
        </w:rPr>
        <w:fldChar w:fldCharType="separate"/>
      </w:r>
      <w:r w:rsidR="007C2E4E">
        <w:rPr>
          <w:b/>
          <w:bCs/>
          <w:noProof/>
          <w:sz w:val="22"/>
          <w:u w:val="single"/>
        </w:rPr>
        <w:t>16</w:t>
      </w:r>
      <w:r w:rsidRPr="00B4222C">
        <w:rPr>
          <w:b/>
          <w:bCs/>
          <w:sz w:val="22"/>
          <w:u w:val="single"/>
        </w:rPr>
        <w:fldChar w:fldCharType="end"/>
      </w:r>
      <w:r w:rsidR="00436893" w:rsidRPr="00B4222C">
        <w:rPr>
          <w:sz w:val="22"/>
        </w:rPr>
        <w:t>: situation des indicateurs de produits de l’action « prise en charge psycho-sociale des victimes et personnes affectées par le terrorisme »</w:t>
      </w:r>
      <w:bookmarkEnd w:id="46"/>
    </w:p>
    <w:tbl>
      <w:tblPr>
        <w:tblStyle w:val="TableauGrille4-Accentuation119"/>
        <w:tblW w:w="5000" w:type="pct"/>
        <w:tblLook w:val="04A0" w:firstRow="1" w:lastRow="0" w:firstColumn="1" w:lastColumn="0" w:noHBand="0" w:noVBand="1"/>
      </w:tblPr>
      <w:tblGrid>
        <w:gridCol w:w="4854"/>
        <w:gridCol w:w="1351"/>
        <w:gridCol w:w="1441"/>
        <w:gridCol w:w="1370"/>
      </w:tblGrid>
      <w:tr w:rsidR="00436893" w14:paraId="1A9706EE" w14:textId="77777777" w:rsidTr="003D2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2" w:type="pct"/>
          </w:tcPr>
          <w:p w14:paraId="0AB7ACD2" w14:textId="38BF7666" w:rsidR="00436893" w:rsidRDefault="00436893" w:rsidP="00F175A7">
            <w:pPr>
              <w:keepNext/>
              <w:keepLines/>
              <w:spacing w:after="0" w:line="240" w:lineRule="auto"/>
            </w:pPr>
            <w:r w:rsidRPr="008D20C6">
              <w:rPr>
                <w:rFonts w:eastAsia="Times New Roman" w:cs="Times New Roman"/>
              </w:rPr>
              <w:t xml:space="preserve">Indicateurs </w:t>
            </w:r>
          </w:p>
        </w:tc>
        <w:tc>
          <w:tcPr>
            <w:tcW w:w="749" w:type="pct"/>
          </w:tcPr>
          <w:p w14:paraId="436DB541" w14:textId="77777777" w:rsidR="00436893" w:rsidRDefault="00436893"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Réal. 2022</w:t>
            </w:r>
          </w:p>
        </w:tc>
        <w:tc>
          <w:tcPr>
            <w:tcW w:w="799" w:type="pct"/>
          </w:tcPr>
          <w:p w14:paraId="62CF4498" w14:textId="77777777" w:rsidR="00436893" w:rsidRDefault="00436893"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Réal.  2023</w:t>
            </w:r>
          </w:p>
        </w:tc>
        <w:tc>
          <w:tcPr>
            <w:tcW w:w="760" w:type="pct"/>
          </w:tcPr>
          <w:p w14:paraId="44876E15" w14:textId="77777777" w:rsidR="00436893" w:rsidRDefault="00436893"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Cible 2023</w:t>
            </w:r>
          </w:p>
        </w:tc>
      </w:tr>
      <w:tr w:rsidR="00436893" w14:paraId="0C043A4D"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2EF19022" w14:textId="72B6DBA8" w:rsidR="00436893" w:rsidRDefault="00436893" w:rsidP="00104A7B">
            <w:pPr>
              <w:keepNext/>
              <w:keepLines/>
              <w:spacing w:after="0" w:line="240" w:lineRule="auto"/>
              <w:ind w:firstLine="0"/>
            </w:pPr>
            <w:r w:rsidRPr="008D20C6">
              <w:rPr>
                <w:rFonts w:eastAsia="Times New Roman" w:cs="Times New Roman"/>
              </w:rPr>
              <w:t xml:space="preserve">Proportion des gendarmes blessés pris en charge </w:t>
            </w:r>
            <w:r w:rsidR="00104A7B">
              <w:rPr>
                <w:rFonts w:eastAsia="Times New Roman" w:cs="Times New Roman"/>
              </w:rPr>
              <w:t>sur le</w:t>
            </w:r>
            <w:r w:rsidRPr="008D20C6">
              <w:rPr>
                <w:rFonts w:eastAsia="Times New Roman" w:cs="Times New Roman"/>
              </w:rPr>
              <w:t xml:space="preserve"> plan psycho</w:t>
            </w:r>
            <w:r w:rsidR="00104A7B">
              <w:rPr>
                <w:rFonts w:eastAsia="Times New Roman" w:cs="Times New Roman"/>
              </w:rPr>
              <w:t>-</w:t>
            </w:r>
            <w:r w:rsidRPr="008D20C6">
              <w:rPr>
                <w:rFonts w:eastAsia="Times New Roman" w:cs="Times New Roman"/>
              </w:rPr>
              <w:t>social</w:t>
            </w:r>
          </w:p>
        </w:tc>
        <w:tc>
          <w:tcPr>
            <w:tcW w:w="749" w:type="pct"/>
          </w:tcPr>
          <w:p w14:paraId="0433409F"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99" w:type="pct"/>
          </w:tcPr>
          <w:p w14:paraId="3D42C630"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60" w:type="pct"/>
          </w:tcPr>
          <w:p w14:paraId="45BA02A4"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r>
      <w:tr w:rsidR="00436893" w14:paraId="448AE37D" w14:textId="77777777" w:rsidTr="00E52836">
        <w:tc>
          <w:tcPr>
            <w:cnfStyle w:val="001000000000" w:firstRow="0" w:lastRow="0" w:firstColumn="1" w:lastColumn="0" w:oddVBand="0" w:evenVBand="0" w:oddHBand="0" w:evenHBand="0" w:firstRowFirstColumn="0" w:firstRowLastColumn="0" w:lastRowFirstColumn="0" w:lastRowLastColumn="0"/>
            <w:tcW w:w="2692" w:type="pct"/>
          </w:tcPr>
          <w:p w14:paraId="193D64F5" w14:textId="71C3347D" w:rsidR="00436893" w:rsidRDefault="00436893" w:rsidP="00F175A7">
            <w:pPr>
              <w:keepNext/>
              <w:keepLines/>
              <w:spacing w:after="0" w:line="240" w:lineRule="auto"/>
              <w:ind w:firstLine="0"/>
            </w:pPr>
            <w:r w:rsidRPr="008D20C6">
              <w:rPr>
                <w:rFonts w:eastAsia="Times New Roman" w:cs="Times New Roman"/>
              </w:rPr>
              <w:t>Proportion des familles de gendarmes portés disparus pris</w:t>
            </w:r>
            <w:r w:rsidR="00104A7B">
              <w:rPr>
                <w:rFonts w:eastAsia="Times New Roman" w:cs="Times New Roman"/>
              </w:rPr>
              <w:t>es</w:t>
            </w:r>
            <w:r w:rsidRPr="008D20C6">
              <w:rPr>
                <w:rFonts w:eastAsia="Times New Roman" w:cs="Times New Roman"/>
              </w:rPr>
              <w:t xml:space="preserve"> en charge</w:t>
            </w:r>
          </w:p>
        </w:tc>
        <w:tc>
          <w:tcPr>
            <w:tcW w:w="749" w:type="pct"/>
          </w:tcPr>
          <w:p w14:paraId="6356BB55"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c>
          <w:tcPr>
            <w:tcW w:w="799" w:type="pct"/>
          </w:tcPr>
          <w:p w14:paraId="115D8BCA"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c>
          <w:tcPr>
            <w:tcW w:w="760" w:type="pct"/>
          </w:tcPr>
          <w:p w14:paraId="4CC88B0A"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r>
      <w:tr w:rsidR="00436893" w14:paraId="36D5A446"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1F45F89F" w14:textId="14B2EBDC" w:rsidR="00436893" w:rsidRDefault="00436893" w:rsidP="00104A7B">
            <w:pPr>
              <w:keepNext/>
              <w:keepLines/>
              <w:spacing w:after="0" w:line="240" w:lineRule="auto"/>
              <w:ind w:firstLine="0"/>
            </w:pPr>
            <w:r w:rsidRPr="008D20C6">
              <w:rPr>
                <w:rFonts w:eastAsia="Times New Roman" w:cs="Times New Roman"/>
              </w:rPr>
              <w:t xml:space="preserve">Proportion de policiers blessés pris en charge </w:t>
            </w:r>
            <w:r w:rsidR="00104A7B">
              <w:rPr>
                <w:rFonts w:eastAsia="Times New Roman" w:cs="Times New Roman"/>
              </w:rPr>
              <w:t xml:space="preserve">sur le </w:t>
            </w:r>
            <w:r w:rsidRPr="008D20C6">
              <w:rPr>
                <w:rFonts w:eastAsia="Times New Roman" w:cs="Times New Roman"/>
              </w:rPr>
              <w:t>plan psycho</w:t>
            </w:r>
            <w:r w:rsidR="00104A7B">
              <w:rPr>
                <w:rFonts w:eastAsia="Times New Roman" w:cs="Times New Roman"/>
              </w:rPr>
              <w:t>-</w:t>
            </w:r>
            <w:r w:rsidRPr="008D20C6">
              <w:rPr>
                <w:rFonts w:eastAsia="Times New Roman" w:cs="Times New Roman"/>
              </w:rPr>
              <w:t>social</w:t>
            </w:r>
          </w:p>
        </w:tc>
        <w:tc>
          <w:tcPr>
            <w:tcW w:w="749" w:type="pct"/>
          </w:tcPr>
          <w:p w14:paraId="5A5FA6CE"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99" w:type="pct"/>
          </w:tcPr>
          <w:p w14:paraId="228F0BC6"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60" w:type="pct"/>
          </w:tcPr>
          <w:p w14:paraId="64C363B9"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r>
      <w:tr w:rsidR="00436893" w14:paraId="4E650B5E" w14:textId="77777777" w:rsidTr="00E52836">
        <w:tc>
          <w:tcPr>
            <w:cnfStyle w:val="001000000000" w:firstRow="0" w:lastRow="0" w:firstColumn="1" w:lastColumn="0" w:oddVBand="0" w:evenVBand="0" w:oddHBand="0" w:evenHBand="0" w:firstRowFirstColumn="0" w:firstRowLastColumn="0" w:lastRowFirstColumn="0" w:lastRowLastColumn="0"/>
            <w:tcW w:w="2692" w:type="pct"/>
          </w:tcPr>
          <w:p w14:paraId="3D0BD2C5" w14:textId="717BA0CA" w:rsidR="00436893" w:rsidRDefault="00436893" w:rsidP="00104A7B">
            <w:pPr>
              <w:keepNext/>
              <w:keepLines/>
              <w:spacing w:after="0" w:line="240" w:lineRule="auto"/>
              <w:ind w:firstLine="0"/>
            </w:pPr>
            <w:r w:rsidRPr="008D20C6">
              <w:rPr>
                <w:rFonts w:eastAsia="Times New Roman" w:cs="Times New Roman"/>
              </w:rPr>
              <w:t>Proportion des familles des policiers disparus pris</w:t>
            </w:r>
            <w:r w:rsidR="00104A7B">
              <w:rPr>
                <w:rFonts w:eastAsia="Times New Roman" w:cs="Times New Roman"/>
              </w:rPr>
              <w:t>es</w:t>
            </w:r>
            <w:r w:rsidRPr="008D20C6">
              <w:rPr>
                <w:rFonts w:eastAsia="Times New Roman" w:cs="Times New Roman"/>
              </w:rPr>
              <w:t xml:space="preserve"> en charge </w:t>
            </w:r>
            <w:r w:rsidR="00104A7B">
              <w:rPr>
                <w:rFonts w:eastAsia="Times New Roman" w:cs="Times New Roman"/>
              </w:rPr>
              <w:t xml:space="preserve">sur le </w:t>
            </w:r>
            <w:r w:rsidRPr="008D20C6">
              <w:rPr>
                <w:rFonts w:eastAsia="Times New Roman" w:cs="Times New Roman"/>
              </w:rPr>
              <w:t>plan psycho</w:t>
            </w:r>
            <w:r w:rsidR="00104A7B">
              <w:rPr>
                <w:rFonts w:eastAsia="Times New Roman" w:cs="Times New Roman"/>
              </w:rPr>
              <w:t>-</w:t>
            </w:r>
            <w:r w:rsidRPr="008D20C6">
              <w:rPr>
                <w:rFonts w:eastAsia="Times New Roman" w:cs="Times New Roman"/>
              </w:rPr>
              <w:t>social</w:t>
            </w:r>
          </w:p>
        </w:tc>
        <w:tc>
          <w:tcPr>
            <w:tcW w:w="749" w:type="pct"/>
          </w:tcPr>
          <w:p w14:paraId="09A19208"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c>
          <w:tcPr>
            <w:tcW w:w="799" w:type="pct"/>
          </w:tcPr>
          <w:p w14:paraId="166BF4CE"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c>
          <w:tcPr>
            <w:tcW w:w="760" w:type="pct"/>
          </w:tcPr>
          <w:p w14:paraId="469B49A5"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r>
      <w:tr w:rsidR="00436893" w14:paraId="2F95FDE9"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1571F97B" w14:textId="77777777" w:rsidR="00436893" w:rsidRDefault="00436893" w:rsidP="00F175A7">
            <w:pPr>
              <w:keepNext/>
              <w:keepLines/>
              <w:spacing w:after="0" w:line="240" w:lineRule="auto"/>
              <w:ind w:firstLine="0"/>
            </w:pPr>
            <w:r w:rsidRPr="008D20C6">
              <w:rPr>
                <w:rFonts w:eastAsia="Times New Roman" w:cs="Times New Roman"/>
              </w:rPr>
              <w:t>Nombre d'agents de l'administration du territoire victimes d'actes terroristes pris en charge</w:t>
            </w:r>
          </w:p>
        </w:tc>
        <w:tc>
          <w:tcPr>
            <w:tcW w:w="749" w:type="pct"/>
          </w:tcPr>
          <w:p w14:paraId="507C9F7A"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99" w:type="pct"/>
          </w:tcPr>
          <w:p w14:paraId="57FEE336"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60" w:type="pct"/>
          </w:tcPr>
          <w:p w14:paraId="685F6AED"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PM</w:t>
            </w:r>
          </w:p>
        </w:tc>
      </w:tr>
      <w:tr w:rsidR="00436893" w14:paraId="407910C5" w14:textId="77777777" w:rsidTr="00E52836">
        <w:tc>
          <w:tcPr>
            <w:cnfStyle w:val="001000000000" w:firstRow="0" w:lastRow="0" w:firstColumn="1" w:lastColumn="0" w:oddVBand="0" w:evenVBand="0" w:oddHBand="0" w:evenHBand="0" w:firstRowFirstColumn="0" w:firstRowLastColumn="0" w:lastRowFirstColumn="0" w:lastRowLastColumn="0"/>
            <w:tcW w:w="2692" w:type="pct"/>
          </w:tcPr>
          <w:p w14:paraId="283A9821" w14:textId="40436D8C" w:rsidR="00436893" w:rsidRDefault="00436893" w:rsidP="00104A7B">
            <w:pPr>
              <w:keepNext/>
              <w:keepLines/>
              <w:spacing w:after="0" w:line="240" w:lineRule="auto"/>
              <w:ind w:firstLine="0"/>
            </w:pPr>
            <w:r w:rsidRPr="008D20C6">
              <w:rPr>
                <w:rFonts w:eastAsia="Times New Roman" w:cs="Times New Roman"/>
              </w:rPr>
              <w:t xml:space="preserve">Proportion des agents des </w:t>
            </w:r>
            <w:r w:rsidR="00104A7B">
              <w:rPr>
                <w:rFonts w:eastAsia="Times New Roman" w:cs="Times New Roman"/>
              </w:rPr>
              <w:t>e</w:t>
            </w:r>
            <w:r w:rsidRPr="008D20C6">
              <w:rPr>
                <w:rFonts w:eastAsia="Times New Roman" w:cs="Times New Roman"/>
              </w:rPr>
              <w:t xml:space="preserve">aux et forêts blessés pris en charge </w:t>
            </w:r>
            <w:r w:rsidR="00104A7B">
              <w:rPr>
                <w:rFonts w:eastAsia="Times New Roman" w:cs="Times New Roman"/>
              </w:rPr>
              <w:t xml:space="preserve">sur le </w:t>
            </w:r>
            <w:r w:rsidRPr="008D20C6">
              <w:rPr>
                <w:rFonts w:eastAsia="Times New Roman" w:cs="Times New Roman"/>
              </w:rPr>
              <w:t>plan psycho</w:t>
            </w:r>
            <w:r w:rsidR="00104A7B">
              <w:rPr>
                <w:rFonts w:eastAsia="Times New Roman" w:cs="Times New Roman"/>
              </w:rPr>
              <w:t>-</w:t>
            </w:r>
            <w:r w:rsidRPr="008D20C6">
              <w:rPr>
                <w:rFonts w:eastAsia="Times New Roman" w:cs="Times New Roman"/>
              </w:rPr>
              <w:t>social</w:t>
            </w:r>
          </w:p>
        </w:tc>
        <w:tc>
          <w:tcPr>
            <w:tcW w:w="749" w:type="pct"/>
          </w:tcPr>
          <w:p w14:paraId="6AEB0493"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c>
          <w:tcPr>
            <w:tcW w:w="799" w:type="pct"/>
          </w:tcPr>
          <w:p w14:paraId="551B6C65"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100</w:t>
            </w:r>
          </w:p>
        </w:tc>
        <w:tc>
          <w:tcPr>
            <w:tcW w:w="760" w:type="pct"/>
          </w:tcPr>
          <w:p w14:paraId="181A353D"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PM</w:t>
            </w:r>
          </w:p>
        </w:tc>
      </w:tr>
      <w:tr w:rsidR="00436893" w14:paraId="6B6806BA"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7F852476" w14:textId="088A5DC7" w:rsidR="00436893" w:rsidRDefault="00436893" w:rsidP="00104A7B">
            <w:pPr>
              <w:keepNext/>
              <w:keepLines/>
              <w:spacing w:after="0" w:line="240" w:lineRule="auto"/>
              <w:ind w:firstLine="0"/>
            </w:pPr>
            <w:r w:rsidRPr="008D20C6">
              <w:rPr>
                <w:rFonts w:eastAsia="Times New Roman" w:cs="Times New Roman"/>
              </w:rPr>
              <w:t xml:space="preserve">Proportion des familles des agents des </w:t>
            </w:r>
            <w:r w:rsidR="00104A7B">
              <w:rPr>
                <w:rFonts w:eastAsia="Times New Roman" w:cs="Times New Roman"/>
              </w:rPr>
              <w:t>e</w:t>
            </w:r>
            <w:r w:rsidRPr="008D20C6">
              <w:rPr>
                <w:rFonts w:eastAsia="Times New Roman" w:cs="Times New Roman"/>
              </w:rPr>
              <w:t xml:space="preserve">aux et forêts portés disparus prises en charge </w:t>
            </w:r>
            <w:r w:rsidR="00104A7B">
              <w:rPr>
                <w:rFonts w:eastAsia="Times New Roman" w:cs="Times New Roman"/>
              </w:rPr>
              <w:t xml:space="preserve">sur le </w:t>
            </w:r>
            <w:r w:rsidRPr="008D20C6">
              <w:rPr>
                <w:rFonts w:eastAsia="Times New Roman" w:cs="Times New Roman"/>
              </w:rPr>
              <w:t>plan psycho social</w:t>
            </w:r>
          </w:p>
        </w:tc>
        <w:tc>
          <w:tcPr>
            <w:tcW w:w="749" w:type="pct"/>
          </w:tcPr>
          <w:p w14:paraId="31D4CD56"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99" w:type="pct"/>
          </w:tcPr>
          <w:p w14:paraId="4BD6297E"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100</w:t>
            </w:r>
          </w:p>
        </w:tc>
        <w:tc>
          <w:tcPr>
            <w:tcW w:w="760" w:type="pct"/>
          </w:tcPr>
          <w:p w14:paraId="7202AB06"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PM</w:t>
            </w:r>
          </w:p>
        </w:tc>
      </w:tr>
      <w:tr w:rsidR="00436893" w14:paraId="5C56C49E" w14:textId="77777777" w:rsidTr="00E52836">
        <w:tc>
          <w:tcPr>
            <w:cnfStyle w:val="001000000000" w:firstRow="0" w:lastRow="0" w:firstColumn="1" w:lastColumn="0" w:oddVBand="0" w:evenVBand="0" w:oddHBand="0" w:evenHBand="0" w:firstRowFirstColumn="0" w:firstRowLastColumn="0" w:lastRowFirstColumn="0" w:lastRowLastColumn="0"/>
            <w:tcW w:w="2692" w:type="pct"/>
          </w:tcPr>
          <w:p w14:paraId="10D71006" w14:textId="249B131B" w:rsidR="00436893" w:rsidRDefault="00436893" w:rsidP="00104A7B">
            <w:pPr>
              <w:keepNext/>
              <w:keepLines/>
              <w:spacing w:after="0" w:line="240" w:lineRule="auto"/>
              <w:ind w:firstLine="0"/>
            </w:pPr>
            <w:r w:rsidRPr="008D20C6">
              <w:rPr>
                <w:rFonts w:eastAsia="Times New Roman" w:cs="Times New Roman"/>
              </w:rPr>
              <w:t xml:space="preserve">Nombre de PDI et victimes de catastrophes prises en charge </w:t>
            </w:r>
            <w:r w:rsidR="00104A7B">
              <w:rPr>
                <w:rFonts w:eastAsia="Times New Roman" w:cs="Times New Roman"/>
              </w:rPr>
              <w:t xml:space="preserve">sur le </w:t>
            </w:r>
            <w:r w:rsidRPr="008D20C6">
              <w:rPr>
                <w:rFonts w:eastAsia="Times New Roman" w:cs="Times New Roman"/>
              </w:rPr>
              <w:t>plan psycho</w:t>
            </w:r>
            <w:r w:rsidR="00104A7B">
              <w:rPr>
                <w:rFonts w:eastAsia="Times New Roman" w:cs="Times New Roman"/>
              </w:rPr>
              <w:t>-</w:t>
            </w:r>
            <w:r w:rsidRPr="008D20C6">
              <w:rPr>
                <w:rFonts w:eastAsia="Times New Roman" w:cs="Times New Roman"/>
              </w:rPr>
              <w:t>social</w:t>
            </w:r>
          </w:p>
        </w:tc>
        <w:tc>
          <w:tcPr>
            <w:tcW w:w="749" w:type="pct"/>
          </w:tcPr>
          <w:p w14:paraId="258E72CC"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4 200 000</w:t>
            </w:r>
          </w:p>
        </w:tc>
        <w:tc>
          <w:tcPr>
            <w:tcW w:w="799" w:type="pct"/>
          </w:tcPr>
          <w:p w14:paraId="64D6D3EC"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3 327 721</w:t>
            </w:r>
          </w:p>
        </w:tc>
        <w:tc>
          <w:tcPr>
            <w:tcW w:w="760" w:type="pct"/>
          </w:tcPr>
          <w:p w14:paraId="208D0071" w14:textId="77777777" w:rsidR="00436893" w:rsidRDefault="0043689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4 200 000</w:t>
            </w:r>
          </w:p>
        </w:tc>
      </w:tr>
      <w:tr w:rsidR="00436893" w14:paraId="656E7A90"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07C1CBE0" w14:textId="77777777" w:rsidR="00436893" w:rsidRDefault="00436893" w:rsidP="00F175A7">
            <w:pPr>
              <w:keepNext/>
              <w:keepLines/>
              <w:spacing w:after="0" w:line="240" w:lineRule="auto"/>
              <w:ind w:firstLine="0"/>
            </w:pPr>
            <w:r w:rsidRPr="008D20C6">
              <w:rPr>
                <w:rFonts w:eastAsia="Times New Roman" w:cs="Times New Roman"/>
              </w:rPr>
              <w:t>Nombre de femmes et filles (y compris les PDI) victimes de violences prises en charge</w:t>
            </w:r>
          </w:p>
        </w:tc>
        <w:tc>
          <w:tcPr>
            <w:tcW w:w="749" w:type="pct"/>
          </w:tcPr>
          <w:p w14:paraId="30B7081F"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6 000</w:t>
            </w:r>
          </w:p>
        </w:tc>
        <w:tc>
          <w:tcPr>
            <w:tcW w:w="799" w:type="pct"/>
          </w:tcPr>
          <w:p w14:paraId="78BF6C7E"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35 442</w:t>
            </w:r>
          </w:p>
        </w:tc>
        <w:tc>
          <w:tcPr>
            <w:tcW w:w="760" w:type="pct"/>
          </w:tcPr>
          <w:p w14:paraId="62B218CE" w14:textId="77777777" w:rsidR="00436893" w:rsidRDefault="0043689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2 000</w:t>
            </w:r>
          </w:p>
        </w:tc>
      </w:tr>
    </w:tbl>
    <w:p w14:paraId="5A60DD72" w14:textId="7CB6C862" w:rsidR="00436893" w:rsidRPr="008D20C6" w:rsidRDefault="00436893" w:rsidP="004C7470">
      <w:pPr>
        <w:keepNext/>
        <w:keepLines/>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Pr="008D20C6">
        <w:rPr>
          <w:rFonts w:eastAsia="Times New Roman" w:cs="Times New Roman"/>
          <w:sz w:val="20"/>
          <w:szCs w:val="20"/>
        </w:rPr>
        <w:t xml:space="preserve"> : Rapport </w:t>
      </w:r>
      <w:r w:rsidR="00603CB3">
        <w:rPr>
          <w:rFonts w:eastAsia="Times New Roman" w:cs="Times New Roman"/>
          <w:sz w:val="20"/>
          <w:szCs w:val="20"/>
        </w:rPr>
        <w:t xml:space="preserve">annuel </w:t>
      </w:r>
      <w:r w:rsidRPr="008D20C6">
        <w:rPr>
          <w:rFonts w:eastAsia="Times New Roman" w:cs="Times New Roman"/>
          <w:sz w:val="20"/>
          <w:szCs w:val="20"/>
        </w:rPr>
        <w:t>de performance 2023 des CSD DS, février 2024</w:t>
      </w:r>
    </w:p>
    <w:p w14:paraId="511C5746" w14:textId="15D66B0D"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Les produits planifiés par le secteur TEPS et dont le détail est consigné dans le tableau ci-après, ont également atteint leur cible en terme</w:t>
      </w:r>
      <w:r w:rsidR="008911F2">
        <w:rPr>
          <w:rFonts w:eastAsia="Times New Roman" w:cs="Times New Roman"/>
        </w:rPr>
        <w:t>s</w:t>
      </w:r>
      <w:r w:rsidRPr="008D20C6">
        <w:rPr>
          <w:rFonts w:eastAsia="Times New Roman" w:cs="Times New Roman"/>
        </w:rPr>
        <w:t xml:space="preserve"> de réalisation. Il s’agit pour l’essentiel de </w:t>
      </w:r>
      <w:r w:rsidRPr="008D20C6">
        <w:rPr>
          <w:rFonts w:eastAsia="Times New Roman" w:cs="Times New Roman"/>
        </w:rPr>
        <w:lastRenderedPageBreak/>
        <w:t>l’octroi de subventions aux élèves déplacés internes chef</w:t>
      </w:r>
      <w:r w:rsidR="00104A7B">
        <w:rPr>
          <w:rFonts w:eastAsia="Times New Roman" w:cs="Times New Roman"/>
        </w:rPr>
        <w:t>s</w:t>
      </w:r>
      <w:r w:rsidRPr="008D20C6">
        <w:rPr>
          <w:rFonts w:eastAsia="Times New Roman" w:cs="Times New Roman"/>
        </w:rPr>
        <w:t xml:space="preserve"> de ménage et à la scolarisation des filles et enfants vulnérables ainsi que par la dotation des élèves en kits scolaires et des filles en kits d’hygiène.</w:t>
      </w:r>
    </w:p>
    <w:p w14:paraId="474CF1BE" w14:textId="6F086D86" w:rsidR="00436893" w:rsidRPr="00B4222C" w:rsidRDefault="00B4222C" w:rsidP="00436893">
      <w:pPr>
        <w:shd w:val="clear" w:color="auto" w:fill="FFFFFF"/>
        <w:spacing w:before="240" w:after="240" w:line="240" w:lineRule="auto"/>
        <w:rPr>
          <w:sz w:val="22"/>
        </w:rPr>
      </w:pPr>
      <w:bookmarkStart w:id="47" w:name="_Toc164503604"/>
      <w:r w:rsidRPr="00B4222C">
        <w:rPr>
          <w:b/>
          <w:bCs/>
          <w:sz w:val="22"/>
          <w:u w:val="single"/>
        </w:rPr>
        <w:t xml:space="preserve">Tableau </w:t>
      </w:r>
      <w:r w:rsidRPr="00B4222C">
        <w:rPr>
          <w:b/>
          <w:bCs/>
          <w:sz w:val="22"/>
          <w:u w:val="single"/>
        </w:rPr>
        <w:fldChar w:fldCharType="begin"/>
      </w:r>
      <w:r w:rsidRPr="00B4222C">
        <w:rPr>
          <w:b/>
          <w:bCs/>
          <w:sz w:val="22"/>
          <w:u w:val="single"/>
        </w:rPr>
        <w:instrText xml:space="preserve"> SEQ Tableau \* ARABIC </w:instrText>
      </w:r>
      <w:r w:rsidRPr="00B4222C">
        <w:rPr>
          <w:b/>
          <w:bCs/>
          <w:sz w:val="22"/>
          <w:u w:val="single"/>
        </w:rPr>
        <w:fldChar w:fldCharType="separate"/>
      </w:r>
      <w:r w:rsidR="007C2E4E">
        <w:rPr>
          <w:b/>
          <w:bCs/>
          <w:noProof/>
          <w:sz w:val="22"/>
          <w:u w:val="single"/>
        </w:rPr>
        <w:t>17</w:t>
      </w:r>
      <w:r w:rsidRPr="00B4222C">
        <w:rPr>
          <w:b/>
          <w:bCs/>
          <w:sz w:val="22"/>
          <w:u w:val="single"/>
        </w:rPr>
        <w:fldChar w:fldCharType="end"/>
      </w:r>
      <w:r w:rsidR="00436893" w:rsidRPr="00B4222C">
        <w:rPr>
          <w:sz w:val="22"/>
        </w:rPr>
        <w:t xml:space="preserve">: </w:t>
      </w:r>
      <w:r w:rsidR="00751F8E">
        <w:rPr>
          <w:sz w:val="22"/>
        </w:rPr>
        <w:t>s</w:t>
      </w:r>
      <w:r w:rsidR="00436893" w:rsidRPr="00B4222C">
        <w:rPr>
          <w:sz w:val="22"/>
        </w:rPr>
        <w:t>ituation des indicateurs de produits en matière de prise en charge psychosociale des victimes et personnes affectées par le terrorisme au 31 décembre 2023</w:t>
      </w:r>
      <w:bookmarkEnd w:id="47"/>
    </w:p>
    <w:tbl>
      <w:tblPr>
        <w:tblStyle w:val="TableauGrille4-Accentuation119"/>
        <w:tblW w:w="5000" w:type="pct"/>
        <w:tblLook w:val="04A0" w:firstRow="1" w:lastRow="0" w:firstColumn="1" w:lastColumn="0" w:noHBand="0" w:noVBand="1"/>
      </w:tblPr>
      <w:tblGrid>
        <w:gridCol w:w="5306"/>
        <w:gridCol w:w="1260"/>
        <w:gridCol w:w="1260"/>
        <w:gridCol w:w="1190"/>
      </w:tblGrid>
      <w:tr w:rsidR="00436893" w14:paraId="7329EA51" w14:textId="77777777" w:rsidTr="003D2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2" w:type="pct"/>
          </w:tcPr>
          <w:p w14:paraId="6DE2F3A4" w14:textId="3A27D299" w:rsidR="00436893" w:rsidRDefault="00436893" w:rsidP="00F175A7">
            <w:pPr>
              <w:spacing w:after="0" w:line="240" w:lineRule="auto"/>
              <w:ind w:firstLine="0"/>
            </w:pPr>
            <w:r w:rsidRPr="008D20C6">
              <w:rPr>
                <w:rFonts w:eastAsia="Times New Roman" w:cs="Times New Roman"/>
              </w:rPr>
              <w:t xml:space="preserve">Indicateurs </w:t>
            </w:r>
          </w:p>
        </w:tc>
        <w:tc>
          <w:tcPr>
            <w:tcW w:w="699" w:type="pct"/>
          </w:tcPr>
          <w:p w14:paraId="36A9D0D1" w14:textId="77777777" w:rsidR="00436893"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Réal 2022</w:t>
            </w:r>
          </w:p>
        </w:tc>
        <w:tc>
          <w:tcPr>
            <w:tcW w:w="699" w:type="pct"/>
          </w:tcPr>
          <w:p w14:paraId="2BBCADAE" w14:textId="77777777" w:rsidR="00436893"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Réal 2023</w:t>
            </w:r>
          </w:p>
        </w:tc>
        <w:tc>
          <w:tcPr>
            <w:tcW w:w="660" w:type="pct"/>
          </w:tcPr>
          <w:p w14:paraId="005FB831" w14:textId="77777777" w:rsidR="00436893"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8D20C6">
              <w:rPr>
                <w:rFonts w:eastAsia="Times New Roman" w:cs="Times New Roman"/>
              </w:rPr>
              <w:t>Cible 2023</w:t>
            </w:r>
          </w:p>
        </w:tc>
      </w:tr>
      <w:tr w:rsidR="00436893" w14:paraId="4E1639DF"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2A0F2050" w14:textId="77777777" w:rsidR="00436893" w:rsidRDefault="00436893" w:rsidP="00F175A7">
            <w:pPr>
              <w:spacing w:after="0" w:line="240" w:lineRule="auto"/>
              <w:ind w:firstLine="0"/>
            </w:pPr>
            <w:r w:rsidRPr="008D20C6">
              <w:rPr>
                <w:rFonts w:eastAsia="Times New Roman" w:cs="Times New Roman"/>
              </w:rPr>
              <w:t>Nombre d'enfants bénéficiaires d'appui psychosocial</w:t>
            </w:r>
          </w:p>
        </w:tc>
        <w:tc>
          <w:tcPr>
            <w:tcW w:w="699" w:type="pct"/>
          </w:tcPr>
          <w:p w14:paraId="21575ABB"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0</w:t>
            </w:r>
          </w:p>
        </w:tc>
        <w:tc>
          <w:tcPr>
            <w:tcW w:w="699" w:type="pct"/>
          </w:tcPr>
          <w:p w14:paraId="2F407E38"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500</w:t>
            </w:r>
          </w:p>
        </w:tc>
        <w:tc>
          <w:tcPr>
            <w:tcW w:w="660" w:type="pct"/>
          </w:tcPr>
          <w:p w14:paraId="5836EC5B"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500</w:t>
            </w:r>
          </w:p>
        </w:tc>
      </w:tr>
      <w:tr w:rsidR="00436893" w14:paraId="393CEFB8" w14:textId="77777777" w:rsidTr="00E52836">
        <w:tc>
          <w:tcPr>
            <w:cnfStyle w:val="001000000000" w:firstRow="0" w:lastRow="0" w:firstColumn="1" w:lastColumn="0" w:oddVBand="0" w:evenVBand="0" w:oddHBand="0" w:evenHBand="0" w:firstRowFirstColumn="0" w:firstRowLastColumn="0" w:lastRowFirstColumn="0" w:lastRowLastColumn="0"/>
            <w:tcW w:w="2942" w:type="pct"/>
          </w:tcPr>
          <w:p w14:paraId="45B6FF8C" w14:textId="77777777" w:rsidR="00436893" w:rsidRDefault="00436893" w:rsidP="00F175A7">
            <w:pPr>
              <w:spacing w:after="0" w:line="240" w:lineRule="auto"/>
              <w:ind w:firstLine="0"/>
            </w:pPr>
            <w:r w:rsidRPr="008D20C6">
              <w:rPr>
                <w:rFonts w:eastAsia="Times New Roman" w:cs="Times New Roman"/>
              </w:rPr>
              <w:t>Nombre d'élèves chefs de ménage bénéficiaires de la subvention</w:t>
            </w:r>
          </w:p>
        </w:tc>
        <w:tc>
          <w:tcPr>
            <w:tcW w:w="699" w:type="pct"/>
          </w:tcPr>
          <w:p w14:paraId="1876680B" w14:textId="77777777" w:rsidR="00436893"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470</w:t>
            </w:r>
          </w:p>
        </w:tc>
        <w:tc>
          <w:tcPr>
            <w:tcW w:w="699" w:type="pct"/>
          </w:tcPr>
          <w:p w14:paraId="11821ABB" w14:textId="77777777" w:rsidR="00436893"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750</w:t>
            </w:r>
          </w:p>
        </w:tc>
        <w:tc>
          <w:tcPr>
            <w:tcW w:w="660" w:type="pct"/>
          </w:tcPr>
          <w:p w14:paraId="47483C45" w14:textId="77777777" w:rsidR="00436893"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250</w:t>
            </w:r>
          </w:p>
        </w:tc>
      </w:tr>
      <w:tr w:rsidR="00436893" w14:paraId="1A34E22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71C538B6" w14:textId="77777777" w:rsidR="00436893" w:rsidRDefault="00436893" w:rsidP="00F175A7">
            <w:pPr>
              <w:spacing w:after="0" w:line="240" w:lineRule="auto"/>
              <w:ind w:firstLine="0"/>
            </w:pPr>
            <w:r w:rsidRPr="008D20C6">
              <w:rPr>
                <w:rFonts w:eastAsia="Times New Roman" w:cs="Times New Roman"/>
              </w:rPr>
              <w:t>Nombre de filles et enfants vulnérables déplacés bénéficiaires de la subvention</w:t>
            </w:r>
          </w:p>
        </w:tc>
        <w:tc>
          <w:tcPr>
            <w:tcW w:w="699" w:type="pct"/>
          </w:tcPr>
          <w:p w14:paraId="361D9A46"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430</w:t>
            </w:r>
          </w:p>
        </w:tc>
        <w:tc>
          <w:tcPr>
            <w:tcW w:w="699" w:type="pct"/>
          </w:tcPr>
          <w:p w14:paraId="28B44885"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250</w:t>
            </w:r>
          </w:p>
        </w:tc>
        <w:tc>
          <w:tcPr>
            <w:tcW w:w="660" w:type="pct"/>
          </w:tcPr>
          <w:p w14:paraId="274EEF09"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250</w:t>
            </w:r>
          </w:p>
        </w:tc>
      </w:tr>
      <w:tr w:rsidR="00436893" w14:paraId="028023BB" w14:textId="77777777" w:rsidTr="00E52836">
        <w:tc>
          <w:tcPr>
            <w:cnfStyle w:val="001000000000" w:firstRow="0" w:lastRow="0" w:firstColumn="1" w:lastColumn="0" w:oddVBand="0" w:evenVBand="0" w:oddHBand="0" w:evenHBand="0" w:firstRowFirstColumn="0" w:firstRowLastColumn="0" w:lastRowFirstColumn="0" w:lastRowLastColumn="0"/>
            <w:tcW w:w="2942" w:type="pct"/>
          </w:tcPr>
          <w:p w14:paraId="79D46FEB" w14:textId="77777777" w:rsidR="00436893" w:rsidRDefault="00436893" w:rsidP="00F175A7">
            <w:pPr>
              <w:spacing w:after="0" w:line="240" w:lineRule="auto"/>
              <w:ind w:firstLine="0"/>
            </w:pPr>
            <w:r w:rsidRPr="008D20C6">
              <w:rPr>
                <w:rFonts w:eastAsia="Times New Roman" w:cs="Times New Roman"/>
              </w:rPr>
              <w:t>Nombre d'élèves bénéficiaires de kits scolaires</w:t>
            </w:r>
          </w:p>
        </w:tc>
        <w:tc>
          <w:tcPr>
            <w:tcW w:w="699" w:type="pct"/>
          </w:tcPr>
          <w:p w14:paraId="65D67957" w14:textId="77777777" w:rsidR="00436893"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51 000</w:t>
            </w:r>
          </w:p>
        </w:tc>
        <w:tc>
          <w:tcPr>
            <w:tcW w:w="699" w:type="pct"/>
          </w:tcPr>
          <w:p w14:paraId="6FF9D8E4" w14:textId="77777777" w:rsidR="00436893"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34 000</w:t>
            </w:r>
          </w:p>
        </w:tc>
        <w:tc>
          <w:tcPr>
            <w:tcW w:w="660" w:type="pct"/>
          </w:tcPr>
          <w:p w14:paraId="5F029E4F" w14:textId="77777777" w:rsidR="00436893"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8D20C6">
              <w:rPr>
                <w:rFonts w:eastAsia="Times New Roman" w:cs="Times New Roman"/>
              </w:rPr>
              <w:t>34 000</w:t>
            </w:r>
          </w:p>
        </w:tc>
      </w:tr>
      <w:tr w:rsidR="00436893" w14:paraId="1140B58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pct"/>
          </w:tcPr>
          <w:p w14:paraId="08E7670C" w14:textId="77777777" w:rsidR="00436893" w:rsidRDefault="00436893" w:rsidP="00F175A7">
            <w:pPr>
              <w:spacing w:after="0" w:line="240" w:lineRule="auto"/>
              <w:ind w:firstLine="0"/>
            </w:pPr>
            <w:r w:rsidRPr="008D20C6">
              <w:rPr>
                <w:rFonts w:eastAsia="Times New Roman" w:cs="Times New Roman"/>
              </w:rPr>
              <w:t>Nombre de filles vulnérables dotées en kits d’hygiène</w:t>
            </w:r>
          </w:p>
        </w:tc>
        <w:tc>
          <w:tcPr>
            <w:tcW w:w="699" w:type="pct"/>
          </w:tcPr>
          <w:p w14:paraId="3068EDFC"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7 068</w:t>
            </w:r>
          </w:p>
        </w:tc>
        <w:tc>
          <w:tcPr>
            <w:tcW w:w="699" w:type="pct"/>
          </w:tcPr>
          <w:p w14:paraId="447EB6FA"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18 960</w:t>
            </w:r>
          </w:p>
        </w:tc>
        <w:tc>
          <w:tcPr>
            <w:tcW w:w="660" w:type="pct"/>
          </w:tcPr>
          <w:p w14:paraId="4C3E68A1" w14:textId="77777777" w:rsidR="00436893"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8D20C6">
              <w:rPr>
                <w:rFonts w:eastAsia="Times New Roman" w:cs="Times New Roman"/>
              </w:rPr>
              <w:t>8 000</w:t>
            </w:r>
          </w:p>
        </w:tc>
      </w:tr>
    </w:tbl>
    <w:p w14:paraId="7A80584D" w14:textId="316E2063" w:rsidR="00436893" w:rsidRPr="004A21A0" w:rsidRDefault="00436893" w:rsidP="00436893">
      <w:pPr>
        <w:shd w:val="clear" w:color="auto" w:fill="FFFFFF"/>
        <w:spacing w:before="120" w:after="120" w:line="276" w:lineRule="auto"/>
        <w:rPr>
          <w:rFonts w:eastAsia="Times New Roman" w:cs="Times New Roman"/>
          <w:sz w:val="20"/>
          <w:szCs w:val="20"/>
        </w:rPr>
      </w:pPr>
      <w:r w:rsidRPr="004A21A0">
        <w:rPr>
          <w:rFonts w:eastAsia="Times New Roman" w:cs="Times New Roman"/>
          <w:b/>
          <w:sz w:val="20"/>
          <w:szCs w:val="20"/>
          <w:u w:val="single"/>
        </w:rPr>
        <w:t>Source</w:t>
      </w:r>
      <w:r w:rsidRPr="004A21A0">
        <w:rPr>
          <w:rFonts w:eastAsia="Times New Roman" w:cs="Times New Roman"/>
          <w:sz w:val="20"/>
          <w:szCs w:val="20"/>
        </w:rPr>
        <w:t xml:space="preserve"> : rapport </w:t>
      </w:r>
      <w:r w:rsidR="00603CB3">
        <w:rPr>
          <w:rFonts w:eastAsia="Times New Roman" w:cs="Times New Roman"/>
          <w:sz w:val="20"/>
          <w:szCs w:val="20"/>
        </w:rPr>
        <w:t xml:space="preserve">annuel </w:t>
      </w:r>
      <w:r w:rsidRPr="004A21A0">
        <w:rPr>
          <w:rFonts w:eastAsia="Times New Roman" w:cs="Times New Roman"/>
          <w:sz w:val="20"/>
          <w:szCs w:val="20"/>
        </w:rPr>
        <w:t>de performance 2023 du CSD TEPS, février 2024</w:t>
      </w:r>
    </w:p>
    <w:p w14:paraId="28C86986" w14:textId="21CD7E77"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En terme</w:t>
      </w:r>
      <w:r w:rsidR="000C3FA5">
        <w:rPr>
          <w:rFonts w:eastAsia="Times New Roman" w:cs="Times New Roman"/>
        </w:rPr>
        <w:t>s</w:t>
      </w:r>
      <w:r w:rsidRPr="008D20C6">
        <w:rPr>
          <w:rFonts w:eastAsia="Times New Roman" w:cs="Times New Roman"/>
        </w:rPr>
        <w:t xml:space="preserve"> </w:t>
      </w:r>
      <w:r w:rsidRPr="000C3FA5">
        <w:rPr>
          <w:rFonts w:eastAsia="Times New Roman" w:cs="Times New Roman"/>
        </w:rPr>
        <w:t>d’engagement financier, les interventions en matière de prise en charge psycho</w:t>
      </w:r>
      <w:r w:rsidR="00104A7B">
        <w:rPr>
          <w:rFonts w:eastAsia="Times New Roman" w:cs="Times New Roman"/>
        </w:rPr>
        <w:t>-</w:t>
      </w:r>
      <w:r w:rsidRPr="000C3FA5">
        <w:rPr>
          <w:rFonts w:eastAsia="Times New Roman" w:cs="Times New Roman"/>
        </w:rPr>
        <w:t>sociale ont co</w:t>
      </w:r>
      <w:r w:rsidR="00104A7B">
        <w:rPr>
          <w:rFonts w:eastAsia="Times New Roman" w:cs="Times New Roman"/>
        </w:rPr>
        <w:t>û</w:t>
      </w:r>
      <w:r w:rsidRPr="000C3FA5">
        <w:rPr>
          <w:rFonts w:eastAsia="Times New Roman" w:cs="Times New Roman"/>
        </w:rPr>
        <w:t xml:space="preserve">té </w:t>
      </w:r>
      <w:r w:rsidR="000C3FA5">
        <w:rPr>
          <w:rFonts w:eastAsia="Times New Roman" w:cs="Times New Roman"/>
        </w:rPr>
        <w:t>549 715</w:t>
      </w:r>
      <w:r w:rsidR="000C3FA5" w:rsidRPr="000C3FA5">
        <w:rPr>
          <w:rFonts w:eastAsia="Times New Roman" w:cs="Times New Roman"/>
        </w:rPr>
        <w:t xml:space="preserve"> 000 </w:t>
      </w:r>
      <w:r w:rsidRPr="000C3FA5">
        <w:rPr>
          <w:rFonts w:eastAsia="Times New Roman" w:cs="Times New Roman"/>
        </w:rPr>
        <w:t xml:space="preserve">FCFA pour une dotation de </w:t>
      </w:r>
      <w:r w:rsidR="000C3FA5" w:rsidRPr="000C3FA5">
        <w:rPr>
          <w:rFonts w:eastAsia="Times New Roman" w:cs="Times New Roman"/>
        </w:rPr>
        <w:t>230 000 000 FCFA, s</w:t>
      </w:r>
      <w:r w:rsidRPr="000C3FA5">
        <w:rPr>
          <w:rFonts w:eastAsia="Times New Roman" w:cs="Times New Roman"/>
        </w:rPr>
        <w:t xml:space="preserve">oit un taux d’exécution </w:t>
      </w:r>
      <w:r w:rsidRPr="008139E1">
        <w:rPr>
          <w:rFonts w:eastAsia="Times New Roman" w:cs="Times New Roman"/>
        </w:rPr>
        <w:t>de</w:t>
      </w:r>
      <w:r w:rsidR="000C3FA5" w:rsidRPr="008139E1">
        <w:rPr>
          <w:rFonts w:eastAsia="Times New Roman" w:cs="Times New Roman"/>
        </w:rPr>
        <w:t xml:space="preserve"> plus de 100%.</w:t>
      </w:r>
    </w:p>
    <w:p w14:paraId="34D7AD79" w14:textId="394626C6" w:rsidR="00BB220D" w:rsidRPr="008D20C6" w:rsidRDefault="00436893" w:rsidP="00BB220D">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Pour ce qui est de la troisième action portant sur </w:t>
      </w:r>
      <w:r w:rsidRPr="008139E1">
        <w:rPr>
          <w:rFonts w:eastAsia="Times New Roman" w:cs="Times New Roman"/>
          <w:b/>
        </w:rPr>
        <w:t>la prévention et la gestion des catastrophes et des crises humanitaires (02003)</w:t>
      </w:r>
      <w:r w:rsidRPr="008D20C6">
        <w:rPr>
          <w:rFonts w:eastAsia="Times New Roman" w:cs="Times New Roman"/>
        </w:rPr>
        <w:t>, elle est implémentée par les secteurs TEPS et DS. La performance de l’année reste moyenne, traduite par une proportion des ménages victimes de catastrophes et/ou de crises humanitaires pris en charge établie à 47% au 31 décembre 2023 pour une cible de 100%. En terme</w:t>
      </w:r>
      <w:r w:rsidR="000C3FA5">
        <w:rPr>
          <w:rFonts w:eastAsia="Times New Roman" w:cs="Times New Roman"/>
        </w:rPr>
        <w:t>s</w:t>
      </w:r>
      <w:r w:rsidRPr="008D20C6">
        <w:rPr>
          <w:rFonts w:eastAsia="Times New Roman" w:cs="Times New Roman"/>
        </w:rPr>
        <w:t xml:space="preserve"> d’exécution de livrables, l’acquis majeur du secteur TEP est l’élaboration effective des 10 plans de contingence aux catastrophes et crises grâce à l’appui des partenaires avec le financement de 6 plans.</w:t>
      </w:r>
      <w:r w:rsidR="00BB220D" w:rsidRPr="00BB220D">
        <w:rPr>
          <w:rFonts w:eastAsia="Times New Roman" w:cs="Times New Roman"/>
        </w:rPr>
        <w:t xml:space="preserve"> </w:t>
      </w:r>
      <w:r w:rsidR="00BB220D" w:rsidRPr="008D20C6">
        <w:rPr>
          <w:rFonts w:eastAsia="Times New Roman" w:cs="Times New Roman"/>
        </w:rPr>
        <w:t>Sur une prévision de 62 000 000FCFA, au total 45 466 000 FCFA ont été dépensés</w:t>
      </w:r>
      <w:r w:rsidR="00104A7B">
        <w:rPr>
          <w:rFonts w:eastAsia="Times New Roman" w:cs="Times New Roman"/>
        </w:rPr>
        <w:t>,</w:t>
      </w:r>
      <w:r w:rsidR="00BB220D" w:rsidRPr="008D20C6">
        <w:rPr>
          <w:rFonts w:eastAsia="Times New Roman" w:cs="Times New Roman"/>
        </w:rPr>
        <w:t xml:space="preserve"> soit un taux d’exécution financière de 73,33%.</w:t>
      </w:r>
    </w:p>
    <w:p w14:paraId="2B78A4EC" w14:textId="132C537D" w:rsidR="00436893" w:rsidRPr="008139E1" w:rsidRDefault="00436893" w:rsidP="00F175A7">
      <w:pPr>
        <w:numPr>
          <w:ilvl w:val="0"/>
          <w:numId w:val="8"/>
        </w:numPr>
        <w:shd w:val="clear" w:color="auto" w:fill="FFFFFF"/>
        <w:spacing w:before="120" w:after="120" w:line="240" w:lineRule="auto"/>
        <w:ind w:left="0"/>
        <w:rPr>
          <w:rFonts w:eastAsia="Times New Roman" w:cs="Times New Roman"/>
        </w:rPr>
      </w:pPr>
      <w:r w:rsidRPr="008139E1">
        <w:rPr>
          <w:rFonts w:eastAsia="Times New Roman" w:cs="Times New Roman"/>
        </w:rPr>
        <w:t xml:space="preserve">Quant </w:t>
      </w:r>
      <w:r w:rsidR="00631F96" w:rsidRPr="008139E1">
        <w:rPr>
          <w:rFonts w:eastAsia="Times New Roman" w:cs="Times New Roman"/>
        </w:rPr>
        <w:t>à la contribution du</w:t>
      </w:r>
      <w:r w:rsidRPr="008139E1">
        <w:rPr>
          <w:rFonts w:eastAsia="Times New Roman" w:cs="Times New Roman"/>
        </w:rPr>
        <w:t xml:space="preserve"> secteur DS</w:t>
      </w:r>
      <w:r w:rsidR="000D6E93" w:rsidRPr="000D6E93">
        <w:rPr>
          <w:rFonts w:eastAsia="Times New Roman" w:cs="Times New Roman"/>
        </w:rPr>
        <w:t xml:space="preserve"> à cette action, elle </w:t>
      </w:r>
      <w:r w:rsidR="00631F96" w:rsidRPr="008139E1">
        <w:rPr>
          <w:rFonts w:eastAsia="Times New Roman" w:cs="Times New Roman"/>
        </w:rPr>
        <w:t xml:space="preserve">reste appréciable traduite </w:t>
      </w:r>
      <w:r w:rsidR="000D6E93">
        <w:rPr>
          <w:rFonts w:eastAsia="Times New Roman" w:cs="Times New Roman"/>
        </w:rPr>
        <w:t xml:space="preserve">entre autres </w:t>
      </w:r>
      <w:r w:rsidR="00631F96" w:rsidRPr="008139E1">
        <w:rPr>
          <w:rFonts w:eastAsia="Times New Roman" w:cs="Times New Roman"/>
        </w:rPr>
        <w:t>par la mise en place des 2</w:t>
      </w:r>
      <w:r w:rsidRPr="008139E1">
        <w:rPr>
          <w:rFonts w:eastAsia="Times New Roman" w:cs="Times New Roman"/>
        </w:rPr>
        <w:t xml:space="preserve"> plans ORSEC </w:t>
      </w:r>
      <w:r w:rsidR="00631F96" w:rsidRPr="008139E1">
        <w:rPr>
          <w:rFonts w:eastAsia="Times New Roman" w:cs="Times New Roman"/>
        </w:rPr>
        <w:t xml:space="preserve">prévus dans les provinces du </w:t>
      </w:r>
      <w:proofErr w:type="spellStart"/>
      <w:r w:rsidR="00631F96" w:rsidRPr="008139E1">
        <w:rPr>
          <w:rFonts w:eastAsia="Times New Roman" w:cs="Times New Roman"/>
        </w:rPr>
        <w:t>Kourit</w:t>
      </w:r>
      <w:r w:rsidR="00104A7B">
        <w:rPr>
          <w:rFonts w:eastAsia="Times New Roman" w:cs="Times New Roman"/>
        </w:rPr>
        <w:t>t</w:t>
      </w:r>
      <w:r w:rsidR="00631F96" w:rsidRPr="008139E1">
        <w:rPr>
          <w:rFonts w:eastAsia="Times New Roman" w:cs="Times New Roman"/>
        </w:rPr>
        <w:t>enga</w:t>
      </w:r>
      <w:proofErr w:type="spellEnd"/>
      <w:r w:rsidR="00631F96" w:rsidRPr="008139E1">
        <w:rPr>
          <w:rFonts w:eastAsia="Times New Roman" w:cs="Times New Roman"/>
        </w:rPr>
        <w:t xml:space="preserve"> et du </w:t>
      </w:r>
      <w:proofErr w:type="spellStart"/>
      <w:r w:rsidR="00631F96" w:rsidRPr="008139E1">
        <w:rPr>
          <w:rFonts w:eastAsia="Times New Roman" w:cs="Times New Roman"/>
        </w:rPr>
        <w:t>Nahouri</w:t>
      </w:r>
      <w:proofErr w:type="spellEnd"/>
      <w:r w:rsidR="00631F96" w:rsidRPr="008139E1">
        <w:rPr>
          <w:rFonts w:eastAsia="Times New Roman" w:cs="Times New Roman"/>
        </w:rPr>
        <w:t xml:space="preserve">, l’ouverture et l’équipement d’une compagnie types d’incendie et de secours à Dédougou, chef-lieu de la région de la Boucle du Mouhoun ainsi que l’organisation de la rencontre de concertation avec les partenaires humanitaires. Toutefois, </w:t>
      </w:r>
      <w:r w:rsidRPr="008139E1">
        <w:rPr>
          <w:rFonts w:eastAsia="Times New Roman" w:cs="Times New Roman"/>
        </w:rPr>
        <w:t>la création</w:t>
      </w:r>
      <w:r w:rsidR="00631F96" w:rsidRPr="008139E1">
        <w:rPr>
          <w:rFonts w:eastAsia="Times New Roman" w:cs="Times New Roman"/>
        </w:rPr>
        <w:t xml:space="preserve"> et l’équipement</w:t>
      </w:r>
      <w:r w:rsidRPr="008139E1">
        <w:rPr>
          <w:rFonts w:eastAsia="Times New Roman" w:cs="Times New Roman"/>
        </w:rPr>
        <w:t xml:space="preserve"> de l’unité spécialisée des </w:t>
      </w:r>
      <w:proofErr w:type="spellStart"/>
      <w:r w:rsidR="00104A7B">
        <w:rPr>
          <w:rFonts w:eastAsia="Times New Roman" w:cs="Times New Roman"/>
        </w:rPr>
        <w:t>s</w:t>
      </w:r>
      <w:r w:rsidRPr="008139E1">
        <w:rPr>
          <w:rFonts w:eastAsia="Times New Roman" w:cs="Times New Roman"/>
        </w:rPr>
        <w:t>apeurs-ompiers</w:t>
      </w:r>
      <w:proofErr w:type="spellEnd"/>
      <w:r w:rsidRPr="008139E1">
        <w:rPr>
          <w:rFonts w:eastAsia="Times New Roman" w:cs="Times New Roman"/>
        </w:rPr>
        <w:t xml:space="preserve"> </w:t>
      </w:r>
      <w:r w:rsidR="00631F96" w:rsidRPr="008139E1">
        <w:rPr>
          <w:rFonts w:eastAsia="Times New Roman" w:cs="Times New Roman"/>
        </w:rPr>
        <w:t>prévu</w:t>
      </w:r>
      <w:r w:rsidR="00104A7B">
        <w:rPr>
          <w:rFonts w:eastAsia="Times New Roman" w:cs="Times New Roman"/>
        </w:rPr>
        <w:t>s</w:t>
      </w:r>
      <w:r w:rsidR="000D6E93" w:rsidRPr="008139E1">
        <w:rPr>
          <w:rFonts w:eastAsia="Times New Roman" w:cs="Times New Roman"/>
        </w:rPr>
        <w:t xml:space="preserve"> </w:t>
      </w:r>
      <w:r w:rsidR="000D6E93">
        <w:rPr>
          <w:rFonts w:eastAsia="Times New Roman" w:cs="Times New Roman"/>
        </w:rPr>
        <w:t xml:space="preserve">la même année </w:t>
      </w:r>
      <w:r w:rsidR="000D6E93" w:rsidRPr="008139E1">
        <w:rPr>
          <w:rFonts w:eastAsia="Times New Roman" w:cs="Times New Roman"/>
        </w:rPr>
        <w:t xml:space="preserve">n’ont pu être effectifs </w:t>
      </w:r>
      <w:r w:rsidRPr="008139E1">
        <w:rPr>
          <w:rFonts w:eastAsia="Times New Roman" w:cs="Times New Roman"/>
        </w:rPr>
        <w:t xml:space="preserve">au 31 décembre </w:t>
      </w:r>
      <w:r w:rsidR="000D6E93">
        <w:rPr>
          <w:rFonts w:eastAsia="Times New Roman" w:cs="Times New Roman"/>
        </w:rPr>
        <w:t>2023</w:t>
      </w:r>
      <w:r w:rsidR="000D6E93" w:rsidRPr="008139E1">
        <w:rPr>
          <w:rFonts w:eastAsia="Times New Roman" w:cs="Times New Roman"/>
        </w:rPr>
        <w:t>.</w:t>
      </w:r>
    </w:p>
    <w:p w14:paraId="2E6A8872" w14:textId="268BAFAA"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La quatrième action qui a trait à </w:t>
      </w:r>
      <w:r w:rsidRPr="008139E1">
        <w:rPr>
          <w:rFonts w:eastAsia="Times New Roman" w:cs="Times New Roman"/>
          <w:b/>
        </w:rPr>
        <w:t>la mise en place d'un plan de soutien aux Personnes déplacées internes, aux personnes pauvres et vulnérables et autres personnes affectées par le terrorisme (02004)</w:t>
      </w:r>
      <w:r w:rsidRPr="008D20C6">
        <w:rPr>
          <w:rFonts w:eastAsia="Times New Roman" w:cs="Times New Roman"/>
        </w:rPr>
        <w:t xml:space="preserve">, est mise en œuvre par les secteurs EEA, TIA et PASP. Au 31 décembre 2023, la performance reste faible avec seulement 21 212 personnes sur une cible annuelle de 1 594 859 composées de PDI, de personnes pauvres et vulnérables et autres personnes affectées par le terrorisme qui sont bénéficiaires d'un soutien à leur réinstallation. Ce faible résultat est imputable à la </w:t>
      </w:r>
      <w:proofErr w:type="spellStart"/>
      <w:r w:rsidRPr="008D20C6">
        <w:rPr>
          <w:rFonts w:eastAsia="Times New Roman" w:cs="Times New Roman"/>
        </w:rPr>
        <w:t>non-mise</w:t>
      </w:r>
      <w:proofErr w:type="spellEnd"/>
      <w:r w:rsidRPr="008D20C6">
        <w:rPr>
          <w:rFonts w:eastAsia="Times New Roman" w:cs="Times New Roman"/>
        </w:rPr>
        <w:t xml:space="preserve"> en œuvre du Plan d’action opérationnel (PAO) de la </w:t>
      </w:r>
      <w:r w:rsidRPr="008D20C6">
        <w:rPr>
          <w:rFonts w:eastAsia="Times New Roman" w:cs="Times New Roman"/>
        </w:rPr>
        <w:lastRenderedPageBreak/>
        <w:t xml:space="preserve">stratégie nationale de relèvement des personnes déplacées internes et des communautés d’accueil 2023-2027. Néanmoins, des acquis notables sont engrangés dans le cadre de cette action et se présentent comme suit </w:t>
      </w:r>
      <w:r w:rsidR="00104A7B">
        <w:rPr>
          <w:rFonts w:eastAsia="Times New Roman" w:cs="Times New Roman"/>
        </w:rPr>
        <w:t xml:space="preserve">sur le </w:t>
      </w:r>
      <w:r w:rsidRPr="008D20C6">
        <w:rPr>
          <w:rFonts w:eastAsia="Times New Roman" w:cs="Times New Roman"/>
        </w:rPr>
        <w:t>plan sectoriel.</w:t>
      </w:r>
    </w:p>
    <w:p w14:paraId="4801372F" w14:textId="20440DE2"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Au niveau du secteur EEA dont le détail est consigné dans le tableau ci-dessous, </w:t>
      </w:r>
      <w:r w:rsidR="000C3FA5">
        <w:rPr>
          <w:rFonts w:eastAsia="Times New Roman" w:cs="Times New Roman"/>
        </w:rPr>
        <w:t xml:space="preserve">sept des huit produits </w:t>
      </w:r>
      <w:r w:rsidR="000C3FA5" w:rsidRPr="008D20C6">
        <w:rPr>
          <w:rFonts w:eastAsia="Times New Roman" w:cs="Times New Roman"/>
        </w:rPr>
        <w:t>planifiés</w:t>
      </w:r>
      <w:r w:rsidR="000C3FA5">
        <w:rPr>
          <w:rFonts w:eastAsia="Times New Roman" w:cs="Times New Roman"/>
        </w:rPr>
        <w:t xml:space="preserve"> </w:t>
      </w:r>
      <w:r w:rsidRPr="008D20C6">
        <w:rPr>
          <w:rFonts w:eastAsia="Times New Roman" w:cs="Times New Roman"/>
        </w:rPr>
        <w:t>ont atteint</w:t>
      </w:r>
      <w:r w:rsidR="000C3FA5">
        <w:rPr>
          <w:rFonts w:eastAsia="Times New Roman" w:cs="Times New Roman"/>
        </w:rPr>
        <w:t xml:space="preserve"> leurs cibles</w:t>
      </w:r>
      <w:r w:rsidRPr="008D20C6">
        <w:rPr>
          <w:rFonts w:eastAsia="Times New Roman" w:cs="Times New Roman"/>
        </w:rPr>
        <w:t>. Il s’agit pour l’essentiel de : (i) la réalisation de 99 forages équipés PMH, de 30 PEA et 6 AEPS dans les zones d'origine des PDI en matière d’eau potable ; (ii) la réalisation de 3</w:t>
      </w:r>
      <w:r w:rsidR="00026E79" w:rsidRPr="00DF4082">
        <w:t> </w:t>
      </w:r>
      <w:r w:rsidR="00F346FB">
        <w:rPr>
          <w:rFonts w:eastAsia="Times New Roman" w:cs="Times New Roman"/>
        </w:rPr>
        <w:t>158</w:t>
      </w:r>
      <w:r w:rsidRPr="008D20C6">
        <w:rPr>
          <w:rFonts w:eastAsia="Times New Roman" w:cs="Times New Roman"/>
        </w:rPr>
        <w:t xml:space="preserve"> latrines familiales et 473 blocs de latrines ainsi que l’opérationnalisation effective du Secrétariat </w:t>
      </w:r>
      <w:r w:rsidR="00026E79">
        <w:rPr>
          <w:rFonts w:eastAsia="Times New Roman" w:cs="Times New Roman"/>
        </w:rPr>
        <w:t>t</w:t>
      </w:r>
      <w:r w:rsidRPr="008D20C6">
        <w:rPr>
          <w:rFonts w:eastAsia="Times New Roman" w:cs="Times New Roman"/>
        </w:rPr>
        <w:t xml:space="preserve">echnique de </w:t>
      </w:r>
      <w:r w:rsidR="00026E79">
        <w:rPr>
          <w:rFonts w:eastAsia="Times New Roman" w:cs="Times New Roman"/>
        </w:rPr>
        <w:t>g</w:t>
      </w:r>
      <w:r w:rsidRPr="008D20C6">
        <w:rPr>
          <w:rFonts w:eastAsia="Times New Roman" w:cs="Times New Roman"/>
        </w:rPr>
        <w:t xml:space="preserve">estion des </w:t>
      </w:r>
      <w:r w:rsidR="00026E79">
        <w:rPr>
          <w:rFonts w:eastAsia="Times New Roman" w:cs="Times New Roman"/>
        </w:rPr>
        <w:t>u</w:t>
      </w:r>
      <w:r w:rsidRPr="008D20C6">
        <w:rPr>
          <w:rFonts w:eastAsia="Times New Roman" w:cs="Times New Roman"/>
        </w:rPr>
        <w:t>rgences WASH créé par décret N°2023-0277/PRES-TRANS/PM/MEEA du 22 mars 2023 en matière d’assainissement et (iii) l’acquisition de 1</w:t>
      </w:r>
      <w:r w:rsidR="00026E79" w:rsidRPr="00DF4082">
        <w:t> </w:t>
      </w:r>
      <w:r w:rsidRPr="008D20C6">
        <w:rPr>
          <w:rFonts w:eastAsia="Times New Roman" w:cs="Times New Roman"/>
        </w:rPr>
        <w:t xml:space="preserve">408 foyers améliorés au profit des PDI </w:t>
      </w:r>
      <w:r w:rsidR="00026E79">
        <w:rPr>
          <w:rFonts w:eastAsia="Times New Roman" w:cs="Times New Roman"/>
        </w:rPr>
        <w:t>sur le</w:t>
      </w:r>
      <w:r w:rsidRPr="008D20C6">
        <w:rPr>
          <w:rFonts w:eastAsia="Times New Roman" w:cs="Times New Roman"/>
        </w:rPr>
        <w:t xml:space="preserve"> plan de l’économie verte . Cette performance est tributaire entre autres de l’intervention des acteurs non étatiques dont la programmation n’avait pas été prise en compte dans le cadre de la réalisation des ouvrages hydrauliques, de celle des ONG/AD dans le cadre du WASH d’urgence au regard des besoins sur le terrain pour le volet assainissement et de l’appui de certains projets et programmes pour le segment de l’économie verte et du changement climatique. La réhabilitation de forages équipés de PMH enregistre un taux d’exécution de 68%.</w:t>
      </w:r>
    </w:p>
    <w:p w14:paraId="71AEE1A2" w14:textId="3C135E5F" w:rsidR="00436893" w:rsidRPr="00D93D28" w:rsidRDefault="00D93D28" w:rsidP="00436893">
      <w:pPr>
        <w:shd w:val="clear" w:color="auto" w:fill="FFFFFF"/>
        <w:spacing w:before="240" w:after="240" w:line="240" w:lineRule="auto"/>
        <w:rPr>
          <w:sz w:val="22"/>
        </w:rPr>
      </w:pPr>
      <w:bookmarkStart w:id="48" w:name="_Toc164503605"/>
      <w:r w:rsidRPr="00D93D28">
        <w:rPr>
          <w:b/>
          <w:bCs/>
          <w:sz w:val="22"/>
          <w:u w:val="single"/>
        </w:rPr>
        <w:t xml:space="preserve">Tableau </w:t>
      </w:r>
      <w:r w:rsidRPr="00D93D28">
        <w:rPr>
          <w:b/>
          <w:bCs/>
          <w:sz w:val="22"/>
          <w:u w:val="single"/>
        </w:rPr>
        <w:fldChar w:fldCharType="begin"/>
      </w:r>
      <w:r w:rsidRPr="00D93D28">
        <w:rPr>
          <w:b/>
          <w:bCs/>
          <w:sz w:val="22"/>
          <w:u w:val="single"/>
        </w:rPr>
        <w:instrText xml:space="preserve"> SEQ Tableau \* ARABIC </w:instrText>
      </w:r>
      <w:r w:rsidRPr="00D93D28">
        <w:rPr>
          <w:b/>
          <w:bCs/>
          <w:sz w:val="22"/>
          <w:u w:val="single"/>
        </w:rPr>
        <w:fldChar w:fldCharType="separate"/>
      </w:r>
      <w:r w:rsidR="007C2E4E">
        <w:rPr>
          <w:b/>
          <w:bCs/>
          <w:noProof/>
          <w:sz w:val="22"/>
          <w:u w:val="single"/>
        </w:rPr>
        <w:t>18</w:t>
      </w:r>
      <w:r w:rsidRPr="00D93D28">
        <w:rPr>
          <w:b/>
          <w:bCs/>
          <w:sz w:val="22"/>
          <w:u w:val="single"/>
        </w:rPr>
        <w:fldChar w:fldCharType="end"/>
      </w:r>
      <w:r w:rsidR="00436893" w:rsidRPr="00D93D28">
        <w:rPr>
          <w:sz w:val="22"/>
        </w:rPr>
        <w:t xml:space="preserve">: </w:t>
      </w:r>
      <w:r w:rsidR="00751F8E">
        <w:rPr>
          <w:sz w:val="22"/>
        </w:rPr>
        <w:t>s</w:t>
      </w:r>
      <w:r w:rsidR="00436893" w:rsidRPr="00D93D28">
        <w:rPr>
          <w:sz w:val="22"/>
        </w:rPr>
        <w:t>ituation des indicateurs de produits relatifs à la « mise en place d'un plan de soutien à la réinstallation des PDI et autres personnes affectées par le terrorisme » au 31 décembre 2023</w:t>
      </w:r>
      <w:bookmarkEnd w:id="48"/>
    </w:p>
    <w:tbl>
      <w:tblPr>
        <w:tblStyle w:val="TableauGrille4-Accentuation119"/>
        <w:tblW w:w="5000" w:type="pct"/>
        <w:tblLook w:val="04A0" w:firstRow="1" w:lastRow="0" w:firstColumn="1" w:lastColumn="0" w:noHBand="0" w:noVBand="1"/>
      </w:tblPr>
      <w:tblGrid>
        <w:gridCol w:w="5576"/>
        <w:gridCol w:w="1078"/>
        <w:gridCol w:w="1170"/>
        <w:gridCol w:w="1192"/>
      </w:tblGrid>
      <w:tr w:rsidR="00436893" w:rsidRPr="004C7470" w14:paraId="28396BC4" w14:textId="77777777" w:rsidTr="004C747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92" w:type="pct"/>
          </w:tcPr>
          <w:p w14:paraId="5D1302B4" w14:textId="6EA6EBCD" w:rsidR="00436893" w:rsidRPr="004C7470" w:rsidRDefault="00436893" w:rsidP="00F175A7">
            <w:pPr>
              <w:spacing w:after="0" w:line="240" w:lineRule="auto"/>
              <w:ind w:firstLine="0"/>
            </w:pPr>
            <w:r w:rsidRPr="004C7470">
              <w:rPr>
                <w:rFonts w:eastAsia="Times New Roman" w:cs="Times New Roman"/>
              </w:rPr>
              <w:t xml:space="preserve">Indicateurs </w:t>
            </w:r>
          </w:p>
        </w:tc>
        <w:tc>
          <w:tcPr>
            <w:tcW w:w="598" w:type="pct"/>
          </w:tcPr>
          <w:p w14:paraId="3D5BA129"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Réf. 2022</w:t>
            </w:r>
          </w:p>
        </w:tc>
        <w:tc>
          <w:tcPr>
            <w:tcW w:w="649" w:type="pct"/>
          </w:tcPr>
          <w:p w14:paraId="7F427FB4"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660" w:type="pct"/>
          </w:tcPr>
          <w:p w14:paraId="352A061E"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436893" w:rsidRPr="004C7470" w14:paraId="0876F7A2"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3DE800E4" w14:textId="77777777" w:rsidR="00436893" w:rsidRPr="004C7470" w:rsidRDefault="00436893" w:rsidP="00F175A7">
            <w:pPr>
              <w:spacing w:after="0" w:line="240" w:lineRule="auto"/>
              <w:jc w:val="center"/>
            </w:pPr>
            <w:r w:rsidRPr="004C7470">
              <w:rPr>
                <w:rFonts w:eastAsia="Times New Roman" w:cs="Times New Roman"/>
              </w:rPr>
              <w:t>Approvisionnement en eau potable</w:t>
            </w:r>
          </w:p>
        </w:tc>
      </w:tr>
      <w:tr w:rsidR="00436893" w:rsidRPr="004C7470" w14:paraId="7CB16197" w14:textId="77777777" w:rsidTr="004C7470">
        <w:trPr>
          <w:trHeight w:val="20"/>
        </w:trPr>
        <w:tc>
          <w:tcPr>
            <w:cnfStyle w:val="001000000000" w:firstRow="0" w:lastRow="0" w:firstColumn="1" w:lastColumn="0" w:oddVBand="0" w:evenVBand="0" w:oddHBand="0" w:evenHBand="0" w:firstRowFirstColumn="0" w:firstRowLastColumn="0" w:lastRowFirstColumn="0" w:lastRowLastColumn="0"/>
            <w:tcW w:w="3092" w:type="pct"/>
          </w:tcPr>
          <w:p w14:paraId="5706BC4B" w14:textId="77777777" w:rsidR="00436893" w:rsidRPr="004C7470" w:rsidRDefault="00436893" w:rsidP="00F175A7">
            <w:pPr>
              <w:spacing w:after="0" w:line="240" w:lineRule="auto"/>
              <w:ind w:firstLine="0"/>
            </w:pPr>
            <w:r w:rsidRPr="004C7470">
              <w:rPr>
                <w:rFonts w:eastAsia="Times New Roman" w:cs="Times New Roman"/>
              </w:rPr>
              <w:t>Nombre de forages équipés de PMH réalisés dans les zones d'origine des PDI</w:t>
            </w:r>
          </w:p>
        </w:tc>
        <w:tc>
          <w:tcPr>
            <w:tcW w:w="598" w:type="pct"/>
          </w:tcPr>
          <w:p w14:paraId="38727D29"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62</w:t>
            </w:r>
          </w:p>
        </w:tc>
        <w:tc>
          <w:tcPr>
            <w:tcW w:w="649" w:type="pct"/>
          </w:tcPr>
          <w:p w14:paraId="1B3867A9"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99</w:t>
            </w:r>
          </w:p>
        </w:tc>
        <w:tc>
          <w:tcPr>
            <w:tcW w:w="660" w:type="pct"/>
          </w:tcPr>
          <w:p w14:paraId="5DED8919"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83</w:t>
            </w:r>
          </w:p>
        </w:tc>
      </w:tr>
      <w:tr w:rsidR="00436893" w:rsidRPr="004C7470" w14:paraId="2FD616ED"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2" w:type="pct"/>
          </w:tcPr>
          <w:p w14:paraId="3BF9D212" w14:textId="77777777" w:rsidR="00436893" w:rsidRPr="004C7470" w:rsidRDefault="00436893" w:rsidP="00F175A7">
            <w:pPr>
              <w:spacing w:after="0" w:line="240" w:lineRule="auto"/>
              <w:ind w:firstLine="0"/>
            </w:pPr>
            <w:r w:rsidRPr="004C7470">
              <w:rPr>
                <w:rFonts w:eastAsia="Times New Roman" w:cs="Times New Roman"/>
              </w:rPr>
              <w:t>Nombre de forages équipés de PMH réhabilités dans les zones d'origine des PDI</w:t>
            </w:r>
          </w:p>
        </w:tc>
        <w:tc>
          <w:tcPr>
            <w:tcW w:w="598" w:type="pct"/>
          </w:tcPr>
          <w:p w14:paraId="79FCCBE3"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168</w:t>
            </w:r>
          </w:p>
        </w:tc>
        <w:tc>
          <w:tcPr>
            <w:tcW w:w="649" w:type="pct"/>
          </w:tcPr>
          <w:p w14:paraId="7226AB03"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17</w:t>
            </w:r>
          </w:p>
        </w:tc>
        <w:tc>
          <w:tcPr>
            <w:tcW w:w="660" w:type="pct"/>
          </w:tcPr>
          <w:p w14:paraId="507B937E"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25</w:t>
            </w:r>
          </w:p>
        </w:tc>
      </w:tr>
      <w:tr w:rsidR="00436893" w:rsidRPr="004C7470" w14:paraId="2D6A8706" w14:textId="77777777" w:rsidTr="004C7470">
        <w:trPr>
          <w:trHeight w:val="20"/>
        </w:trPr>
        <w:tc>
          <w:tcPr>
            <w:cnfStyle w:val="001000000000" w:firstRow="0" w:lastRow="0" w:firstColumn="1" w:lastColumn="0" w:oddVBand="0" w:evenVBand="0" w:oddHBand="0" w:evenHBand="0" w:firstRowFirstColumn="0" w:firstRowLastColumn="0" w:lastRowFirstColumn="0" w:lastRowLastColumn="0"/>
            <w:tcW w:w="3092" w:type="pct"/>
          </w:tcPr>
          <w:p w14:paraId="433A46E2" w14:textId="480B5AA4" w:rsidR="00436893" w:rsidRPr="004C7470" w:rsidRDefault="00436893" w:rsidP="00F175A7">
            <w:pPr>
              <w:spacing w:after="0" w:line="240" w:lineRule="auto"/>
              <w:ind w:firstLine="0"/>
            </w:pPr>
            <w:r w:rsidRPr="004C7470">
              <w:rPr>
                <w:rFonts w:eastAsia="Times New Roman" w:cs="Times New Roman"/>
              </w:rPr>
              <w:t>Nombre de PEA réalisés dans les zones d'origine des PDI</w:t>
            </w:r>
          </w:p>
        </w:tc>
        <w:tc>
          <w:tcPr>
            <w:tcW w:w="598" w:type="pct"/>
          </w:tcPr>
          <w:p w14:paraId="2DBE1C34"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38</w:t>
            </w:r>
          </w:p>
        </w:tc>
        <w:tc>
          <w:tcPr>
            <w:tcW w:w="649" w:type="pct"/>
          </w:tcPr>
          <w:p w14:paraId="714CB108"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30</w:t>
            </w:r>
          </w:p>
        </w:tc>
        <w:tc>
          <w:tcPr>
            <w:tcW w:w="660" w:type="pct"/>
          </w:tcPr>
          <w:p w14:paraId="26307E50"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11</w:t>
            </w:r>
          </w:p>
        </w:tc>
      </w:tr>
      <w:tr w:rsidR="00436893" w:rsidRPr="004C7470" w14:paraId="59EFD3F1"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2" w:type="pct"/>
          </w:tcPr>
          <w:p w14:paraId="6ACAC15A" w14:textId="77777777" w:rsidR="00436893" w:rsidRPr="004C7470" w:rsidRDefault="00436893" w:rsidP="00F175A7">
            <w:pPr>
              <w:spacing w:after="0" w:line="240" w:lineRule="auto"/>
              <w:ind w:firstLine="0"/>
            </w:pPr>
            <w:r w:rsidRPr="004C7470">
              <w:rPr>
                <w:rFonts w:eastAsia="Times New Roman" w:cs="Times New Roman"/>
              </w:rPr>
              <w:t>Nombre de nouvelles AEPS réalisées dans les zones d'origine des PDI</w:t>
            </w:r>
          </w:p>
        </w:tc>
        <w:tc>
          <w:tcPr>
            <w:tcW w:w="598" w:type="pct"/>
          </w:tcPr>
          <w:p w14:paraId="7F68812B"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12</w:t>
            </w:r>
          </w:p>
        </w:tc>
        <w:tc>
          <w:tcPr>
            <w:tcW w:w="649" w:type="pct"/>
          </w:tcPr>
          <w:p w14:paraId="673048FA"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6</w:t>
            </w:r>
          </w:p>
        </w:tc>
        <w:tc>
          <w:tcPr>
            <w:tcW w:w="660" w:type="pct"/>
          </w:tcPr>
          <w:p w14:paraId="426C907D"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6</w:t>
            </w:r>
          </w:p>
        </w:tc>
      </w:tr>
      <w:tr w:rsidR="00436893" w:rsidRPr="004C7470" w14:paraId="58A63F61"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60A297CB" w14:textId="77777777" w:rsidR="00436893" w:rsidRPr="004C7470" w:rsidRDefault="00436893" w:rsidP="00F175A7">
            <w:pPr>
              <w:spacing w:after="0" w:line="240" w:lineRule="auto"/>
              <w:jc w:val="center"/>
            </w:pPr>
            <w:r w:rsidRPr="004C7470">
              <w:rPr>
                <w:rFonts w:eastAsia="Times New Roman" w:cs="Times New Roman"/>
              </w:rPr>
              <w:t>Assainissement</w:t>
            </w:r>
          </w:p>
        </w:tc>
      </w:tr>
      <w:tr w:rsidR="00436893" w:rsidRPr="004C7470" w14:paraId="6737B26B"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2" w:type="pct"/>
            <w:shd w:val="clear" w:color="auto" w:fill="FFFFFF" w:themeFill="background1"/>
          </w:tcPr>
          <w:p w14:paraId="7CDA5702" w14:textId="77777777" w:rsidR="00436893" w:rsidRPr="004C7470" w:rsidRDefault="00436893" w:rsidP="00F175A7">
            <w:pPr>
              <w:spacing w:after="0" w:line="240" w:lineRule="auto"/>
              <w:ind w:firstLine="0"/>
            </w:pPr>
            <w:r w:rsidRPr="004C7470">
              <w:rPr>
                <w:rFonts w:eastAsia="Times New Roman" w:cs="Times New Roman"/>
              </w:rPr>
              <w:t>Nombre de latrines familiales réalisées dans les ménages d'accueil des PDI</w:t>
            </w:r>
          </w:p>
        </w:tc>
        <w:tc>
          <w:tcPr>
            <w:tcW w:w="598" w:type="pct"/>
            <w:shd w:val="clear" w:color="auto" w:fill="FFFFFF" w:themeFill="background1"/>
          </w:tcPr>
          <w:p w14:paraId="5F48E1B5"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1043</w:t>
            </w:r>
          </w:p>
        </w:tc>
        <w:tc>
          <w:tcPr>
            <w:tcW w:w="649" w:type="pct"/>
            <w:shd w:val="clear" w:color="auto" w:fill="FFFFFF" w:themeFill="background1"/>
          </w:tcPr>
          <w:p w14:paraId="0A07D1DF" w14:textId="6DD548B4"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w:t>
            </w:r>
            <w:r w:rsidR="00F346FB">
              <w:rPr>
                <w:rFonts w:eastAsia="Times New Roman" w:cs="Times New Roman"/>
              </w:rPr>
              <w:t>158</w:t>
            </w:r>
          </w:p>
        </w:tc>
        <w:tc>
          <w:tcPr>
            <w:tcW w:w="660" w:type="pct"/>
            <w:shd w:val="clear" w:color="auto" w:fill="FFFFFF" w:themeFill="background1"/>
          </w:tcPr>
          <w:p w14:paraId="690B07D0"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2500</w:t>
            </w:r>
          </w:p>
        </w:tc>
      </w:tr>
      <w:tr w:rsidR="00436893" w:rsidRPr="004C7470" w14:paraId="6C34EFF5"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3092" w:type="pct"/>
            <w:shd w:val="clear" w:color="auto" w:fill="DEEAF6" w:themeFill="accent5" w:themeFillTint="33"/>
          </w:tcPr>
          <w:p w14:paraId="5EC49660" w14:textId="76A11DB1" w:rsidR="00436893" w:rsidRPr="004C7470" w:rsidRDefault="00436893" w:rsidP="00F175A7">
            <w:pPr>
              <w:spacing w:after="0" w:line="240" w:lineRule="auto"/>
              <w:ind w:firstLine="0"/>
            </w:pPr>
            <w:r w:rsidRPr="004C7470">
              <w:rPr>
                <w:rFonts w:eastAsia="Times New Roman" w:cs="Times New Roman"/>
              </w:rPr>
              <w:t>Nombre de bloc</w:t>
            </w:r>
            <w:r w:rsidR="00026E79">
              <w:rPr>
                <w:rFonts w:eastAsia="Times New Roman" w:cs="Times New Roman"/>
              </w:rPr>
              <w:t>s</w:t>
            </w:r>
            <w:r w:rsidRPr="004C7470">
              <w:rPr>
                <w:rFonts w:eastAsia="Times New Roman" w:cs="Times New Roman"/>
              </w:rPr>
              <w:t xml:space="preserve"> de latrines réalisés dans les sites d’accueil des PDI</w:t>
            </w:r>
          </w:p>
        </w:tc>
        <w:tc>
          <w:tcPr>
            <w:tcW w:w="598" w:type="pct"/>
            <w:shd w:val="clear" w:color="auto" w:fill="DEEAF6" w:themeFill="accent5" w:themeFillTint="33"/>
          </w:tcPr>
          <w:p w14:paraId="36C9C31B"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791</w:t>
            </w:r>
          </w:p>
        </w:tc>
        <w:tc>
          <w:tcPr>
            <w:tcW w:w="649" w:type="pct"/>
            <w:shd w:val="clear" w:color="auto" w:fill="DEEAF6" w:themeFill="accent5" w:themeFillTint="33"/>
          </w:tcPr>
          <w:p w14:paraId="754EC1AA"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473</w:t>
            </w:r>
          </w:p>
        </w:tc>
        <w:tc>
          <w:tcPr>
            <w:tcW w:w="660" w:type="pct"/>
            <w:shd w:val="clear" w:color="auto" w:fill="DEEAF6" w:themeFill="accent5" w:themeFillTint="33"/>
          </w:tcPr>
          <w:p w14:paraId="6968954F"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200</w:t>
            </w:r>
          </w:p>
        </w:tc>
      </w:tr>
      <w:tr w:rsidR="00436893" w:rsidRPr="004C7470" w14:paraId="1C1D65C8"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2" w:type="pct"/>
            <w:shd w:val="clear" w:color="auto" w:fill="FFFFFF" w:themeFill="background1"/>
          </w:tcPr>
          <w:p w14:paraId="45E6784C" w14:textId="25371BE6" w:rsidR="00436893" w:rsidRPr="004C7470" w:rsidRDefault="00436893" w:rsidP="00F175A7">
            <w:pPr>
              <w:spacing w:after="0" w:line="240" w:lineRule="auto"/>
              <w:ind w:firstLine="0"/>
            </w:pPr>
            <w:r w:rsidRPr="004C7470">
              <w:rPr>
                <w:rFonts w:eastAsia="Times New Roman" w:cs="Times New Roman"/>
              </w:rPr>
              <w:t xml:space="preserve">Existence de Secrétariat </w:t>
            </w:r>
            <w:r w:rsidR="00026E79">
              <w:rPr>
                <w:rFonts w:eastAsia="Times New Roman" w:cs="Times New Roman"/>
              </w:rPr>
              <w:t>t</w:t>
            </w:r>
            <w:r w:rsidRPr="004C7470">
              <w:rPr>
                <w:rFonts w:eastAsia="Times New Roman" w:cs="Times New Roman"/>
              </w:rPr>
              <w:t xml:space="preserve">echnique de </w:t>
            </w:r>
            <w:r w:rsidR="00026E79">
              <w:rPr>
                <w:rFonts w:eastAsia="Times New Roman" w:cs="Times New Roman"/>
              </w:rPr>
              <w:t>g</w:t>
            </w:r>
            <w:r w:rsidRPr="004C7470">
              <w:rPr>
                <w:rFonts w:eastAsia="Times New Roman" w:cs="Times New Roman"/>
              </w:rPr>
              <w:t xml:space="preserve">estion des </w:t>
            </w:r>
            <w:r w:rsidR="00026E79">
              <w:rPr>
                <w:rFonts w:eastAsia="Times New Roman" w:cs="Times New Roman"/>
              </w:rPr>
              <w:t>u</w:t>
            </w:r>
            <w:r w:rsidRPr="004C7470">
              <w:rPr>
                <w:rFonts w:eastAsia="Times New Roman" w:cs="Times New Roman"/>
              </w:rPr>
              <w:t>rgences WASH opérationnel</w:t>
            </w:r>
          </w:p>
        </w:tc>
        <w:tc>
          <w:tcPr>
            <w:tcW w:w="598" w:type="pct"/>
            <w:shd w:val="clear" w:color="auto" w:fill="FFFFFF" w:themeFill="background1"/>
          </w:tcPr>
          <w:p w14:paraId="35A1E3D6"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w:t>
            </w:r>
          </w:p>
        </w:tc>
        <w:tc>
          <w:tcPr>
            <w:tcW w:w="649" w:type="pct"/>
            <w:shd w:val="clear" w:color="auto" w:fill="FFFFFF" w:themeFill="background1"/>
          </w:tcPr>
          <w:p w14:paraId="1EAE559F"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w:t>
            </w:r>
          </w:p>
        </w:tc>
        <w:tc>
          <w:tcPr>
            <w:tcW w:w="660" w:type="pct"/>
            <w:shd w:val="clear" w:color="auto" w:fill="FFFFFF" w:themeFill="background1"/>
          </w:tcPr>
          <w:p w14:paraId="2117762D"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w:t>
            </w:r>
          </w:p>
        </w:tc>
      </w:tr>
      <w:tr w:rsidR="00436893" w:rsidRPr="004C7470" w14:paraId="70CB3281"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2ED65D6F" w14:textId="77777777" w:rsidR="00436893" w:rsidRPr="004C7470" w:rsidRDefault="00436893" w:rsidP="00F175A7">
            <w:pPr>
              <w:spacing w:after="0" w:line="240" w:lineRule="auto"/>
              <w:jc w:val="center"/>
            </w:pPr>
            <w:r w:rsidRPr="004C7470">
              <w:rPr>
                <w:rFonts w:eastAsia="Times New Roman" w:cs="Times New Roman"/>
              </w:rPr>
              <w:t>Economie verte et changement climatique</w:t>
            </w:r>
          </w:p>
        </w:tc>
      </w:tr>
      <w:tr w:rsidR="00436893" w:rsidRPr="004C7470" w14:paraId="54B71163"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2" w:type="pct"/>
          </w:tcPr>
          <w:p w14:paraId="3E5D6E22" w14:textId="77777777" w:rsidR="00436893" w:rsidRPr="004C7470" w:rsidRDefault="00436893" w:rsidP="00F175A7">
            <w:pPr>
              <w:spacing w:after="0" w:line="240" w:lineRule="auto"/>
            </w:pPr>
            <w:r w:rsidRPr="004C7470">
              <w:rPr>
                <w:rFonts w:eastAsia="Times New Roman" w:cs="Times New Roman"/>
              </w:rPr>
              <w:t>Nombre de foyers améliorés acquis au profit des PDI</w:t>
            </w:r>
          </w:p>
        </w:tc>
        <w:tc>
          <w:tcPr>
            <w:tcW w:w="598" w:type="pct"/>
          </w:tcPr>
          <w:p w14:paraId="2156DE27"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350</w:t>
            </w:r>
          </w:p>
        </w:tc>
        <w:tc>
          <w:tcPr>
            <w:tcW w:w="649" w:type="pct"/>
          </w:tcPr>
          <w:p w14:paraId="1C9542CE"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1 408</w:t>
            </w:r>
          </w:p>
        </w:tc>
        <w:tc>
          <w:tcPr>
            <w:tcW w:w="660" w:type="pct"/>
          </w:tcPr>
          <w:p w14:paraId="25309B00"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750</w:t>
            </w:r>
          </w:p>
        </w:tc>
      </w:tr>
    </w:tbl>
    <w:p w14:paraId="0E22DA42" w14:textId="4E361275" w:rsidR="00436893" w:rsidRPr="003526FD" w:rsidRDefault="00436893" w:rsidP="00436893">
      <w:pPr>
        <w:shd w:val="clear" w:color="auto" w:fill="FFFFFF"/>
        <w:spacing w:before="120" w:after="120" w:line="276" w:lineRule="auto"/>
        <w:rPr>
          <w:rFonts w:eastAsia="Times New Roman" w:cs="Times New Roman"/>
          <w:sz w:val="20"/>
          <w:szCs w:val="20"/>
        </w:rPr>
      </w:pPr>
      <w:r w:rsidRPr="003526FD">
        <w:rPr>
          <w:rFonts w:eastAsia="Times New Roman" w:cs="Times New Roman"/>
          <w:b/>
          <w:bCs/>
          <w:sz w:val="20"/>
          <w:szCs w:val="20"/>
        </w:rPr>
        <w:t>Source</w:t>
      </w:r>
      <w:r w:rsidRPr="003526FD">
        <w:rPr>
          <w:rFonts w:eastAsia="Times New Roman" w:cs="Times New Roman"/>
          <w:sz w:val="20"/>
          <w:szCs w:val="20"/>
        </w:rPr>
        <w:t xml:space="preserve"> : </w:t>
      </w:r>
      <w:r w:rsidR="00026E79">
        <w:rPr>
          <w:rFonts w:eastAsia="Times New Roman" w:cs="Times New Roman"/>
          <w:sz w:val="20"/>
          <w:szCs w:val="20"/>
        </w:rPr>
        <w:t>r</w:t>
      </w:r>
      <w:r w:rsidRPr="003526FD">
        <w:rPr>
          <w:rFonts w:eastAsia="Times New Roman" w:cs="Times New Roman"/>
          <w:sz w:val="20"/>
          <w:szCs w:val="20"/>
        </w:rPr>
        <w:t xml:space="preserve">apport </w:t>
      </w:r>
      <w:r w:rsidR="00603CB3">
        <w:rPr>
          <w:rFonts w:eastAsia="Times New Roman" w:cs="Times New Roman"/>
          <w:sz w:val="20"/>
          <w:szCs w:val="20"/>
        </w:rPr>
        <w:t xml:space="preserve">annuel </w:t>
      </w:r>
      <w:r w:rsidRPr="003526FD">
        <w:rPr>
          <w:rFonts w:eastAsia="Times New Roman" w:cs="Times New Roman"/>
          <w:sz w:val="20"/>
          <w:szCs w:val="20"/>
        </w:rPr>
        <w:t>de performance 2023 du C</w:t>
      </w:r>
      <w:r w:rsidR="00603CB3">
        <w:rPr>
          <w:rFonts w:eastAsia="Times New Roman" w:cs="Times New Roman"/>
          <w:sz w:val="20"/>
          <w:szCs w:val="20"/>
        </w:rPr>
        <w:t>SD-</w:t>
      </w:r>
      <w:r w:rsidRPr="003526FD">
        <w:rPr>
          <w:rFonts w:eastAsia="Times New Roman" w:cs="Times New Roman"/>
          <w:sz w:val="20"/>
          <w:szCs w:val="20"/>
        </w:rPr>
        <w:t>EEA, février 2024</w:t>
      </w:r>
    </w:p>
    <w:p w14:paraId="6A1BE0E7" w14:textId="4E7C5CFE" w:rsidR="00436893" w:rsidRPr="008D20C6" w:rsidRDefault="00026E79" w:rsidP="00F175A7">
      <w:pPr>
        <w:numPr>
          <w:ilvl w:val="0"/>
          <w:numId w:val="8"/>
        </w:numPr>
        <w:shd w:val="clear" w:color="auto" w:fill="FFFFFF"/>
        <w:spacing w:before="120" w:after="120" w:line="240" w:lineRule="auto"/>
        <w:ind w:left="0"/>
        <w:rPr>
          <w:rFonts w:eastAsia="Times New Roman" w:cs="Times New Roman"/>
        </w:rPr>
      </w:pPr>
      <w:r>
        <w:rPr>
          <w:rFonts w:eastAsia="Times New Roman" w:cs="Times New Roman"/>
        </w:rPr>
        <w:t>Sur le</w:t>
      </w:r>
      <w:r w:rsidR="00436893" w:rsidRPr="008D20C6">
        <w:rPr>
          <w:rFonts w:eastAsia="Times New Roman" w:cs="Times New Roman"/>
        </w:rPr>
        <w:t xml:space="preserve"> plan financier, au total 4</w:t>
      </w:r>
      <w:r>
        <w:t> </w:t>
      </w:r>
      <w:r w:rsidR="00436893" w:rsidRPr="008D20C6">
        <w:rPr>
          <w:rFonts w:eastAsia="Times New Roman" w:cs="Times New Roman"/>
        </w:rPr>
        <w:t>339</w:t>
      </w:r>
      <w:r>
        <w:t> </w:t>
      </w:r>
      <w:r w:rsidR="00436893" w:rsidRPr="008D20C6">
        <w:rPr>
          <w:rFonts w:eastAsia="Times New Roman" w:cs="Times New Roman"/>
        </w:rPr>
        <w:t>000</w:t>
      </w:r>
      <w:r w:rsidRPr="00DF4082">
        <w:t> </w:t>
      </w:r>
      <w:r w:rsidR="00436893" w:rsidRPr="008D20C6">
        <w:rPr>
          <w:rFonts w:eastAsia="Times New Roman" w:cs="Times New Roman"/>
        </w:rPr>
        <w:t>000 FCFA ont été dépensés sur une prévision de 3</w:t>
      </w:r>
      <w:r>
        <w:t> </w:t>
      </w:r>
      <w:r w:rsidR="00436893" w:rsidRPr="008D20C6">
        <w:rPr>
          <w:rFonts w:eastAsia="Times New Roman" w:cs="Times New Roman"/>
        </w:rPr>
        <w:t>254</w:t>
      </w:r>
      <w:r>
        <w:t> </w:t>
      </w:r>
      <w:r w:rsidR="00436893" w:rsidRPr="008D20C6">
        <w:rPr>
          <w:rFonts w:eastAsia="Times New Roman" w:cs="Times New Roman"/>
        </w:rPr>
        <w:t>000</w:t>
      </w:r>
      <w:r w:rsidRPr="00DF4082">
        <w:t> </w:t>
      </w:r>
      <w:r w:rsidR="00436893" w:rsidRPr="008D20C6">
        <w:rPr>
          <w:rFonts w:eastAsia="Times New Roman" w:cs="Times New Roman"/>
        </w:rPr>
        <w:t>000 FCFA dans le cadre des réalisations portées par le CSD-EEA, soit un taux d’exécution financière de plus de 100%.</w:t>
      </w:r>
    </w:p>
    <w:p w14:paraId="4A8FF055" w14:textId="212C8D91" w:rsidR="00436893" w:rsidRPr="008139E1"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lastRenderedPageBreak/>
        <w:t>S’agissant de la contribution du secteur TIA dans le cadre du soutien aux PDI, aux personnes pauvres et vulnérables et autres affectées par le terrorisme, elle s’est matérialisée au 31 décembre 2023 essentiellement par la distribution de 400 kits solaires sur 600 prévus et l’installation de 1</w:t>
      </w:r>
      <w:r w:rsidR="00026E79" w:rsidRPr="00DF4082">
        <w:t> </w:t>
      </w:r>
      <w:r w:rsidRPr="008D20C6">
        <w:rPr>
          <w:rFonts w:eastAsia="Times New Roman" w:cs="Times New Roman"/>
        </w:rPr>
        <w:t>600 lampadaires solaires sur 1</w:t>
      </w:r>
      <w:r w:rsidR="00026E79" w:rsidRPr="00DF4082">
        <w:t> </w:t>
      </w:r>
      <w:r w:rsidRPr="008D20C6">
        <w:rPr>
          <w:rFonts w:eastAsia="Times New Roman" w:cs="Times New Roman"/>
        </w:rPr>
        <w:t xml:space="preserve">000 prévus au profit des PDI. En revanche, aucun des 200 kits et boutiques énergétiques sociocommunautaires n’a été installé au profit des zones abritant des PDI et à fort déficit </w:t>
      </w:r>
      <w:r w:rsidRPr="000C3FA5">
        <w:rPr>
          <w:rFonts w:eastAsia="Times New Roman" w:cs="Times New Roman"/>
        </w:rPr>
        <w:t>sécuritaire</w:t>
      </w:r>
      <w:r w:rsidRPr="008139E1">
        <w:rPr>
          <w:rFonts w:eastAsia="Times New Roman" w:cs="Times New Roman"/>
        </w:rPr>
        <w:t xml:space="preserve">, </w:t>
      </w:r>
      <w:r w:rsidR="000C3FA5" w:rsidRPr="008139E1">
        <w:rPr>
          <w:rFonts w:eastAsia="Times New Roman" w:cs="Times New Roman"/>
        </w:rPr>
        <w:t xml:space="preserve">en raison de l’annulation de l’activité par l’Agence </w:t>
      </w:r>
      <w:r w:rsidR="00026E79">
        <w:rPr>
          <w:rFonts w:eastAsia="Times New Roman" w:cs="Times New Roman"/>
        </w:rPr>
        <w:t>b</w:t>
      </w:r>
      <w:r w:rsidR="000C3FA5" w:rsidRPr="008139E1">
        <w:rPr>
          <w:rFonts w:eastAsia="Times New Roman" w:cs="Times New Roman"/>
        </w:rPr>
        <w:t>urkinabé de l’électrification rurale (ABER).</w:t>
      </w:r>
    </w:p>
    <w:p w14:paraId="0F03D4BC" w14:textId="77777777"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En termes d’exécution financière, au total 965 000 000 FCFA ont été dépensés sur une prévision initiale de 1 775 000 000 FCFA, soit un niveau moyen du taux d’exécution financière de 54,36%.</w:t>
      </w:r>
    </w:p>
    <w:p w14:paraId="2104DA55" w14:textId="453FC81F"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Quant au concour</w:t>
      </w:r>
      <w:r w:rsidR="00026E79">
        <w:rPr>
          <w:rFonts w:eastAsia="Times New Roman" w:cs="Times New Roman"/>
        </w:rPr>
        <w:t>s</w:t>
      </w:r>
      <w:r w:rsidRPr="008D20C6">
        <w:rPr>
          <w:rFonts w:eastAsia="Times New Roman" w:cs="Times New Roman"/>
        </w:rPr>
        <w:t xml:space="preserve"> du secteur PASP à la mise en œuvre de cette action, il reste fort appréciable avec la création de </w:t>
      </w:r>
      <w:r w:rsidR="00C03B82">
        <w:rPr>
          <w:rFonts w:eastAsia="Times New Roman" w:cs="Times New Roman"/>
        </w:rPr>
        <w:t>32</w:t>
      </w:r>
      <w:r w:rsidRPr="008D20C6">
        <w:rPr>
          <w:rFonts w:eastAsia="Times New Roman" w:cs="Times New Roman"/>
        </w:rPr>
        <w:t xml:space="preserve"> jardins nutritifs sur cinq (05) prévus </w:t>
      </w:r>
      <w:r w:rsidR="00C03B82">
        <w:rPr>
          <w:rFonts w:eastAsia="Times New Roman" w:cs="Times New Roman"/>
        </w:rPr>
        <w:t>grâce aux efforts conjugués des partenaires techniques et financiers et des acteurs non étatiques</w:t>
      </w:r>
      <w:r w:rsidRPr="008D20C6">
        <w:rPr>
          <w:rFonts w:eastAsia="Times New Roman" w:cs="Times New Roman"/>
        </w:rPr>
        <w:t xml:space="preserve">. Leurs réalisations ont coûté </w:t>
      </w:r>
      <w:r w:rsidR="00C03B82">
        <w:rPr>
          <w:rFonts w:eastAsia="Times New Roman" w:cs="Times New Roman"/>
        </w:rPr>
        <w:t>365</w:t>
      </w:r>
      <w:r w:rsidRPr="008D20C6">
        <w:rPr>
          <w:rFonts w:eastAsia="Times New Roman" w:cs="Times New Roman"/>
        </w:rPr>
        <w:t xml:space="preserve"> millions FCFA sur une prévision révisée de 100 millions FCFA grâce à l’accompagnement financier du programme d’Appui à la gestion durable des ressources forestières (AGREF).</w:t>
      </w:r>
    </w:p>
    <w:p w14:paraId="5238C4E5" w14:textId="24D4EB11"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S’agissant de la cinquième action relative </w:t>
      </w:r>
      <w:r w:rsidRPr="008139E1">
        <w:rPr>
          <w:rFonts w:eastAsia="Times New Roman" w:cs="Times New Roman"/>
          <w:b/>
        </w:rPr>
        <w:t>au soutien au retour volontaire, à l’intégration locale et à la réinstallation des personnes déplacées dans leurs zones d'origine et garantie de leur sécurité, (02005)</w:t>
      </w:r>
      <w:r w:rsidRPr="008D20C6">
        <w:rPr>
          <w:rFonts w:eastAsia="Times New Roman" w:cs="Times New Roman"/>
        </w:rPr>
        <w:t>, elle est mise en œuvre par les CSD-TEPS et EF. Même si le point exhaustif du nombre de PDI volontairement retourné</w:t>
      </w:r>
      <w:r w:rsidR="00026E79">
        <w:rPr>
          <w:rFonts w:eastAsia="Times New Roman" w:cs="Times New Roman"/>
        </w:rPr>
        <w:t>e</w:t>
      </w:r>
      <w:r w:rsidRPr="008D20C6">
        <w:rPr>
          <w:rFonts w:eastAsia="Times New Roman" w:cs="Times New Roman"/>
        </w:rPr>
        <w:t>s intégré</w:t>
      </w:r>
      <w:r w:rsidR="00026E79">
        <w:rPr>
          <w:rFonts w:eastAsia="Times New Roman" w:cs="Times New Roman"/>
        </w:rPr>
        <w:t>e</w:t>
      </w:r>
      <w:r w:rsidRPr="008D20C6">
        <w:rPr>
          <w:rFonts w:eastAsia="Times New Roman" w:cs="Times New Roman"/>
        </w:rPr>
        <w:t>s ou réinstallé</w:t>
      </w:r>
      <w:r w:rsidR="00026E79">
        <w:rPr>
          <w:rFonts w:eastAsia="Times New Roman" w:cs="Times New Roman"/>
        </w:rPr>
        <w:t>e</w:t>
      </w:r>
      <w:r w:rsidRPr="008D20C6">
        <w:rPr>
          <w:rFonts w:eastAsia="Times New Roman" w:cs="Times New Roman"/>
        </w:rPr>
        <w:t>s n’est pas encore établi pour la cible visée de 88 099 PDI, le niveau de réalisation des extrants reste appréciable.</w:t>
      </w:r>
    </w:p>
    <w:p w14:paraId="66E6731C" w14:textId="77777777"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Au niveau du secteur TEPS, au 31 décembre 2023, les progrès ont trait à l’apport en assistance alimentaire à 118 989 PDI dont 61 874 femmes retournées pour une cible de 88 099 et à l’octroi de transferts monétaires à 11 975 ménages PDI dont 6227 femmes pour leur autonomisation, pour une cible de 12 586, soit un taux de réalisation de 95,14%. Cette performance traduit l’effectivité des efforts conjugués de l’ensemble des intervenants pour juguler les effets de la crise humanitaire.</w:t>
      </w:r>
    </w:p>
    <w:p w14:paraId="31DAE4EC" w14:textId="3AED1BF0"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Quant au volet du secteur de l’EF, la mise en œuvre des produits relatifs à la continuité éducative est satisfaisante</w:t>
      </w:r>
      <w:r w:rsidR="006C0DCA">
        <w:rPr>
          <w:rFonts w:eastAsia="Times New Roman" w:cs="Times New Roman"/>
        </w:rPr>
        <w:t xml:space="preserve">. Elle s’est </w:t>
      </w:r>
      <w:r w:rsidRPr="008D20C6">
        <w:rPr>
          <w:rFonts w:eastAsia="Times New Roman" w:cs="Times New Roman"/>
        </w:rPr>
        <w:t xml:space="preserve">traduite par l’atteinte au 31 décembre 2023 de toutes les cibles visées dont le détail est récapitulé dans le tableau ci-dessous. Il s’agit entre autres de : (i) la réalisation de 950 </w:t>
      </w:r>
      <w:r w:rsidR="006C0DCA">
        <w:rPr>
          <w:rFonts w:eastAsia="Times New Roman" w:cs="Times New Roman"/>
        </w:rPr>
        <w:t>E</w:t>
      </w:r>
      <w:r w:rsidRPr="008D20C6">
        <w:rPr>
          <w:rFonts w:eastAsia="Times New Roman" w:cs="Times New Roman"/>
        </w:rPr>
        <w:t>spaces temporaires d’apprentissage (ETA) dans les zones de repli (ii) ; l’octroi de subventions à 750 élèves/apprenants déplacés internes chefs de ménage; (ii</w:t>
      </w:r>
      <w:r w:rsidR="00026E79">
        <w:rPr>
          <w:rFonts w:eastAsia="Times New Roman" w:cs="Times New Roman"/>
        </w:rPr>
        <w:t>i</w:t>
      </w:r>
      <w:r w:rsidRPr="008D20C6">
        <w:rPr>
          <w:rFonts w:eastAsia="Times New Roman" w:cs="Times New Roman"/>
        </w:rPr>
        <w:t xml:space="preserve">) l’octroi de kits scolaires aux 34 000 élèves bénéficiaires ; (iv) l’acquisition de 15 000 tables-bancs; (v) le renforcement des capacités de 2 014 enseignants/animateurs dont 759 femmes en </w:t>
      </w:r>
      <w:r w:rsidR="006C0DCA">
        <w:rPr>
          <w:rFonts w:eastAsia="Times New Roman" w:cs="Times New Roman"/>
        </w:rPr>
        <w:t>A</w:t>
      </w:r>
      <w:r w:rsidRPr="008D20C6">
        <w:rPr>
          <w:rFonts w:eastAsia="Times New Roman" w:cs="Times New Roman"/>
        </w:rPr>
        <w:t xml:space="preserve">ppui psychosocial (APS), approche </w:t>
      </w:r>
      <w:proofErr w:type="spellStart"/>
      <w:r w:rsidRPr="008D20C6">
        <w:rPr>
          <w:rFonts w:eastAsia="Times New Roman" w:cs="Times New Roman"/>
        </w:rPr>
        <w:t>Safe</w:t>
      </w:r>
      <w:proofErr w:type="spellEnd"/>
      <w:r w:rsidRPr="008D20C6">
        <w:rPr>
          <w:rFonts w:eastAsia="Times New Roman" w:cs="Times New Roman"/>
        </w:rPr>
        <w:t xml:space="preserve"> </w:t>
      </w:r>
      <w:proofErr w:type="spellStart"/>
      <w:r w:rsidRPr="008D20C6">
        <w:rPr>
          <w:rFonts w:eastAsia="Times New Roman" w:cs="Times New Roman"/>
        </w:rPr>
        <w:t>School</w:t>
      </w:r>
      <w:proofErr w:type="spellEnd"/>
      <w:r w:rsidRPr="008D20C6">
        <w:rPr>
          <w:rFonts w:eastAsia="Times New Roman" w:cs="Times New Roman"/>
        </w:rPr>
        <w:t xml:space="preserve"> sur les curricula ESU et l’enseignement à distance</w:t>
      </w:r>
      <w:r w:rsidR="00753617">
        <w:rPr>
          <w:rFonts w:eastAsia="Times New Roman" w:cs="Times New Roman"/>
        </w:rPr>
        <w:t xml:space="preserve"> et autres approches innovantes</w:t>
      </w:r>
      <w:r w:rsidRPr="008D20C6">
        <w:rPr>
          <w:rFonts w:eastAsia="Times New Roman" w:cs="Times New Roman"/>
        </w:rPr>
        <w:t xml:space="preserve"> et (iv) la sensibilisation de 6 210 jeunes sur la culture de la paix et l’extrémisme violent.</w:t>
      </w:r>
    </w:p>
    <w:p w14:paraId="358CECDB" w14:textId="415DB381"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Cette performance s’explique entre autres par le transfert diligent des ressources aux structures déconcentrées (Direction</w:t>
      </w:r>
      <w:r w:rsidR="00026E79">
        <w:rPr>
          <w:rFonts w:eastAsia="Times New Roman" w:cs="Times New Roman"/>
        </w:rPr>
        <w:t>s</w:t>
      </w:r>
      <w:r w:rsidRPr="008D20C6">
        <w:rPr>
          <w:rFonts w:eastAsia="Times New Roman" w:cs="Times New Roman"/>
        </w:rPr>
        <w:t xml:space="preserve"> </w:t>
      </w:r>
      <w:r w:rsidR="006C0DCA">
        <w:rPr>
          <w:rFonts w:eastAsia="Times New Roman" w:cs="Times New Roman"/>
        </w:rPr>
        <w:t>r</w:t>
      </w:r>
      <w:r w:rsidRPr="008D20C6">
        <w:rPr>
          <w:rFonts w:eastAsia="Times New Roman" w:cs="Times New Roman"/>
        </w:rPr>
        <w:t xml:space="preserve">égionale et provinciale), la capitalisation des leçons </w:t>
      </w:r>
      <w:r w:rsidRPr="008D20C6">
        <w:rPr>
          <w:rFonts w:eastAsia="Times New Roman" w:cs="Times New Roman"/>
        </w:rPr>
        <w:lastRenderedPageBreak/>
        <w:t>apprises des années antérieures (l’identification précoce des bénéficiaires, le recrutement à bonne date des animateurs, etc.) et l’appui en ressources supplémentaire</w:t>
      </w:r>
      <w:r w:rsidR="00026E79">
        <w:rPr>
          <w:rFonts w:eastAsia="Times New Roman" w:cs="Times New Roman"/>
        </w:rPr>
        <w:t>s</w:t>
      </w:r>
      <w:r w:rsidRPr="008D20C6">
        <w:rPr>
          <w:rFonts w:eastAsia="Times New Roman" w:cs="Times New Roman"/>
        </w:rPr>
        <w:t xml:space="preserve"> des PTF.</w:t>
      </w:r>
    </w:p>
    <w:p w14:paraId="7A674D18" w14:textId="16272D9D" w:rsidR="00436893" w:rsidRPr="00D93D28" w:rsidRDefault="00D93D28" w:rsidP="00436893">
      <w:pPr>
        <w:shd w:val="clear" w:color="auto" w:fill="FFFFFF"/>
        <w:spacing w:before="240" w:after="240" w:line="240" w:lineRule="auto"/>
        <w:rPr>
          <w:sz w:val="22"/>
        </w:rPr>
      </w:pPr>
      <w:bookmarkStart w:id="49" w:name="_Toc164503606"/>
      <w:r w:rsidRPr="00D93D28">
        <w:rPr>
          <w:b/>
          <w:bCs/>
          <w:sz w:val="22"/>
          <w:u w:val="single"/>
        </w:rPr>
        <w:t xml:space="preserve">Tableau </w:t>
      </w:r>
      <w:r w:rsidRPr="00D93D28">
        <w:rPr>
          <w:b/>
          <w:bCs/>
          <w:sz w:val="22"/>
          <w:u w:val="single"/>
        </w:rPr>
        <w:fldChar w:fldCharType="begin"/>
      </w:r>
      <w:r w:rsidRPr="00D93D28">
        <w:rPr>
          <w:b/>
          <w:bCs/>
          <w:sz w:val="22"/>
          <w:u w:val="single"/>
        </w:rPr>
        <w:instrText xml:space="preserve"> SEQ Tableau \* ARABIC </w:instrText>
      </w:r>
      <w:r w:rsidRPr="00D93D28">
        <w:rPr>
          <w:b/>
          <w:bCs/>
          <w:sz w:val="22"/>
          <w:u w:val="single"/>
        </w:rPr>
        <w:fldChar w:fldCharType="separate"/>
      </w:r>
      <w:r w:rsidR="007C2E4E">
        <w:rPr>
          <w:b/>
          <w:bCs/>
          <w:noProof/>
          <w:sz w:val="22"/>
          <w:u w:val="single"/>
        </w:rPr>
        <w:t>19</w:t>
      </w:r>
      <w:r w:rsidRPr="00D93D28">
        <w:rPr>
          <w:b/>
          <w:bCs/>
          <w:sz w:val="22"/>
          <w:u w:val="single"/>
        </w:rPr>
        <w:fldChar w:fldCharType="end"/>
      </w:r>
      <w:r w:rsidR="00436893" w:rsidRPr="00D93D28">
        <w:rPr>
          <w:sz w:val="22"/>
        </w:rPr>
        <w:t>: situation des indicateurs de produits relatifs à la continuité de l’éducation en situation d’urgence au 31 décembre 2023</w:t>
      </w:r>
      <w:bookmarkEnd w:id="49"/>
    </w:p>
    <w:tbl>
      <w:tblPr>
        <w:tblStyle w:val="TableauGrille4-Accentuation119"/>
        <w:tblW w:w="5000" w:type="pct"/>
        <w:tblLook w:val="04A0" w:firstRow="1" w:lastRow="0" w:firstColumn="1" w:lastColumn="0" w:noHBand="0" w:noVBand="1"/>
      </w:tblPr>
      <w:tblGrid>
        <w:gridCol w:w="4944"/>
        <w:gridCol w:w="1351"/>
        <w:gridCol w:w="1441"/>
        <w:gridCol w:w="1280"/>
      </w:tblGrid>
      <w:tr w:rsidR="00436893" w:rsidRPr="004C7470" w14:paraId="0B702A8E" w14:textId="77777777" w:rsidTr="004C74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2" w:type="pct"/>
          </w:tcPr>
          <w:p w14:paraId="6805931E" w14:textId="0AE895F8" w:rsidR="00436893" w:rsidRPr="004C7470" w:rsidRDefault="00436893" w:rsidP="00F175A7">
            <w:pPr>
              <w:spacing w:after="0" w:line="240" w:lineRule="auto"/>
            </w:pPr>
            <w:r w:rsidRPr="004C7470">
              <w:rPr>
                <w:rFonts w:eastAsia="Times New Roman" w:cs="Times New Roman"/>
              </w:rPr>
              <w:t xml:space="preserve">Indicateurs </w:t>
            </w:r>
          </w:p>
        </w:tc>
        <w:tc>
          <w:tcPr>
            <w:tcW w:w="749" w:type="pct"/>
          </w:tcPr>
          <w:p w14:paraId="38E9DA6A"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2022</w:t>
            </w:r>
          </w:p>
        </w:tc>
        <w:tc>
          <w:tcPr>
            <w:tcW w:w="799" w:type="pct"/>
          </w:tcPr>
          <w:p w14:paraId="7E6CD94A"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710" w:type="pct"/>
          </w:tcPr>
          <w:p w14:paraId="30D8E258"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436893" w:rsidRPr="004C7470" w14:paraId="281EA539"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691D423B" w14:textId="77777777" w:rsidR="00436893" w:rsidRPr="004C7470" w:rsidRDefault="00436893" w:rsidP="00F175A7">
            <w:pPr>
              <w:spacing w:after="0" w:line="240" w:lineRule="auto"/>
              <w:ind w:firstLine="0"/>
            </w:pPr>
            <w:r w:rsidRPr="004C7470">
              <w:rPr>
                <w:rFonts w:eastAsia="Times New Roman" w:cs="Times New Roman"/>
              </w:rPr>
              <w:t>Nombre de séances de sensibilisation</w:t>
            </w:r>
          </w:p>
        </w:tc>
        <w:tc>
          <w:tcPr>
            <w:tcW w:w="749" w:type="pct"/>
          </w:tcPr>
          <w:p w14:paraId="2282B790"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4</w:t>
            </w:r>
          </w:p>
        </w:tc>
        <w:tc>
          <w:tcPr>
            <w:tcW w:w="799" w:type="pct"/>
          </w:tcPr>
          <w:p w14:paraId="0BC8D8E5"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w:t>
            </w:r>
          </w:p>
        </w:tc>
        <w:tc>
          <w:tcPr>
            <w:tcW w:w="710" w:type="pct"/>
          </w:tcPr>
          <w:p w14:paraId="33358AE8"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w:t>
            </w:r>
          </w:p>
        </w:tc>
      </w:tr>
      <w:tr w:rsidR="00436893" w:rsidRPr="004C7470" w14:paraId="0394C24C"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3AB5455D" w14:textId="77777777" w:rsidR="00436893" w:rsidRPr="004C7470" w:rsidRDefault="00436893" w:rsidP="00F175A7">
            <w:pPr>
              <w:spacing w:after="0" w:line="240" w:lineRule="auto"/>
              <w:ind w:firstLine="0"/>
            </w:pPr>
            <w:r w:rsidRPr="004C7470">
              <w:rPr>
                <w:rFonts w:eastAsia="Times New Roman" w:cs="Times New Roman"/>
              </w:rPr>
              <w:t>Nombre d’élèves/apprenants chefs de ménage bénéficiaires de subvention</w:t>
            </w:r>
          </w:p>
        </w:tc>
        <w:tc>
          <w:tcPr>
            <w:tcW w:w="749" w:type="pct"/>
          </w:tcPr>
          <w:p w14:paraId="5732C977"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470</w:t>
            </w:r>
          </w:p>
        </w:tc>
        <w:tc>
          <w:tcPr>
            <w:tcW w:w="799" w:type="pct"/>
          </w:tcPr>
          <w:p w14:paraId="5267BB69"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750</w:t>
            </w:r>
          </w:p>
        </w:tc>
        <w:tc>
          <w:tcPr>
            <w:tcW w:w="710" w:type="pct"/>
          </w:tcPr>
          <w:p w14:paraId="708D9B89"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250</w:t>
            </w:r>
          </w:p>
        </w:tc>
      </w:tr>
      <w:tr w:rsidR="00436893" w:rsidRPr="004C7470" w14:paraId="27315EA6"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7CEE83E5" w14:textId="77777777" w:rsidR="00436893" w:rsidRPr="004C7470" w:rsidRDefault="00436893" w:rsidP="00F175A7">
            <w:pPr>
              <w:spacing w:after="0" w:line="240" w:lineRule="auto"/>
              <w:ind w:firstLine="0"/>
            </w:pPr>
            <w:r w:rsidRPr="004C7470">
              <w:rPr>
                <w:rFonts w:eastAsia="Times New Roman" w:cs="Times New Roman"/>
              </w:rPr>
              <w:t>Nombre d’enseignants/animateurs bénéficiaires de renforcement de capacités</w:t>
            </w:r>
          </w:p>
        </w:tc>
        <w:tc>
          <w:tcPr>
            <w:tcW w:w="749" w:type="pct"/>
          </w:tcPr>
          <w:p w14:paraId="6546E16C"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1 650</w:t>
            </w:r>
          </w:p>
        </w:tc>
        <w:tc>
          <w:tcPr>
            <w:tcW w:w="799" w:type="pct"/>
          </w:tcPr>
          <w:p w14:paraId="6B42E88A" w14:textId="77777777" w:rsidR="00436893" w:rsidRPr="004C7470" w:rsidRDefault="00436893"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2 014 dont 759 femmes</w:t>
            </w:r>
          </w:p>
        </w:tc>
        <w:tc>
          <w:tcPr>
            <w:tcW w:w="710" w:type="pct"/>
          </w:tcPr>
          <w:p w14:paraId="00DFDD17"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500</w:t>
            </w:r>
          </w:p>
        </w:tc>
      </w:tr>
      <w:tr w:rsidR="00436893" w:rsidRPr="004C7470" w14:paraId="01422F99"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2C08CEFD" w14:textId="77777777" w:rsidR="00436893" w:rsidRPr="004C7470" w:rsidRDefault="00436893" w:rsidP="00F175A7">
            <w:pPr>
              <w:spacing w:after="0" w:line="240" w:lineRule="auto"/>
              <w:ind w:firstLine="0"/>
            </w:pPr>
            <w:r w:rsidRPr="004C7470">
              <w:rPr>
                <w:rFonts w:eastAsia="Times New Roman" w:cs="Times New Roman"/>
              </w:rPr>
              <w:t>Nombre de filles et enfants vulnérables bénéficiaires de la subvention</w:t>
            </w:r>
          </w:p>
        </w:tc>
        <w:tc>
          <w:tcPr>
            <w:tcW w:w="749" w:type="pct"/>
          </w:tcPr>
          <w:p w14:paraId="68F9863A"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430</w:t>
            </w:r>
          </w:p>
        </w:tc>
        <w:tc>
          <w:tcPr>
            <w:tcW w:w="799" w:type="pct"/>
          </w:tcPr>
          <w:p w14:paraId="479F5E1C"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250</w:t>
            </w:r>
          </w:p>
        </w:tc>
        <w:tc>
          <w:tcPr>
            <w:tcW w:w="710" w:type="pct"/>
          </w:tcPr>
          <w:p w14:paraId="47EA4412"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250</w:t>
            </w:r>
          </w:p>
        </w:tc>
      </w:tr>
      <w:tr w:rsidR="00436893" w:rsidRPr="004C7470" w14:paraId="20818909"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6328B7E1" w14:textId="77777777" w:rsidR="00436893" w:rsidRPr="004C7470" w:rsidRDefault="00436893" w:rsidP="00F175A7">
            <w:pPr>
              <w:spacing w:after="0" w:line="240" w:lineRule="auto"/>
              <w:ind w:firstLine="0"/>
            </w:pPr>
            <w:r w:rsidRPr="004C7470">
              <w:rPr>
                <w:rFonts w:eastAsia="Times New Roman" w:cs="Times New Roman"/>
              </w:rPr>
              <w:t>Nombre d’élèves bénéficiaires de kits scolaires</w:t>
            </w:r>
          </w:p>
        </w:tc>
        <w:tc>
          <w:tcPr>
            <w:tcW w:w="749" w:type="pct"/>
          </w:tcPr>
          <w:p w14:paraId="2C230E87"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51 000</w:t>
            </w:r>
          </w:p>
        </w:tc>
        <w:tc>
          <w:tcPr>
            <w:tcW w:w="799" w:type="pct"/>
          </w:tcPr>
          <w:p w14:paraId="57F1238A"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34 000</w:t>
            </w:r>
          </w:p>
        </w:tc>
        <w:tc>
          <w:tcPr>
            <w:tcW w:w="710" w:type="pct"/>
          </w:tcPr>
          <w:p w14:paraId="58ED3E72"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34 000</w:t>
            </w:r>
          </w:p>
        </w:tc>
      </w:tr>
      <w:tr w:rsidR="00436893" w:rsidRPr="004C7470" w14:paraId="63F43D7B"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2472EE25" w14:textId="77777777" w:rsidR="00436893" w:rsidRPr="004C7470" w:rsidRDefault="00436893" w:rsidP="00F175A7">
            <w:pPr>
              <w:spacing w:after="0" w:line="240" w:lineRule="auto"/>
              <w:ind w:firstLine="0"/>
            </w:pPr>
            <w:r w:rsidRPr="004C7470">
              <w:rPr>
                <w:rFonts w:eastAsia="Times New Roman" w:cs="Times New Roman"/>
              </w:rPr>
              <w:t>Nombre d’animateurs communautaires recrutés</w:t>
            </w:r>
          </w:p>
        </w:tc>
        <w:tc>
          <w:tcPr>
            <w:tcW w:w="749" w:type="pct"/>
          </w:tcPr>
          <w:p w14:paraId="6826CD0B"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100</w:t>
            </w:r>
          </w:p>
        </w:tc>
        <w:tc>
          <w:tcPr>
            <w:tcW w:w="799" w:type="pct"/>
          </w:tcPr>
          <w:p w14:paraId="33950367"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395</w:t>
            </w:r>
          </w:p>
        </w:tc>
        <w:tc>
          <w:tcPr>
            <w:tcW w:w="710" w:type="pct"/>
          </w:tcPr>
          <w:p w14:paraId="76B0492D"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395</w:t>
            </w:r>
          </w:p>
        </w:tc>
      </w:tr>
      <w:tr w:rsidR="00436893" w:rsidRPr="004C7470" w14:paraId="23D68DD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2BE77485" w14:textId="77777777" w:rsidR="00436893" w:rsidRPr="004C7470" w:rsidRDefault="00436893" w:rsidP="00F175A7">
            <w:pPr>
              <w:spacing w:after="0" w:line="240" w:lineRule="auto"/>
              <w:ind w:firstLine="0"/>
            </w:pPr>
            <w:r w:rsidRPr="004C7470">
              <w:rPr>
                <w:rFonts w:eastAsia="Times New Roman" w:cs="Times New Roman"/>
              </w:rPr>
              <w:t>Nombre de salles de classe louées</w:t>
            </w:r>
          </w:p>
        </w:tc>
        <w:tc>
          <w:tcPr>
            <w:tcW w:w="749" w:type="pct"/>
          </w:tcPr>
          <w:p w14:paraId="696DEE2D"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299</w:t>
            </w:r>
          </w:p>
        </w:tc>
        <w:tc>
          <w:tcPr>
            <w:tcW w:w="799" w:type="pct"/>
          </w:tcPr>
          <w:p w14:paraId="395728B6"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84</w:t>
            </w:r>
          </w:p>
        </w:tc>
        <w:tc>
          <w:tcPr>
            <w:tcW w:w="710" w:type="pct"/>
          </w:tcPr>
          <w:p w14:paraId="5FC1AB54"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84</w:t>
            </w:r>
          </w:p>
        </w:tc>
      </w:tr>
      <w:tr w:rsidR="00436893" w:rsidRPr="004C7470" w14:paraId="6D6B8FE1"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790CEA50" w14:textId="77777777" w:rsidR="00436893" w:rsidRPr="004C7470" w:rsidRDefault="00436893" w:rsidP="00F175A7">
            <w:pPr>
              <w:spacing w:after="0" w:line="240" w:lineRule="auto"/>
              <w:ind w:firstLine="0"/>
            </w:pPr>
            <w:r w:rsidRPr="004C7470">
              <w:rPr>
                <w:rFonts w:eastAsia="Times New Roman" w:cs="Times New Roman"/>
              </w:rPr>
              <w:t>Nombre de tables-bancs acquis</w:t>
            </w:r>
          </w:p>
        </w:tc>
        <w:tc>
          <w:tcPr>
            <w:tcW w:w="749" w:type="pct"/>
          </w:tcPr>
          <w:p w14:paraId="7F860482"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18 000</w:t>
            </w:r>
          </w:p>
        </w:tc>
        <w:tc>
          <w:tcPr>
            <w:tcW w:w="799" w:type="pct"/>
          </w:tcPr>
          <w:p w14:paraId="5367DC65"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15 000</w:t>
            </w:r>
          </w:p>
        </w:tc>
        <w:tc>
          <w:tcPr>
            <w:tcW w:w="710" w:type="pct"/>
          </w:tcPr>
          <w:p w14:paraId="527F018E"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6 000</w:t>
            </w:r>
          </w:p>
        </w:tc>
      </w:tr>
      <w:tr w:rsidR="00436893" w:rsidRPr="004C7470" w14:paraId="1E330110"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527BAF23" w14:textId="77777777" w:rsidR="00436893" w:rsidRPr="004C7470" w:rsidRDefault="00436893" w:rsidP="00F175A7">
            <w:pPr>
              <w:spacing w:after="0" w:line="240" w:lineRule="auto"/>
              <w:ind w:firstLine="0"/>
            </w:pPr>
            <w:r w:rsidRPr="004C7470">
              <w:rPr>
                <w:rFonts w:eastAsia="Times New Roman" w:cs="Times New Roman"/>
              </w:rPr>
              <w:t>Nombre d’espaces temporaires d’apprentissage (ETA) réalisés dans les zones de repli</w:t>
            </w:r>
          </w:p>
        </w:tc>
        <w:tc>
          <w:tcPr>
            <w:tcW w:w="749" w:type="pct"/>
          </w:tcPr>
          <w:p w14:paraId="6DFAAA0E"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100</w:t>
            </w:r>
          </w:p>
        </w:tc>
        <w:tc>
          <w:tcPr>
            <w:tcW w:w="799" w:type="pct"/>
          </w:tcPr>
          <w:p w14:paraId="445ABAD8"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950</w:t>
            </w:r>
          </w:p>
        </w:tc>
        <w:tc>
          <w:tcPr>
            <w:tcW w:w="710" w:type="pct"/>
          </w:tcPr>
          <w:p w14:paraId="67BECFB3"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500</w:t>
            </w:r>
          </w:p>
        </w:tc>
      </w:tr>
      <w:tr w:rsidR="00436893" w:rsidRPr="004C7470" w14:paraId="7EB60514"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25BC8008" w14:textId="35559563" w:rsidR="00436893" w:rsidRPr="004C7470" w:rsidRDefault="00436893" w:rsidP="00026E79">
            <w:pPr>
              <w:spacing w:after="0" w:line="240" w:lineRule="auto"/>
              <w:ind w:firstLine="0"/>
            </w:pPr>
            <w:r w:rsidRPr="004C7470">
              <w:rPr>
                <w:rFonts w:eastAsia="Times New Roman" w:cs="Times New Roman"/>
              </w:rPr>
              <w:t xml:space="preserve">Nombre de jeunes sensibilisés </w:t>
            </w:r>
            <w:r w:rsidR="00026E79">
              <w:rPr>
                <w:rFonts w:eastAsia="Times New Roman" w:cs="Times New Roman"/>
              </w:rPr>
              <w:t xml:space="preserve">à </w:t>
            </w:r>
            <w:r w:rsidRPr="004C7470">
              <w:rPr>
                <w:rFonts w:eastAsia="Times New Roman" w:cs="Times New Roman"/>
              </w:rPr>
              <w:t>la culture de la paix et l’extrémisme violent</w:t>
            </w:r>
          </w:p>
        </w:tc>
        <w:tc>
          <w:tcPr>
            <w:tcW w:w="749" w:type="pct"/>
          </w:tcPr>
          <w:p w14:paraId="4B8875BE"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13 500</w:t>
            </w:r>
          </w:p>
        </w:tc>
        <w:tc>
          <w:tcPr>
            <w:tcW w:w="799" w:type="pct"/>
          </w:tcPr>
          <w:p w14:paraId="4D19D4C3"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6 210</w:t>
            </w:r>
          </w:p>
        </w:tc>
        <w:tc>
          <w:tcPr>
            <w:tcW w:w="710" w:type="pct"/>
          </w:tcPr>
          <w:p w14:paraId="73041567"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4 000</w:t>
            </w:r>
          </w:p>
        </w:tc>
      </w:tr>
    </w:tbl>
    <w:p w14:paraId="27EDC96D" w14:textId="51E6527E" w:rsidR="00436893" w:rsidRPr="00141A41" w:rsidRDefault="00436893" w:rsidP="00436893">
      <w:pPr>
        <w:shd w:val="clear" w:color="auto" w:fill="FFFFFF"/>
        <w:spacing w:before="120" w:after="120" w:line="276" w:lineRule="auto"/>
        <w:rPr>
          <w:rFonts w:eastAsia="Times New Roman" w:cs="Times New Roman"/>
          <w:sz w:val="20"/>
          <w:szCs w:val="20"/>
        </w:rPr>
      </w:pPr>
      <w:r w:rsidRPr="00141A41">
        <w:rPr>
          <w:rFonts w:eastAsia="Times New Roman" w:cs="Times New Roman"/>
          <w:b/>
          <w:sz w:val="20"/>
          <w:szCs w:val="20"/>
          <w:u w:val="single"/>
        </w:rPr>
        <w:t>Source</w:t>
      </w:r>
      <w:r w:rsidRPr="00141A41">
        <w:rPr>
          <w:rFonts w:eastAsia="Times New Roman" w:cs="Times New Roman"/>
          <w:sz w:val="20"/>
          <w:szCs w:val="20"/>
        </w:rPr>
        <w:t xml:space="preserve"> : rapport </w:t>
      </w:r>
      <w:r w:rsidR="00603CB3">
        <w:rPr>
          <w:rFonts w:eastAsia="Times New Roman" w:cs="Times New Roman"/>
          <w:sz w:val="20"/>
          <w:szCs w:val="20"/>
        </w:rPr>
        <w:t xml:space="preserve">annuel </w:t>
      </w:r>
      <w:r w:rsidRPr="00141A41">
        <w:rPr>
          <w:rFonts w:eastAsia="Times New Roman" w:cs="Times New Roman"/>
          <w:sz w:val="20"/>
          <w:szCs w:val="20"/>
        </w:rPr>
        <w:t>de performance 2023 du CSD-EF, février 2024</w:t>
      </w:r>
    </w:p>
    <w:p w14:paraId="6855297F" w14:textId="4A5EA0E5"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En terme</w:t>
      </w:r>
      <w:r w:rsidR="00026E79">
        <w:rPr>
          <w:rFonts w:eastAsia="Times New Roman" w:cs="Times New Roman"/>
        </w:rPr>
        <w:t>s</w:t>
      </w:r>
      <w:r w:rsidRPr="008D20C6">
        <w:rPr>
          <w:rFonts w:eastAsia="Times New Roman" w:cs="Times New Roman"/>
        </w:rPr>
        <w:t xml:space="preserve"> d’engagement financier, </w:t>
      </w:r>
      <w:r w:rsidR="00026E79">
        <w:rPr>
          <w:rFonts w:eastAsia="Times New Roman" w:cs="Times New Roman"/>
        </w:rPr>
        <w:t xml:space="preserve">au total </w:t>
      </w:r>
      <w:r w:rsidRPr="008D20C6">
        <w:rPr>
          <w:rFonts w:eastAsia="Times New Roman" w:cs="Times New Roman"/>
        </w:rPr>
        <w:t xml:space="preserve">3 014 337 000 FCFA </w:t>
      </w:r>
      <w:r w:rsidR="00026E79">
        <w:rPr>
          <w:rFonts w:eastAsia="Times New Roman" w:cs="Times New Roman"/>
        </w:rPr>
        <w:t xml:space="preserve">ont été </w:t>
      </w:r>
      <w:r w:rsidRPr="008D20C6">
        <w:rPr>
          <w:rFonts w:eastAsia="Times New Roman" w:cs="Times New Roman"/>
        </w:rPr>
        <w:t>liquidé</w:t>
      </w:r>
      <w:r w:rsidR="00026E79">
        <w:rPr>
          <w:rFonts w:eastAsia="Times New Roman" w:cs="Times New Roman"/>
        </w:rPr>
        <w:t>s</w:t>
      </w:r>
      <w:r w:rsidRPr="008D20C6">
        <w:rPr>
          <w:rFonts w:eastAsia="Times New Roman" w:cs="Times New Roman"/>
        </w:rPr>
        <w:t xml:space="preserve"> sur une prévision de 853 600 000 FCFA, expliqué par la capitalisation de la contribution de partenaires.</w:t>
      </w:r>
    </w:p>
    <w:p w14:paraId="2625D13E" w14:textId="3FCC3EF9"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Au titre de </w:t>
      </w:r>
      <w:r w:rsidRPr="008139E1">
        <w:rPr>
          <w:rFonts w:eastAsia="Times New Roman" w:cs="Times New Roman"/>
          <w:b/>
        </w:rPr>
        <w:t>la mise en place d'un plan de soutien aux PDI, aux personnes pauvres et vulnérables et autres personnes affectées par le terrorisme » (02006)</w:t>
      </w:r>
      <w:r w:rsidRPr="008D20C6">
        <w:rPr>
          <w:rFonts w:eastAsia="Times New Roman" w:cs="Times New Roman"/>
        </w:rPr>
        <w:t>, sixième action, impulsée par le CSD-TEPS, les efforts engagés sont satisfaisants. En effet, pour une cible visée de 1 594 859 PDI, personnes pauvres et vulnérables et autres personnes affectées par le terrorisme à soutenir, 3 066 564 personnes l’ont été effectivement à la date du 31 décembre 2023, soit un taux d’atteinte de plus de 100</w:t>
      </w:r>
      <w:r w:rsidR="00026E79">
        <w:rPr>
          <w:rFonts w:eastAsia="Times New Roman" w:cs="Times New Roman"/>
        </w:rPr>
        <w:t>%</w:t>
      </w:r>
      <w:r w:rsidRPr="008D20C6">
        <w:rPr>
          <w:rFonts w:eastAsia="Times New Roman" w:cs="Times New Roman"/>
        </w:rPr>
        <w:t>. La persistance de la crise sécuritaire explique toujours ce besoin croissant d’accompagnement. Au total, 66 109 171 750 FCFA ont été exécuté</w:t>
      </w:r>
      <w:r w:rsidR="00026E79">
        <w:rPr>
          <w:rFonts w:eastAsia="Times New Roman" w:cs="Times New Roman"/>
        </w:rPr>
        <w:t>s</w:t>
      </w:r>
      <w:r w:rsidRPr="008D20C6">
        <w:rPr>
          <w:rFonts w:eastAsia="Times New Roman" w:cs="Times New Roman"/>
        </w:rPr>
        <w:t xml:space="preserve"> sur une prévision financière de 76 751 874 000 FCFA, soit un taux d’exécution de 86,13%.</w:t>
      </w:r>
    </w:p>
    <w:p w14:paraId="13D904C7" w14:textId="2405ACE2"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Comme consigné</w:t>
      </w:r>
      <w:r w:rsidR="00026E79">
        <w:rPr>
          <w:rFonts w:eastAsia="Times New Roman" w:cs="Times New Roman"/>
        </w:rPr>
        <w:t>s</w:t>
      </w:r>
      <w:r w:rsidRPr="008D20C6">
        <w:rPr>
          <w:rFonts w:eastAsia="Times New Roman" w:cs="Times New Roman"/>
        </w:rPr>
        <w:t xml:space="preserve"> dans le tableau ci-dessous, les progrès sont également notables dans l’exécution des produits associés avec l’atteinte de toutes les cibles visées</w:t>
      </w:r>
      <w:r w:rsidR="00026E79">
        <w:rPr>
          <w:rFonts w:eastAsia="Times New Roman" w:cs="Times New Roman"/>
        </w:rPr>
        <w:t>,</w:t>
      </w:r>
      <w:r w:rsidRPr="008D20C6">
        <w:rPr>
          <w:rFonts w:eastAsia="Times New Roman" w:cs="Times New Roman"/>
        </w:rPr>
        <w:t xml:space="preserve"> mis à part celle relative au transfert monétaire. En effet, pour une cible de 227 837 ménages, l’octroi de transfert monétaire a été effectif pour 131 413 ménages pauvres et vulnérables, y compris des PDI, soit un taux d’atteinte de 57,67%. Cette situation s’explique par la suspension des cash</w:t>
      </w:r>
      <w:r w:rsidR="00026E79">
        <w:rPr>
          <w:rFonts w:eastAsia="Times New Roman" w:cs="Times New Roman"/>
        </w:rPr>
        <w:t xml:space="preserve"> </w:t>
      </w:r>
      <w:r w:rsidRPr="008D20C6">
        <w:rPr>
          <w:rFonts w:eastAsia="Times New Roman" w:cs="Times New Roman"/>
        </w:rPr>
        <w:t>transferts dans certaines régions par le Gouvernement et le retard accusé dans l’opérationnalisation du Programme d’</w:t>
      </w:r>
      <w:r w:rsidR="00026E79">
        <w:rPr>
          <w:rFonts w:eastAsia="Times New Roman" w:cs="Times New Roman"/>
        </w:rPr>
        <w:t>a</w:t>
      </w:r>
      <w:r w:rsidRPr="008D20C6">
        <w:rPr>
          <w:rFonts w:eastAsia="Times New Roman" w:cs="Times New Roman"/>
        </w:rPr>
        <w:t xml:space="preserve">ppui aux </w:t>
      </w:r>
      <w:r w:rsidR="00026E79">
        <w:rPr>
          <w:rFonts w:eastAsia="Times New Roman" w:cs="Times New Roman"/>
        </w:rPr>
        <w:t>m</w:t>
      </w:r>
      <w:r w:rsidRPr="008D20C6">
        <w:rPr>
          <w:rFonts w:eastAsia="Times New Roman" w:cs="Times New Roman"/>
        </w:rPr>
        <w:t xml:space="preserve">énages </w:t>
      </w:r>
      <w:r w:rsidR="00026E79">
        <w:rPr>
          <w:rFonts w:eastAsia="Times New Roman" w:cs="Times New Roman"/>
        </w:rPr>
        <w:t>p</w:t>
      </w:r>
      <w:r w:rsidRPr="008D20C6">
        <w:rPr>
          <w:rFonts w:eastAsia="Times New Roman" w:cs="Times New Roman"/>
        </w:rPr>
        <w:t xml:space="preserve">auvres et </w:t>
      </w:r>
      <w:r w:rsidR="00026E79">
        <w:rPr>
          <w:rFonts w:eastAsia="Times New Roman" w:cs="Times New Roman"/>
        </w:rPr>
        <w:t>v</w:t>
      </w:r>
      <w:r w:rsidRPr="008D20C6">
        <w:rPr>
          <w:rFonts w:eastAsia="Times New Roman" w:cs="Times New Roman"/>
        </w:rPr>
        <w:t>ulnérables (PAMPV) en vue d’une meilleure articulation de l’approche.</w:t>
      </w:r>
    </w:p>
    <w:p w14:paraId="07990430" w14:textId="6820FD74"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lastRenderedPageBreak/>
        <w:t>Quant aux résultats palpables enregistrés au 31 décembre 2023, ils ont trait au renforcement des instruments de planification avec l’élaboration de la stratégie nationale de relèvement des personnes déplacées internes et des communautés d'accueil, du nouveau Plan d’actions national intégré de l’</w:t>
      </w:r>
      <w:r w:rsidR="00026E79">
        <w:rPr>
          <w:rFonts w:eastAsia="Times New Roman" w:cs="Times New Roman"/>
        </w:rPr>
        <w:t>a</w:t>
      </w:r>
      <w:r w:rsidRPr="008D20C6">
        <w:rPr>
          <w:rFonts w:eastAsia="Times New Roman" w:cs="Times New Roman"/>
        </w:rPr>
        <w:t xml:space="preserve">genda Femmes </w:t>
      </w:r>
      <w:r w:rsidR="00026E79">
        <w:rPr>
          <w:rFonts w:eastAsia="Times New Roman" w:cs="Times New Roman"/>
        </w:rPr>
        <w:t>p</w:t>
      </w:r>
      <w:r w:rsidRPr="008D20C6">
        <w:rPr>
          <w:rFonts w:eastAsia="Times New Roman" w:cs="Times New Roman"/>
        </w:rPr>
        <w:t xml:space="preserve">aix et </w:t>
      </w:r>
      <w:r w:rsidR="00026E79">
        <w:rPr>
          <w:rFonts w:eastAsia="Times New Roman" w:cs="Times New Roman"/>
        </w:rPr>
        <w:t>s</w:t>
      </w:r>
      <w:r w:rsidRPr="008D20C6">
        <w:rPr>
          <w:rFonts w:eastAsia="Times New Roman" w:cs="Times New Roman"/>
        </w:rPr>
        <w:t xml:space="preserve">écurité (PANI/FPS) et du programme national de filets sociaux </w:t>
      </w:r>
      <w:r w:rsidR="00026E79">
        <w:rPr>
          <w:rFonts w:eastAsia="Times New Roman" w:cs="Times New Roman"/>
        </w:rPr>
        <w:t xml:space="preserve">qui </w:t>
      </w:r>
      <w:r w:rsidRPr="008D20C6">
        <w:rPr>
          <w:rFonts w:eastAsia="Times New Roman" w:cs="Times New Roman"/>
        </w:rPr>
        <w:t>ont été rendus disponibles. A cela s’ajoute</w:t>
      </w:r>
      <w:r w:rsidR="00026E79">
        <w:rPr>
          <w:rFonts w:eastAsia="Times New Roman" w:cs="Times New Roman"/>
        </w:rPr>
        <w:t>nt</w:t>
      </w:r>
      <w:r w:rsidRPr="008D20C6">
        <w:rPr>
          <w:rFonts w:eastAsia="Times New Roman" w:cs="Times New Roman"/>
        </w:rPr>
        <w:t xml:space="preserve"> : (i) l'appui à 101 345 PDI et personnes vulnérables des communautés hôtes pour la réalisation d’AGR, (ii) l’octroi de kits d’installation à 73 208 adolescents(es) déplacé(e)s internes handicapé(es) et vulnérables, bénéficiaires de formation professionnelle dont 38 068 femmes, (iii) l’assistance alimentaire apportée à 2 073 465 PDI et communautés hôtes vulnérables dont 1 078 201 femmes ; (iv) l’octroi de 3 504 terrains aménagés aux ménages PDI et communautés hôtes et  (v) l’appui au logement de 46 799 PDI sur une cible de 35 240.</w:t>
      </w:r>
    </w:p>
    <w:p w14:paraId="14425A44" w14:textId="54A82D5F"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Cependant, des difficultés ont eu des répercussions sur la réalisation des produits de l’action au rang desquelles l’insuffisance des ressources financières et la non</w:t>
      </w:r>
      <w:r w:rsidR="00026E79">
        <w:rPr>
          <w:rFonts w:eastAsia="Times New Roman" w:cs="Times New Roman"/>
        </w:rPr>
        <w:t>-</w:t>
      </w:r>
      <w:proofErr w:type="spellStart"/>
      <w:r w:rsidRPr="008D20C6">
        <w:rPr>
          <w:rFonts w:eastAsia="Times New Roman" w:cs="Times New Roman"/>
        </w:rPr>
        <w:t>disponibilisation</w:t>
      </w:r>
      <w:proofErr w:type="spellEnd"/>
      <w:r w:rsidRPr="008D20C6">
        <w:rPr>
          <w:rFonts w:eastAsia="Times New Roman" w:cs="Times New Roman"/>
        </w:rPr>
        <w:t xml:space="preserve"> des terrains par les propriétaires terriens au profit des PDI.</w:t>
      </w:r>
    </w:p>
    <w:p w14:paraId="508D985A" w14:textId="40E0C2AA" w:rsidR="00436893" w:rsidRPr="0090695A" w:rsidRDefault="0090695A" w:rsidP="00436893">
      <w:pPr>
        <w:shd w:val="clear" w:color="auto" w:fill="FFFFFF"/>
        <w:spacing w:before="240" w:after="240" w:line="240" w:lineRule="auto"/>
        <w:rPr>
          <w:sz w:val="22"/>
        </w:rPr>
      </w:pPr>
      <w:bookmarkStart w:id="50" w:name="_Toc164503607"/>
      <w:r w:rsidRPr="0090695A">
        <w:rPr>
          <w:b/>
          <w:bCs/>
          <w:sz w:val="22"/>
          <w:u w:val="single"/>
        </w:rPr>
        <w:t xml:space="preserve">Tableau </w:t>
      </w:r>
      <w:r w:rsidRPr="0090695A">
        <w:rPr>
          <w:b/>
          <w:bCs/>
          <w:sz w:val="22"/>
          <w:u w:val="single"/>
        </w:rPr>
        <w:fldChar w:fldCharType="begin"/>
      </w:r>
      <w:r w:rsidRPr="0090695A">
        <w:rPr>
          <w:b/>
          <w:bCs/>
          <w:sz w:val="22"/>
          <w:u w:val="single"/>
        </w:rPr>
        <w:instrText xml:space="preserve"> SEQ Tableau \* ARABIC </w:instrText>
      </w:r>
      <w:r w:rsidRPr="0090695A">
        <w:rPr>
          <w:b/>
          <w:bCs/>
          <w:sz w:val="22"/>
          <w:u w:val="single"/>
        </w:rPr>
        <w:fldChar w:fldCharType="separate"/>
      </w:r>
      <w:r w:rsidR="007C2E4E">
        <w:rPr>
          <w:b/>
          <w:bCs/>
          <w:noProof/>
          <w:sz w:val="22"/>
          <w:u w:val="single"/>
        </w:rPr>
        <w:t>20</w:t>
      </w:r>
      <w:r w:rsidRPr="0090695A">
        <w:rPr>
          <w:b/>
          <w:bCs/>
          <w:sz w:val="22"/>
          <w:u w:val="single"/>
        </w:rPr>
        <w:fldChar w:fldCharType="end"/>
      </w:r>
      <w:r w:rsidR="00436893" w:rsidRPr="0090695A">
        <w:rPr>
          <w:sz w:val="22"/>
        </w:rPr>
        <w:t>: situation des indicateurs de produits relatifs à la « mise en place d'un plan de soutien aux Personnes déplacées internes, aux personnes pauvres et vulnérables et autres personnes affectées par le terrorisme »</w:t>
      </w:r>
      <w:bookmarkEnd w:id="50"/>
    </w:p>
    <w:tbl>
      <w:tblPr>
        <w:tblStyle w:val="TableauGrille4-Accentuation119"/>
        <w:tblW w:w="5000" w:type="pct"/>
        <w:tblLook w:val="04A0" w:firstRow="1" w:lastRow="0" w:firstColumn="1" w:lastColumn="0" w:noHBand="0" w:noVBand="1"/>
      </w:tblPr>
      <w:tblGrid>
        <w:gridCol w:w="5215"/>
        <w:gridCol w:w="1170"/>
        <w:gridCol w:w="1351"/>
        <w:gridCol w:w="1280"/>
      </w:tblGrid>
      <w:tr w:rsidR="00436893" w:rsidRPr="004C7470" w14:paraId="5F9359E0" w14:textId="77777777" w:rsidTr="004C747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92" w:type="pct"/>
          </w:tcPr>
          <w:p w14:paraId="631A90A1" w14:textId="1D56BA9C" w:rsidR="00436893" w:rsidRPr="004C7470" w:rsidRDefault="00436893" w:rsidP="00F175A7">
            <w:pPr>
              <w:spacing w:after="0" w:line="240" w:lineRule="auto"/>
              <w:ind w:firstLine="0"/>
            </w:pPr>
            <w:r w:rsidRPr="004C7470">
              <w:rPr>
                <w:rFonts w:eastAsia="Times New Roman" w:cs="Times New Roman"/>
              </w:rPr>
              <w:t xml:space="preserve">Indicateurs </w:t>
            </w:r>
          </w:p>
        </w:tc>
        <w:tc>
          <w:tcPr>
            <w:tcW w:w="649" w:type="pct"/>
          </w:tcPr>
          <w:p w14:paraId="0D2B6BD3"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2022</w:t>
            </w:r>
          </w:p>
        </w:tc>
        <w:tc>
          <w:tcPr>
            <w:tcW w:w="749" w:type="pct"/>
          </w:tcPr>
          <w:p w14:paraId="55D43061"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710" w:type="pct"/>
          </w:tcPr>
          <w:p w14:paraId="4850D1F4" w14:textId="77777777" w:rsidR="00436893" w:rsidRPr="004C7470" w:rsidRDefault="0043689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436893" w:rsidRPr="004C7470" w14:paraId="4A64A2E2"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2" w:type="pct"/>
          </w:tcPr>
          <w:p w14:paraId="32EBD738" w14:textId="52E1745F" w:rsidR="00436893" w:rsidRPr="004C7470" w:rsidRDefault="00436893" w:rsidP="00F175A7">
            <w:pPr>
              <w:spacing w:after="0" w:line="240" w:lineRule="auto"/>
              <w:ind w:firstLine="0"/>
            </w:pPr>
            <w:r w:rsidRPr="004C7470">
              <w:rPr>
                <w:rFonts w:eastAsia="Times New Roman" w:cs="Times New Roman"/>
              </w:rPr>
              <w:t xml:space="preserve">Disponibilité d'une </w:t>
            </w:r>
            <w:r w:rsidR="00026E79">
              <w:rPr>
                <w:rFonts w:eastAsia="Times New Roman" w:cs="Times New Roman"/>
              </w:rPr>
              <w:t>S</w:t>
            </w:r>
            <w:r w:rsidRPr="004C7470">
              <w:rPr>
                <w:rFonts w:eastAsia="Times New Roman" w:cs="Times New Roman"/>
              </w:rPr>
              <w:t>tratégie nationale de relèvement (SNR) des personnes déplacées internes et des communautés d 'accueil</w:t>
            </w:r>
          </w:p>
        </w:tc>
        <w:tc>
          <w:tcPr>
            <w:tcW w:w="649" w:type="pct"/>
          </w:tcPr>
          <w:p w14:paraId="1CAC47F4"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0</w:t>
            </w:r>
          </w:p>
        </w:tc>
        <w:tc>
          <w:tcPr>
            <w:tcW w:w="749" w:type="pct"/>
          </w:tcPr>
          <w:p w14:paraId="18510F7E"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w:t>
            </w:r>
          </w:p>
        </w:tc>
        <w:tc>
          <w:tcPr>
            <w:tcW w:w="710" w:type="pct"/>
          </w:tcPr>
          <w:p w14:paraId="78CC22EC"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w:t>
            </w:r>
          </w:p>
        </w:tc>
      </w:tr>
      <w:tr w:rsidR="00436893" w:rsidRPr="004C7470" w14:paraId="3DD39C17" w14:textId="77777777" w:rsidTr="004C7470">
        <w:trPr>
          <w:trHeight w:val="20"/>
        </w:trPr>
        <w:tc>
          <w:tcPr>
            <w:cnfStyle w:val="001000000000" w:firstRow="0" w:lastRow="0" w:firstColumn="1" w:lastColumn="0" w:oddVBand="0" w:evenVBand="0" w:oddHBand="0" w:evenHBand="0" w:firstRowFirstColumn="0" w:firstRowLastColumn="0" w:lastRowFirstColumn="0" w:lastRowLastColumn="0"/>
            <w:tcW w:w="2892" w:type="pct"/>
          </w:tcPr>
          <w:p w14:paraId="11C9885A" w14:textId="77777777" w:rsidR="00436893" w:rsidRPr="004C7470" w:rsidRDefault="00436893" w:rsidP="00F175A7">
            <w:pPr>
              <w:spacing w:after="0" w:line="240" w:lineRule="auto"/>
              <w:ind w:firstLine="0"/>
            </w:pPr>
            <w:r w:rsidRPr="004C7470">
              <w:rPr>
                <w:rFonts w:eastAsia="Times New Roman" w:cs="Times New Roman"/>
              </w:rPr>
              <w:t>Un nouveau Plan d’actions national intégré de l’Agenda Femmes Paix et Sécurité (PANI/FPS) élaboré</w:t>
            </w:r>
          </w:p>
        </w:tc>
        <w:tc>
          <w:tcPr>
            <w:tcW w:w="649" w:type="pct"/>
          </w:tcPr>
          <w:p w14:paraId="7B80ACC6"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0</w:t>
            </w:r>
          </w:p>
        </w:tc>
        <w:tc>
          <w:tcPr>
            <w:tcW w:w="749" w:type="pct"/>
          </w:tcPr>
          <w:p w14:paraId="12711E18"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w:t>
            </w:r>
          </w:p>
        </w:tc>
        <w:tc>
          <w:tcPr>
            <w:tcW w:w="710" w:type="pct"/>
          </w:tcPr>
          <w:p w14:paraId="189C436E"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w:t>
            </w:r>
          </w:p>
        </w:tc>
      </w:tr>
      <w:tr w:rsidR="00436893" w:rsidRPr="004C7470" w14:paraId="5908066F"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2" w:type="pct"/>
          </w:tcPr>
          <w:p w14:paraId="7A1802FB" w14:textId="77777777" w:rsidR="00436893" w:rsidRPr="004C7470" w:rsidRDefault="00436893" w:rsidP="00F175A7">
            <w:pPr>
              <w:spacing w:after="0" w:line="240" w:lineRule="auto"/>
              <w:ind w:firstLine="0"/>
            </w:pPr>
            <w:r w:rsidRPr="004C7470">
              <w:rPr>
                <w:rFonts w:eastAsia="Times New Roman" w:cs="Times New Roman"/>
              </w:rPr>
              <w:t>Nombre de kits d’installation octroyés aux adolescents(es) déplacé(e)s internes handicapé(es) et vulnérables bénéficiaires de formation professionnelle</w:t>
            </w:r>
          </w:p>
        </w:tc>
        <w:tc>
          <w:tcPr>
            <w:tcW w:w="649" w:type="pct"/>
          </w:tcPr>
          <w:p w14:paraId="06375538"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C7470">
              <w:rPr>
                <w:rFonts w:eastAsia="Times New Roman" w:cs="Times New Roman"/>
              </w:rPr>
              <w:t>0</w:t>
            </w:r>
          </w:p>
        </w:tc>
        <w:tc>
          <w:tcPr>
            <w:tcW w:w="749" w:type="pct"/>
          </w:tcPr>
          <w:p w14:paraId="13CCE68A" w14:textId="77777777" w:rsidR="00436893" w:rsidRPr="004C7470" w:rsidRDefault="00436893"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C7470">
              <w:rPr>
                <w:rFonts w:eastAsia="Times New Roman" w:cs="Times New Roman"/>
              </w:rPr>
              <w:t>73 208 dont 38 068 femmes</w:t>
            </w:r>
          </w:p>
        </w:tc>
        <w:tc>
          <w:tcPr>
            <w:tcW w:w="710" w:type="pct"/>
          </w:tcPr>
          <w:p w14:paraId="36B50184"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C7470">
              <w:rPr>
                <w:rFonts w:eastAsia="Times New Roman" w:cs="Times New Roman"/>
              </w:rPr>
              <w:t>55 500</w:t>
            </w:r>
          </w:p>
        </w:tc>
      </w:tr>
      <w:tr w:rsidR="00436893" w:rsidRPr="004C7470" w14:paraId="3A989365" w14:textId="77777777" w:rsidTr="004C7470">
        <w:trPr>
          <w:trHeight w:val="20"/>
        </w:trPr>
        <w:tc>
          <w:tcPr>
            <w:cnfStyle w:val="001000000000" w:firstRow="0" w:lastRow="0" w:firstColumn="1" w:lastColumn="0" w:oddVBand="0" w:evenVBand="0" w:oddHBand="0" w:evenHBand="0" w:firstRowFirstColumn="0" w:firstRowLastColumn="0" w:lastRowFirstColumn="0" w:lastRowLastColumn="0"/>
            <w:tcW w:w="2892" w:type="pct"/>
          </w:tcPr>
          <w:p w14:paraId="23EBB63B" w14:textId="77777777" w:rsidR="00436893" w:rsidRPr="004C7470" w:rsidRDefault="00436893" w:rsidP="00F175A7">
            <w:pPr>
              <w:spacing w:after="0" w:line="240" w:lineRule="auto"/>
              <w:ind w:firstLine="0"/>
            </w:pPr>
            <w:r w:rsidRPr="004C7470">
              <w:rPr>
                <w:rFonts w:eastAsia="Times New Roman" w:cs="Times New Roman"/>
              </w:rPr>
              <w:t>Nombre de PDI et communautés hôtes vulnérables bénéficiaires d'assistance alimentaire</w:t>
            </w:r>
          </w:p>
        </w:tc>
        <w:tc>
          <w:tcPr>
            <w:tcW w:w="649" w:type="pct"/>
          </w:tcPr>
          <w:p w14:paraId="24BAAA1C"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0</w:t>
            </w:r>
          </w:p>
        </w:tc>
        <w:tc>
          <w:tcPr>
            <w:tcW w:w="749" w:type="pct"/>
          </w:tcPr>
          <w:p w14:paraId="281CC240" w14:textId="77777777" w:rsidR="00436893" w:rsidRPr="004C7470" w:rsidRDefault="00436893"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2 073 465 dont 1 078 201 femmes</w:t>
            </w:r>
          </w:p>
        </w:tc>
        <w:tc>
          <w:tcPr>
            <w:tcW w:w="710" w:type="pct"/>
          </w:tcPr>
          <w:p w14:paraId="7254CF10"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1 321 492</w:t>
            </w:r>
          </w:p>
        </w:tc>
      </w:tr>
      <w:tr w:rsidR="00436893" w:rsidRPr="004C7470" w14:paraId="7BC5D398"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2" w:type="pct"/>
          </w:tcPr>
          <w:p w14:paraId="0A5B69D4" w14:textId="77777777" w:rsidR="00436893" w:rsidRPr="004C7470" w:rsidRDefault="00436893" w:rsidP="00F175A7">
            <w:pPr>
              <w:spacing w:after="0" w:line="240" w:lineRule="auto"/>
              <w:ind w:firstLine="0"/>
            </w:pPr>
            <w:r w:rsidRPr="004C7470">
              <w:rPr>
                <w:rFonts w:eastAsia="Times New Roman" w:cs="Times New Roman"/>
              </w:rPr>
              <w:t>Nombre de PDI et personnes vulnérables des communautés hôtes bénéficiaires d'appui pour la réalisation d’AGR</w:t>
            </w:r>
          </w:p>
        </w:tc>
        <w:tc>
          <w:tcPr>
            <w:tcW w:w="649" w:type="pct"/>
          </w:tcPr>
          <w:p w14:paraId="6FF79F36"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0</w:t>
            </w:r>
          </w:p>
        </w:tc>
        <w:tc>
          <w:tcPr>
            <w:tcW w:w="749" w:type="pct"/>
          </w:tcPr>
          <w:p w14:paraId="09A3D979"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101 345</w:t>
            </w:r>
          </w:p>
        </w:tc>
        <w:tc>
          <w:tcPr>
            <w:tcW w:w="710" w:type="pct"/>
          </w:tcPr>
          <w:p w14:paraId="6DDABE5C"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79 298</w:t>
            </w:r>
          </w:p>
        </w:tc>
      </w:tr>
      <w:tr w:rsidR="00436893" w:rsidRPr="004C7470" w14:paraId="65782022" w14:textId="77777777" w:rsidTr="004C7470">
        <w:trPr>
          <w:trHeight w:val="20"/>
        </w:trPr>
        <w:tc>
          <w:tcPr>
            <w:cnfStyle w:val="001000000000" w:firstRow="0" w:lastRow="0" w:firstColumn="1" w:lastColumn="0" w:oddVBand="0" w:evenVBand="0" w:oddHBand="0" w:evenHBand="0" w:firstRowFirstColumn="0" w:firstRowLastColumn="0" w:lastRowFirstColumn="0" w:lastRowLastColumn="0"/>
            <w:tcW w:w="2892" w:type="pct"/>
          </w:tcPr>
          <w:p w14:paraId="6F5357F1" w14:textId="77777777" w:rsidR="00436893" w:rsidRPr="004C7470" w:rsidRDefault="00436893" w:rsidP="00F175A7">
            <w:pPr>
              <w:spacing w:after="0" w:line="240" w:lineRule="auto"/>
              <w:ind w:firstLine="0"/>
            </w:pPr>
            <w:r w:rsidRPr="004C7470">
              <w:rPr>
                <w:rFonts w:eastAsia="Times New Roman" w:cs="Times New Roman"/>
              </w:rPr>
              <w:t>Nombre de ménages de PDI et communautés hôtes bénéficiaires de terrains aménagés pour exploitation économique</w:t>
            </w:r>
          </w:p>
        </w:tc>
        <w:tc>
          <w:tcPr>
            <w:tcW w:w="649" w:type="pct"/>
          </w:tcPr>
          <w:p w14:paraId="6B619DC7"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0</w:t>
            </w:r>
          </w:p>
        </w:tc>
        <w:tc>
          <w:tcPr>
            <w:tcW w:w="749" w:type="pct"/>
          </w:tcPr>
          <w:p w14:paraId="1AEEC46C"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3 504</w:t>
            </w:r>
          </w:p>
        </w:tc>
        <w:tc>
          <w:tcPr>
            <w:tcW w:w="710" w:type="pct"/>
          </w:tcPr>
          <w:p w14:paraId="54F210B7"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2 775</w:t>
            </w:r>
          </w:p>
        </w:tc>
      </w:tr>
      <w:tr w:rsidR="00436893" w:rsidRPr="004C7470" w14:paraId="07FD13AB"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2" w:type="pct"/>
          </w:tcPr>
          <w:p w14:paraId="4C75A885" w14:textId="2E3A38B4" w:rsidR="00436893" w:rsidRPr="004C7470" w:rsidRDefault="00436893" w:rsidP="007770A0">
            <w:pPr>
              <w:spacing w:after="0" w:line="240" w:lineRule="auto"/>
              <w:ind w:firstLine="0"/>
            </w:pPr>
            <w:r w:rsidRPr="004C7470">
              <w:rPr>
                <w:rFonts w:eastAsia="Times New Roman" w:cs="Times New Roman"/>
              </w:rPr>
              <w:t>Nombre de PDI bénéficiaires d'appui au logement</w:t>
            </w:r>
          </w:p>
        </w:tc>
        <w:tc>
          <w:tcPr>
            <w:tcW w:w="649" w:type="pct"/>
          </w:tcPr>
          <w:p w14:paraId="58CECCEF"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0</w:t>
            </w:r>
          </w:p>
        </w:tc>
        <w:tc>
          <w:tcPr>
            <w:tcW w:w="749" w:type="pct"/>
          </w:tcPr>
          <w:p w14:paraId="1098C5C4"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46 799</w:t>
            </w:r>
          </w:p>
        </w:tc>
        <w:tc>
          <w:tcPr>
            <w:tcW w:w="710" w:type="pct"/>
          </w:tcPr>
          <w:p w14:paraId="4FE7BAFB"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35 240</w:t>
            </w:r>
          </w:p>
        </w:tc>
      </w:tr>
      <w:tr w:rsidR="00436893" w:rsidRPr="004C7470" w14:paraId="66109403" w14:textId="77777777" w:rsidTr="004C7470">
        <w:trPr>
          <w:trHeight w:val="20"/>
        </w:trPr>
        <w:tc>
          <w:tcPr>
            <w:cnfStyle w:val="001000000000" w:firstRow="0" w:lastRow="0" w:firstColumn="1" w:lastColumn="0" w:oddVBand="0" w:evenVBand="0" w:oddHBand="0" w:evenHBand="0" w:firstRowFirstColumn="0" w:firstRowLastColumn="0" w:lastRowFirstColumn="0" w:lastRowLastColumn="0"/>
            <w:tcW w:w="2892" w:type="pct"/>
          </w:tcPr>
          <w:p w14:paraId="12E82A7E" w14:textId="6FB9B5F1" w:rsidR="00436893" w:rsidRPr="004C7470" w:rsidRDefault="00436893" w:rsidP="00F175A7">
            <w:pPr>
              <w:spacing w:after="0" w:line="240" w:lineRule="auto"/>
              <w:ind w:firstLine="0"/>
            </w:pPr>
            <w:r w:rsidRPr="004C7470">
              <w:rPr>
                <w:rFonts w:eastAsia="Times New Roman" w:cs="Times New Roman"/>
              </w:rPr>
              <w:t>Nombre de ménages pauvres et vulnérables, y compris des DI bénéficiaires de transfert monétaire</w:t>
            </w:r>
          </w:p>
        </w:tc>
        <w:tc>
          <w:tcPr>
            <w:tcW w:w="649" w:type="pct"/>
          </w:tcPr>
          <w:p w14:paraId="6FB2CD0E"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202 256</w:t>
            </w:r>
          </w:p>
        </w:tc>
        <w:tc>
          <w:tcPr>
            <w:tcW w:w="749" w:type="pct"/>
          </w:tcPr>
          <w:p w14:paraId="39719583"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131 413</w:t>
            </w:r>
          </w:p>
        </w:tc>
        <w:tc>
          <w:tcPr>
            <w:tcW w:w="710" w:type="pct"/>
          </w:tcPr>
          <w:p w14:paraId="55818D24" w14:textId="77777777" w:rsidR="00436893" w:rsidRPr="004C7470" w:rsidRDefault="0043689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227 837</w:t>
            </w:r>
          </w:p>
        </w:tc>
      </w:tr>
      <w:tr w:rsidR="00436893" w:rsidRPr="004C7470" w14:paraId="2D318F7B" w14:textId="77777777" w:rsidTr="004C74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2" w:type="pct"/>
          </w:tcPr>
          <w:p w14:paraId="250B338C" w14:textId="77777777" w:rsidR="00436893" w:rsidRPr="004C7470" w:rsidRDefault="00436893" w:rsidP="00F175A7">
            <w:pPr>
              <w:spacing w:after="0" w:line="240" w:lineRule="auto"/>
              <w:ind w:firstLine="0"/>
              <w:rPr>
                <w:rFonts w:eastAsia="Times New Roman" w:cs="Times New Roman"/>
                <w:b w:val="0"/>
              </w:rPr>
            </w:pPr>
            <w:r w:rsidRPr="004C7470">
              <w:rPr>
                <w:rFonts w:eastAsia="Times New Roman" w:cs="Times New Roman"/>
              </w:rPr>
              <w:t>Disponibilité du programme national de filets sociaux</w:t>
            </w:r>
          </w:p>
        </w:tc>
        <w:tc>
          <w:tcPr>
            <w:tcW w:w="649" w:type="pct"/>
          </w:tcPr>
          <w:p w14:paraId="39C55063"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C7470">
              <w:rPr>
                <w:rFonts w:eastAsia="Times New Roman" w:cs="Times New Roman"/>
              </w:rPr>
              <w:t>0</w:t>
            </w:r>
          </w:p>
        </w:tc>
        <w:tc>
          <w:tcPr>
            <w:tcW w:w="749" w:type="pct"/>
          </w:tcPr>
          <w:p w14:paraId="61A9A73A"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C7470">
              <w:rPr>
                <w:rFonts w:eastAsia="Times New Roman" w:cs="Times New Roman"/>
              </w:rPr>
              <w:t>1</w:t>
            </w:r>
          </w:p>
        </w:tc>
        <w:tc>
          <w:tcPr>
            <w:tcW w:w="710" w:type="pct"/>
          </w:tcPr>
          <w:p w14:paraId="44813DED" w14:textId="77777777" w:rsidR="00436893" w:rsidRPr="004C7470" w:rsidRDefault="0043689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w:t>
            </w:r>
          </w:p>
        </w:tc>
      </w:tr>
    </w:tbl>
    <w:p w14:paraId="615A281D" w14:textId="63ED8F69" w:rsidR="00436893" w:rsidRPr="00691D6C" w:rsidRDefault="00436893" w:rsidP="00436893">
      <w:pPr>
        <w:shd w:val="clear" w:color="auto" w:fill="FFFFFF"/>
        <w:spacing w:before="120" w:after="120" w:line="276" w:lineRule="auto"/>
        <w:rPr>
          <w:rFonts w:eastAsia="Times New Roman" w:cs="Times New Roman"/>
          <w:sz w:val="20"/>
          <w:szCs w:val="20"/>
        </w:rPr>
      </w:pPr>
      <w:r w:rsidRPr="00691D6C">
        <w:rPr>
          <w:rFonts w:eastAsia="Times New Roman" w:cs="Times New Roman"/>
          <w:b/>
          <w:sz w:val="20"/>
          <w:szCs w:val="20"/>
          <w:u w:val="single"/>
        </w:rPr>
        <w:t>Source</w:t>
      </w:r>
      <w:r w:rsidR="00603CB3">
        <w:rPr>
          <w:rFonts w:eastAsia="Times New Roman" w:cs="Times New Roman"/>
          <w:sz w:val="20"/>
          <w:szCs w:val="20"/>
        </w:rPr>
        <w:t xml:space="preserve"> : r</w:t>
      </w:r>
      <w:r w:rsidRPr="00691D6C">
        <w:rPr>
          <w:rFonts w:eastAsia="Times New Roman" w:cs="Times New Roman"/>
          <w:sz w:val="20"/>
          <w:szCs w:val="20"/>
        </w:rPr>
        <w:t xml:space="preserve">apport </w:t>
      </w:r>
      <w:r w:rsidR="00603CB3">
        <w:rPr>
          <w:rFonts w:eastAsia="Times New Roman" w:cs="Times New Roman"/>
          <w:sz w:val="20"/>
          <w:szCs w:val="20"/>
        </w:rPr>
        <w:t xml:space="preserve">annuel </w:t>
      </w:r>
      <w:r w:rsidRPr="00691D6C">
        <w:rPr>
          <w:rFonts w:eastAsia="Times New Roman" w:cs="Times New Roman"/>
          <w:sz w:val="20"/>
          <w:szCs w:val="20"/>
        </w:rPr>
        <w:t>de performance 2023 du CSD-TEPS, février 2024</w:t>
      </w:r>
    </w:p>
    <w:p w14:paraId="5AC1D6D8" w14:textId="36861220"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En terme</w:t>
      </w:r>
      <w:r w:rsidR="006C0DCA">
        <w:rPr>
          <w:rFonts w:eastAsia="Times New Roman" w:cs="Times New Roman"/>
        </w:rPr>
        <w:t>s</w:t>
      </w:r>
      <w:r w:rsidRPr="008D20C6">
        <w:rPr>
          <w:rFonts w:eastAsia="Times New Roman" w:cs="Times New Roman"/>
        </w:rPr>
        <w:t xml:space="preserve"> d’exécution financière, au total, seulement 42,19 milliards FCFA ont été exécutés au 31 décembre 2023 sur une prévision de 238,18 milliards FCFA, soit un taux de 17,72%.</w:t>
      </w:r>
    </w:p>
    <w:p w14:paraId="595C1567" w14:textId="1E7935FA"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lastRenderedPageBreak/>
        <w:t xml:space="preserve">Quant à l’action 02007 « </w:t>
      </w:r>
      <w:r w:rsidR="007770A0">
        <w:rPr>
          <w:rFonts w:eastAsia="Times New Roman" w:cs="Times New Roman"/>
          <w:b/>
        </w:rPr>
        <w:t>m</w:t>
      </w:r>
      <w:r w:rsidRPr="008139E1">
        <w:rPr>
          <w:rFonts w:eastAsia="Times New Roman" w:cs="Times New Roman"/>
          <w:b/>
        </w:rPr>
        <w:t>ise en œuvre d'un Programme d'</w:t>
      </w:r>
      <w:r w:rsidR="007770A0">
        <w:rPr>
          <w:rFonts w:eastAsia="Times New Roman" w:cs="Times New Roman"/>
          <w:b/>
        </w:rPr>
        <w:t>u</w:t>
      </w:r>
      <w:r w:rsidRPr="008139E1">
        <w:rPr>
          <w:rFonts w:eastAsia="Times New Roman" w:cs="Times New Roman"/>
          <w:b/>
        </w:rPr>
        <w:t xml:space="preserve">rbanisme de </w:t>
      </w:r>
      <w:r w:rsidR="007770A0">
        <w:rPr>
          <w:rFonts w:eastAsia="Times New Roman" w:cs="Times New Roman"/>
          <w:b/>
        </w:rPr>
        <w:t>c</w:t>
      </w:r>
      <w:r w:rsidRPr="008139E1">
        <w:rPr>
          <w:rFonts w:eastAsia="Times New Roman" w:cs="Times New Roman"/>
          <w:b/>
        </w:rPr>
        <w:t>rise (PUC)</w:t>
      </w:r>
      <w:r w:rsidRPr="008D20C6">
        <w:rPr>
          <w:rFonts w:eastAsia="Times New Roman" w:cs="Times New Roman"/>
        </w:rPr>
        <w:t xml:space="preserve"> », portée par le secteur ITCH, les ambitions visées en terme</w:t>
      </w:r>
      <w:r w:rsidR="006C0DCA">
        <w:rPr>
          <w:rFonts w:eastAsia="Times New Roman" w:cs="Times New Roman"/>
        </w:rPr>
        <w:t>s</w:t>
      </w:r>
      <w:r w:rsidRPr="008D20C6">
        <w:rPr>
          <w:rFonts w:eastAsia="Times New Roman" w:cs="Times New Roman"/>
        </w:rPr>
        <w:t xml:space="preserve"> de niveau de mise en œuvre du programme d’urgence de 5% ont été différées pour 2024 et 2025. A ce titre, la mise en œuvre des deux programmes initialement planifiés</w:t>
      </w:r>
      <w:r w:rsidR="007770A0">
        <w:rPr>
          <w:rFonts w:eastAsia="Times New Roman" w:cs="Times New Roman"/>
        </w:rPr>
        <w:t>,</w:t>
      </w:r>
      <w:r w:rsidRPr="008D20C6">
        <w:rPr>
          <w:rFonts w:eastAsia="Times New Roman" w:cs="Times New Roman"/>
        </w:rPr>
        <w:t xml:space="preserve"> notamment </w:t>
      </w:r>
      <w:r w:rsidR="007770A0">
        <w:rPr>
          <w:rFonts w:eastAsia="Times New Roman" w:cs="Times New Roman"/>
        </w:rPr>
        <w:t>« </w:t>
      </w:r>
      <w:r w:rsidRPr="008D20C6">
        <w:rPr>
          <w:rFonts w:eastAsia="Times New Roman" w:cs="Times New Roman"/>
        </w:rPr>
        <w:t xml:space="preserve">le programme d’urgence de renforcement de l’urbanité des villes et localités à forte prégnance de PDI » et « celui d’urbanisation des localités accueillant des PDI » ont été abandonnés. En effet, le Conseil des </w:t>
      </w:r>
      <w:r w:rsidR="007770A0">
        <w:rPr>
          <w:rFonts w:eastAsia="Times New Roman" w:cs="Times New Roman"/>
        </w:rPr>
        <w:t>m</w:t>
      </w:r>
      <w:r w:rsidRPr="008D20C6">
        <w:rPr>
          <w:rFonts w:eastAsia="Times New Roman" w:cs="Times New Roman"/>
        </w:rPr>
        <w:t>inistres en date du 22 novembre 2023, sur une communication orale relative à l’état des villes à fort défi sécuritaire, a décidé de l’élaboration d’un plan stratégique de reconfiguration urbaine et pour lequel un comité interministériel est mis en place.</w:t>
      </w:r>
    </w:p>
    <w:p w14:paraId="3CADF0B4" w14:textId="663D2D39"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En ce qui concerne la huitième action portant sur </w:t>
      </w:r>
      <w:r w:rsidRPr="008139E1">
        <w:rPr>
          <w:rFonts w:eastAsia="Times New Roman" w:cs="Times New Roman"/>
          <w:b/>
        </w:rPr>
        <w:t>l’acquisition et l’approvisionnement en produits de santé, équipements et autres intrants de prise en charge sanitaire des populations affectées par le terrorisme y compris les PDI (A02008)</w:t>
      </w:r>
      <w:r w:rsidRPr="008D20C6">
        <w:rPr>
          <w:rFonts w:eastAsia="Times New Roman" w:cs="Times New Roman"/>
        </w:rPr>
        <w:t xml:space="preserve">, elle est implémentée par le CSD Santé. La performance au 31 décembre est appréciable avec un niveau d’atteinte de la proportion de districts en besoin </w:t>
      </w:r>
      <w:r w:rsidR="007770A0">
        <w:rPr>
          <w:rFonts w:eastAsia="Times New Roman" w:cs="Times New Roman"/>
        </w:rPr>
        <w:t>de</w:t>
      </w:r>
      <w:r w:rsidRPr="008D20C6">
        <w:rPr>
          <w:rFonts w:eastAsia="Times New Roman" w:cs="Times New Roman"/>
        </w:rPr>
        <w:t xml:space="preserve"> kits d’urgence satisfait de </w:t>
      </w:r>
      <w:r w:rsidR="006C0DCA">
        <w:rPr>
          <w:rFonts w:eastAsia="Times New Roman" w:cs="Times New Roman"/>
        </w:rPr>
        <w:t>100</w:t>
      </w:r>
      <w:r w:rsidRPr="008D20C6">
        <w:rPr>
          <w:rFonts w:eastAsia="Times New Roman" w:cs="Times New Roman"/>
        </w:rPr>
        <w:t xml:space="preserve">% pour une cible visée de </w:t>
      </w:r>
      <w:r w:rsidR="006C0DCA">
        <w:rPr>
          <w:rFonts w:eastAsia="Times New Roman" w:cs="Times New Roman"/>
        </w:rPr>
        <w:t>95</w:t>
      </w:r>
      <w:r w:rsidRPr="008D20C6">
        <w:rPr>
          <w:rFonts w:eastAsia="Times New Roman" w:cs="Times New Roman"/>
        </w:rPr>
        <w:t>%. Les principaux acquis enregistrés dans le cadre de cette action sont l'approvisionnement effectif des zones difficiles d’accès en intrants et en médicaments essentiels et la dotation en kits d’urgence médicamenteux et matériels médicotechniques.</w:t>
      </w:r>
    </w:p>
    <w:p w14:paraId="77F7EC86" w14:textId="23AD8D2F"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S’agissant de la neuvième action « </w:t>
      </w:r>
      <w:r w:rsidRPr="008139E1">
        <w:rPr>
          <w:rFonts w:eastAsia="Times New Roman" w:cs="Times New Roman"/>
          <w:b/>
        </w:rPr>
        <w:t>renforcement de la continuité de l’offre de soins et de services d’urgence, de base et de nutrition, au profit des populations affectées par le terrorisme, y compris les PDI » (02009)</w:t>
      </w:r>
      <w:r w:rsidRPr="008D20C6">
        <w:rPr>
          <w:rFonts w:eastAsia="Times New Roman" w:cs="Times New Roman"/>
        </w:rPr>
        <w:t xml:space="preserve">, elle est mise en œuvre également par le secteur de la santé. Au 31 décembre 2023, les efforts engagés dans ce sens sont appréciables, traduits par la création de 63 postes de santé avancés sur </w:t>
      </w:r>
      <w:r w:rsidR="006C0DCA">
        <w:rPr>
          <w:rFonts w:eastAsia="Times New Roman" w:cs="Times New Roman"/>
        </w:rPr>
        <w:t xml:space="preserve">les </w:t>
      </w:r>
      <w:r w:rsidRPr="008D20C6">
        <w:rPr>
          <w:rFonts w:eastAsia="Times New Roman" w:cs="Times New Roman"/>
        </w:rPr>
        <w:t xml:space="preserve">65 prévus et la remise en fonction de </w:t>
      </w:r>
      <w:r w:rsidR="006C0DCA" w:rsidRPr="00345EBE">
        <w:rPr>
          <w:rFonts w:eastAsia="Times New Roman" w:cs="Times New Roman"/>
        </w:rPr>
        <w:t>37</w:t>
      </w:r>
      <w:r w:rsidR="006C0DCA" w:rsidRPr="00230911">
        <w:rPr>
          <w:rFonts w:eastAsia="Times New Roman" w:cs="Times New Roman"/>
        </w:rPr>
        <w:t>%</w:t>
      </w:r>
      <w:r w:rsidR="006C0DCA" w:rsidRPr="008D20C6">
        <w:rPr>
          <w:rFonts w:eastAsia="Times New Roman" w:cs="Times New Roman"/>
        </w:rPr>
        <w:t xml:space="preserve"> des formations sanitaires fermées dans les zones à fort défi sécuritaire</w:t>
      </w:r>
      <w:r w:rsidRPr="008D20C6">
        <w:rPr>
          <w:rFonts w:eastAsia="Times New Roman" w:cs="Times New Roman"/>
        </w:rPr>
        <w:t xml:space="preserve"> sur une cible de 50%.</w:t>
      </w:r>
    </w:p>
    <w:p w14:paraId="7D39C74A" w14:textId="3959F150"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L</w:t>
      </w:r>
      <w:r w:rsidR="006C0DCA">
        <w:rPr>
          <w:rFonts w:eastAsia="Times New Roman" w:cs="Times New Roman"/>
        </w:rPr>
        <w:t>es réalisations</w:t>
      </w:r>
      <w:r w:rsidRPr="008D20C6">
        <w:rPr>
          <w:rFonts w:eastAsia="Times New Roman" w:cs="Times New Roman"/>
        </w:rPr>
        <w:t xml:space="preserve"> des livrables attendus dans le cadre de cette action </w:t>
      </w:r>
      <w:r w:rsidR="006C0DCA">
        <w:rPr>
          <w:rFonts w:eastAsia="Times New Roman" w:cs="Times New Roman"/>
        </w:rPr>
        <w:t>ont atteint</w:t>
      </w:r>
      <w:r w:rsidRPr="008D20C6">
        <w:rPr>
          <w:rFonts w:eastAsia="Times New Roman" w:cs="Times New Roman"/>
        </w:rPr>
        <w:t xml:space="preserve"> leurs cibles. En effet, 65,</w:t>
      </w:r>
      <w:r w:rsidR="006C0DCA">
        <w:rPr>
          <w:rFonts w:eastAsia="Times New Roman" w:cs="Times New Roman"/>
        </w:rPr>
        <w:t>5</w:t>
      </w:r>
      <w:r w:rsidRPr="008D20C6">
        <w:rPr>
          <w:rFonts w:eastAsia="Times New Roman" w:cs="Times New Roman"/>
        </w:rPr>
        <w:t>% des enfants malnutris dans les zones affectées par le terrorisme ont été pris en charge pour une cible visée de 64%, notamment dans les régions de la Boucle du Mouhoun, du Centre-Est, du Centre-Nord, l’Est, du Nord et du Sahel. En outre, la proportion d’agents ayant bénéficié de mesures de fidélisation a été portée à 100% pour une cible de 60% grâce aux multiples rotations réalisées au niveau des agents de santé travaillant dans les zones à fort défi sécuritaire et aux appuis alimentaires qui leur ont été octroyés.</w:t>
      </w:r>
    </w:p>
    <w:p w14:paraId="2C9F5067" w14:textId="4A8B6D6B" w:rsidR="00436893" w:rsidRPr="008D20C6"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En terme</w:t>
      </w:r>
      <w:r w:rsidR="007770A0">
        <w:rPr>
          <w:rFonts w:eastAsia="Times New Roman" w:cs="Times New Roman"/>
        </w:rPr>
        <w:t>s</w:t>
      </w:r>
      <w:r w:rsidRPr="008D20C6">
        <w:rPr>
          <w:rFonts w:eastAsia="Times New Roman" w:cs="Times New Roman"/>
        </w:rPr>
        <w:t xml:space="preserve"> d’engagement financer, la situation d’exécution des 3,9 milliards FCFA dédiés à cette action n’est pas encore</w:t>
      </w:r>
      <w:r w:rsidR="006C0DCA">
        <w:rPr>
          <w:rFonts w:eastAsia="Times New Roman" w:cs="Times New Roman"/>
        </w:rPr>
        <w:t xml:space="preserve"> disponible</w:t>
      </w:r>
      <w:r w:rsidR="00753617">
        <w:rPr>
          <w:rFonts w:eastAsia="Times New Roman" w:cs="Times New Roman"/>
        </w:rPr>
        <w:t>.</w:t>
      </w:r>
    </w:p>
    <w:p w14:paraId="0CE7DAF3" w14:textId="074F105D" w:rsidR="00FC10FA" w:rsidRPr="00436893" w:rsidRDefault="00436893" w:rsidP="00F175A7">
      <w:pPr>
        <w:numPr>
          <w:ilvl w:val="0"/>
          <w:numId w:val="8"/>
        </w:numPr>
        <w:shd w:val="clear" w:color="auto" w:fill="FFFFFF"/>
        <w:spacing w:before="120" w:after="120" w:line="240" w:lineRule="auto"/>
        <w:ind w:left="0"/>
        <w:rPr>
          <w:rFonts w:eastAsia="Times New Roman" w:cs="Times New Roman"/>
        </w:rPr>
      </w:pPr>
      <w:r w:rsidRPr="008D20C6">
        <w:rPr>
          <w:rFonts w:eastAsia="Times New Roman" w:cs="Times New Roman"/>
        </w:rPr>
        <w:t xml:space="preserve">En ce qui concerne la proportion d’agents ayant bénéficié de mesures de fidélisation, la cible a été dépassée grâce aux multiples rotations réalisées au </w:t>
      </w:r>
      <w:r w:rsidR="006C0DCA">
        <w:rPr>
          <w:rFonts w:eastAsia="Times New Roman" w:cs="Times New Roman"/>
        </w:rPr>
        <w:t xml:space="preserve">profit </w:t>
      </w:r>
      <w:r w:rsidRPr="008D20C6">
        <w:rPr>
          <w:rFonts w:eastAsia="Times New Roman" w:cs="Times New Roman"/>
        </w:rPr>
        <w:t>des agents de santé travaillant dans les zones à fort défi sécuritaire et aux appuis alimentaires qui leur ont été octroyés.</w:t>
      </w:r>
    </w:p>
    <w:p w14:paraId="089E6C5B" w14:textId="79907BC0" w:rsidR="006470A9" w:rsidRDefault="006470A9">
      <w:pPr>
        <w:spacing w:after="0" w:line="240" w:lineRule="auto"/>
        <w:jc w:val="left"/>
        <w:rPr>
          <w:lang w:eastAsia="fr-FR"/>
        </w:rPr>
      </w:pPr>
      <w:r>
        <w:rPr>
          <w:lang w:eastAsia="fr-FR"/>
        </w:rPr>
        <w:br w:type="page"/>
      </w:r>
    </w:p>
    <w:p w14:paraId="609DD959" w14:textId="5AA1F067" w:rsidR="00F4363F" w:rsidRPr="00F4363F" w:rsidRDefault="00160798" w:rsidP="00F4363F">
      <w:pPr>
        <w:pStyle w:val="PAT3"/>
      </w:pPr>
      <w:bookmarkStart w:id="51" w:name="_Toc163141215"/>
      <w:r w:rsidRPr="008D2129">
        <w:lastRenderedPageBreak/>
        <w:t>Axe 4 : Dynamiser les secteurs porteurs pour l'économie et les emplois</w:t>
      </w:r>
      <w:bookmarkEnd w:id="51"/>
    </w:p>
    <w:p w14:paraId="22B5DC57" w14:textId="77777777" w:rsidR="00F4363F" w:rsidRPr="00F4363F" w:rsidRDefault="00F4363F" w:rsidP="00F175A7">
      <w:pPr>
        <w:numPr>
          <w:ilvl w:val="0"/>
          <w:numId w:val="8"/>
        </w:numPr>
        <w:shd w:val="clear" w:color="auto" w:fill="FFFFFF"/>
        <w:spacing w:before="120" w:after="120" w:line="240" w:lineRule="auto"/>
        <w:ind w:left="0"/>
        <w:rPr>
          <w:rFonts w:eastAsia="Calibri"/>
          <w:szCs w:val="24"/>
        </w:rPr>
      </w:pPr>
      <w:r w:rsidRPr="00F4363F">
        <w:rPr>
          <w:rFonts w:eastAsia="Calibri"/>
          <w:szCs w:val="24"/>
        </w:rPr>
        <w:t>Au titre de ce pilier, les interventions de l’axe 4 sont déclinées dans l’objectif stratégique 4.1 ci-dessous.</w:t>
      </w:r>
    </w:p>
    <w:p w14:paraId="2ED4CAFB" w14:textId="5114F92A" w:rsidR="00BC3398" w:rsidRPr="00664E91" w:rsidRDefault="00BC3398" w:rsidP="00F4363F">
      <w:pPr>
        <w:shd w:val="clear" w:color="auto" w:fill="FFFFFF"/>
        <w:spacing w:before="120" w:after="120" w:line="240" w:lineRule="auto"/>
        <w:rPr>
          <w:rFonts w:eastAsia="Calibri"/>
          <w:szCs w:val="24"/>
        </w:rPr>
      </w:pPr>
    </w:p>
    <w:p w14:paraId="3F34988C" w14:textId="04721ED2" w:rsidR="001D332E" w:rsidRPr="001D332E" w:rsidRDefault="00EA252D" w:rsidP="001D332E">
      <w:pPr>
        <w:pStyle w:val="PAT4"/>
      </w:pPr>
      <w:bookmarkStart w:id="52" w:name="_Toc163141216"/>
      <w:r w:rsidRPr="008D2129">
        <w:t>Objectif stratégique 4.1 : Développer durablement un secteur agro-</w:t>
      </w:r>
      <w:proofErr w:type="spellStart"/>
      <w:r w:rsidRPr="008D2129">
        <w:t>sylvo</w:t>
      </w:r>
      <w:proofErr w:type="spellEnd"/>
      <w:r w:rsidRPr="008D2129">
        <w:t>-pastoral, faunique et halieutique productif et résilient, davantage orienté vers le marché</w:t>
      </w:r>
      <w:bookmarkEnd w:id="52"/>
    </w:p>
    <w:p w14:paraId="19852412" w14:textId="35CADDBF" w:rsidR="00DE3E5B" w:rsidRPr="001D332E" w:rsidRDefault="00183DC5" w:rsidP="00F175A7">
      <w:pPr>
        <w:numPr>
          <w:ilvl w:val="0"/>
          <w:numId w:val="8"/>
        </w:numPr>
        <w:shd w:val="clear" w:color="auto" w:fill="FFFFFF"/>
        <w:spacing w:before="120" w:after="120" w:line="240" w:lineRule="auto"/>
        <w:ind w:left="0"/>
        <w:rPr>
          <w:rFonts w:eastAsia="Calibri"/>
          <w:szCs w:val="24"/>
        </w:rPr>
      </w:pPr>
      <w:sdt>
        <w:sdtPr>
          <w:rPr>
            <w:rFonts w:eastAsia="Calibri"/>
            <w:szCs w:val="24"/>
          </w:rPr>
          <w:tag w:val="goog_rdk_0"/>
          <w:id w:val="1194040787"/>
        </w:sdtPr>
        <w:sdtEndPr/>
        <w:sdtContent>
          <w:r w:rsidR="001D332E" w:rsidRPr="001D332E">
            <w:rPr>
              <w:rFonts w:eastAsia="Calibri"/>
              <w:szCs w:val="24"/>
            </w:rPr>
            <w:t xml:space="preserve">Dans le cadre la réponse à la crise humanitaire, une seule action est à cet objectif stratégique. Il s’agit de « </w:t>
          </w:r>
          <w:r w:rsidR="001D332E" w:rsidRPr="008139E1">
            <w:rPr>
              <w:rFonts w:eastAsia="Calibri"/>
              <w:b/>
              <w:szCs w:val="24"/>
            </w:rPr>
            <w:t>la prise de dispositions urgentes pour contenir la crise alimentaire et l'inflation (02010)</w:t>
          </w:r>
          <w:r w:rsidR="001D332E" w:rsidRPr="001D332E">
            <w:rPr>
              <w:rFonts w:eastAsia="Calibri"/>
              <w:szCs w:val="24"/>
            </w:rPr>
            <w:t>, portée par les secteurs GE, CSM, et PASP. Les interventions conduites dans ce sens ont généré des résultats probants à fin 2023, traduits par</w:t>
          </w:r>
          <w:r w:rsidR="00C209F4">
            <w:rPr>
              <w:rFonts w:eastAsia="Calibri"/>
              <w:szCs w:val="24"/>
            </w:rPr>
            <w:t xml:space="preserve"> un niveau de l’inflation de 0,7</w:t>
          </w:r>
          <w:r w:rsidR="001D332E" w:rsidRPr="001D332E">
            <w:rPr>
              <w:rFonts w:eastAsia="Calibri"/>
              <w:szCs w:val="24"/>
            </w:rPr>
            <w:t>% en moyenne annuelle pour une cible de ≤3%, la prise de onze (11) mesures sur 10 prévues pour contenir la crise alimentaire et l'inflation et le contrôle de 7 047 commerçants sur 6</w:t>
          </w:r>
          <w:r w:rsidR="007770A0" w:rsidRPr="00DF4082">
            <w:t> </w:t>
          </w:r>
          <w:r w:rsidR="001D332E" w:rsidRPr="001D332E">
            <w:rPr>
              <w:rFonts w:eastAsia="Calibri"/>
              <w:szCs w:val="24"/>
            </w:rPr>
            <w:t>000 prévus.</w:t>
          </w:r>
        </w:sdtContent>
      </w:sdt>
    </w:p>
    <w:p w14:paraId="3BA2566F" w14:textId="17FD4BE2" w:rsidR="001D332E" w:rsidRPr="001D332E" w:rsidRDefault="001D332E" w:rsidP="00F175A7">
      <w:pPr>
        <w:numPr>
          <w:ilvl w:val="0"/>
          <w:numId w:val="8"/>
        </w:numPr>
        <w:shd w:val="clear" w:color="auto" w:fill="FFFFFF"/>
        <w:spacing w:before="120" w:after="120" w:line="240" w:lineRule="auto"/>
        <w:ind w:left="0"/>
        <w:rPr>
          <w:rFonts w:eastAsia="Calibri"/>
          <w:szCs w:val="24"/>
        </w:rPr>
      </w:pPr>
      <w:r w:rsidRPr="001D332E">
        <w:rPr>
          <w:rFonts w:eastAsia="Calibri"/>
          <w:szCs w:val="24"/>
        </w:rPr>
        <w:t xml:space="preserve">Au titre du CSD-GE, les acquis ont trait à la prise le 03 février 2023 de l’arrêté N°2023-00036/MEFP/CAB portant fixation des types d'investissements et des zones concernés par le décret N°2022-0009/PRES/PM/MEFP du 20 janvier 2022 portant allègement des mesures dans le cadre de la mise en œuvre de la tranche 2023 du PUS-BF et le taux d’exécution du PUS porté à </w:t>
      </w:r>
      <w:r w:rsidR="00500433">
        <w:rPr>
          <w:rFonts w:eastAsia="Calibri"/>
          <w:szCs w:val="24"/>
        </w:rPr>
        <w:t>70</w:t>
      </w:r>
      <w:r w:rsidRPr="001D332E">
        <w:rPr>
          <w:rFonts w:eastAsia="Calibri"/>
          <w:szCs w:val="24"/>
        </w:rPr>
        <w:t>% contre 75% prévus.</w:t>
      </w:r>
    </w:p>
    <w:p w14:paraId="5DDAA16F" w14:textId="4F7F7361" w:rsidR="001D332E" w:rsidRPr="001D332E" w:rsidRDefault="001D332E" w:rsidP="00F175A7">
      <w:pPr>
        <w:numPr>
          <w:ilvl w:val="0"/>
          <w:numId w:val="8"/>
        </w:numPr>
        <w:shd w:val="clear" w:color="auto" w:fill="FFFFFF"/>
        <w:spacing w:before="120" w:after="120" w:line="240" w:lineRule="auto"/>
        <w:ind w:left="0"/>
        <w:rPr>
          <w:rFonts w:eastAsia="Calibri"/>
          <w:szCs w:val="24"/>
        </w:rPr>
      </w:pPr>
      <w:r w:rsidRPr="001D332E">
        <w:rPr>
          <w:rFonts w:eastAsia="Calibri"/>
          <w:szCs w:val="24"/>
        </w:rPr>
        <w:t>S’agissant du CSD-CSM, toutes les cibles produites planifié</w:t>
      </w:r>
      <w:r w:rsidR="004E3726">
        <w:rPr>
          <w:rFonts w:eastAsia="Calibri"/>
          <w:szCs w:val="24"/>
        </w:rPr>
        <w:t>e</w:t>
      </w:r>
      <w:r w:rsidRPr="001D332E">
        <w:rPr>
          <w:rFonts w:eastAsia="Calibri"/>
          <w:szCs w:val="24"/>
        </w:rPr>
        <w:t xml:space="preserve">s ont été atteintes. Comme illustré dans le tableau ci-après, les résultats clés ont trait à l’octroi d’une subvention de 10 milliards FCFA accordée à la filière coton, </w:t>
      </w:r>
      <w:r w:rsidR="007770A0">
        <w:rPr>
          <w:rFonts w:eastAsia="Calibri"/>
          <w:szCs w:val="24"/>
        </w:rPr>
        <w:t>au</w:t>
      </w:r>
      <w:r w:rsidRPr="001D332E">
        <w:rPr>
          <w:rFonts w:eastAsia="Calibri"/>
          <w:szCs w:val="24"/>
        </w:rPr>
        <w:t xml:space="preserve"> renouvellement du protocole d'accord portant cahier des charges applicable aux opérateurs de la filière coton, </w:t>
      </w:r>
      <w:r w:rsidR="007770A0">
        <w:rPr>
          <w:rFonts w:eastAsia="Calibri"/>
          <w:szCs w:val="24"/>
        </w:rPr>
        <w:t>au</w:t>
      </w:r>
      <w:r w:rsidRPr="001D332E">
        <w:rPr>
          <w:rFonts w:eastAsia="Calibri"/>
          <w:szCs w:val="24"/>
        </w:rPr>
        <w:t xml:space="preserve"> contrôle de 15</w:t>
      </w:r>
      <w:r w:rsidR="007770A0" w:rsidRPr="00DF4082">
        <w:t> </w:t>
      </w:r>
      <w:r w:rsidRPr="001D332E">
        <w:rPr>
          <w:rFonts w:eastAsia="Calibri"/>
          <w:szCs w:val="24"/>
        </w:rPr>
        <w:t xml:space="preserve">313 acteurs dans le cadre de la lutte contre la fraude et les pratiques restrictives de la concurrence, </w:t>
      </w:r>
      <w:r w:rsidR="007770A0">
        <w:t>au</w:t>
      </w:r>
      <w:r w:rsidRPr="001D332E">
        <w:rPr>
          <w:rFonts w:eastAsia="Calibri"/>
          <w:szCs w:val="24"/>
        </w:rPr>
        <w:t xml:space="preserve"> contrôle de 396 entreprises industrielles sur l'application de la réglementation en matière de commerce et d’industrie et la réalisation de 52 sortie</w:t>
      </w:r>
      <w:r w:rsidR="007770A0">
        <w:rPr>
          <w:rFonts w:eastAsia="Calibri"/>
          <w:szCs w:val="24"/>
        </w:rPr>
        <w:t>s-</w:t>
      </w:r>
      <w:r w:rsidRPr="001D332E">
        <w:rPr>
          <w:rFonts w:eastAsia="Calibri"/>
          <w:szCs w:val="24"/>
        </w:rPr>
        <w:t>terrain dans le cadre du contrôle des prix de grande consommation.</w:t>
      </w:r>
    </w:p>
    <w:p w14:paraId="2770199C" w14:textId="43E18F39" w:rsidR="001D332E" w:rsidRDefault="001D332E" w:rsidP="00F175A7">
      <w:pPr>
        <w:numPr>
          <w:ilvl w:val="0"/>
          <w:numId w:val="8"/>
        </w:numPr>
        <w:shd w:val="clear" w:color="auto" w:fill="FFFFFF"/>
        <w:spacing w:before="120" w:after="120" w:line="240" w:lineRule="auto"/>
        <w:ind w:left="0"/>
        <w:rPr>
          <w:rFonts w:eastAsia="Calibri"/>
          <w:szCs w:val="24"/>
        </w:rPr>
      </w:pPr>
      <w:r w:rsidRPr="001D332E">
        <w:rPr>
          <w:rFonts w:eastAsia="Calibri"/>
          <w:szCs w:val="24"/>
        </w:rPr>
        <w:t>Cette performance s’explique par : (i) un ajustement budgétaire qui a vu à la hausse la subvention accordée aux acteurs de la filière coton ; (ii) l’intérêt du Gouvernement accordé au dossier de renouvellement du protocole d’accord successeur et (iii) une volonté manifeste d’assainir davantage le marché dans ce contexte inflationniste en vue de stabiliser les prix des produits de grande consommation.</w:t>
      </w:r>
    </w:p>
    <w:p w14:paraId="3F406555" w14:textId="55E56D48" w:rsidR="006470A9" w:rsidRDefault="006470A9">
      <w:pPr>
        <w:spacing w:after="0" w:line="240" w:lineRule="auto"/>
        <w:jc w:val="left"/>
        <w:rPr>
          <w:rFonts w:eastAsia="Calibri"/>
          <w:szCs w:val="24"/>
        </w:rPr>
      </w:pPr>
      <w:r>
        <w:rPr>
          <w:rFonts w:eastAsia="Calibri"/>
          <w:szCs w:val="24"/>
        </w:rPr>
        <w:br w:type="page"/>
      </w:r>
    </w:p>
    <w:p w14:paraId="129339EF" w14:textId="62582027" w:rsidR="001D332E" w:rsidRPr="0090695A" w:rsidRDefault="0090695A" w:rsidP="001D332E">
      <w:pPr>
        <w:shd w:val="clear" w:color="auto" w:fill="FFFFFF"/>
        <w:spacing w:before="240" w:after="240" w:line="240" w:lineRule="auto"/>
        <w:rPr>
          <w:sz w:val="22"/>
        </w:rPr>
      </w:pPr>
      <w:bookmarkStart w:id="53" w:name="_Toc164503608"/>
      <w:r w:rsidRPr="0090695A">
        <w:rPr>
          <w:b/>
          <w:bCs/>
          <w:sz w:val="22"/>
          <w:u w:val="single"/>
        </w:rPr>
        <w:lastRenderedPageBreak/>
        <w:t xml:space="preserve">Tableau </w:t>
      </w:r>
      <w:r w:rsidRPr="0090695A">
        <w:rPr>
          <w:b/>
          <w:bCs/>
          <w:sz w:val="22"/>
          <w:u w:val="single"/>
        </w:rPr>
        <w:fldChar w:fldCharType="begin"/>
      </w:r>
      <w:r w:rsidRPr="0090695A">
        <w:rPr>
          <w:b/>
          <w:bCs/>
          <w:sz w:val="22"/>
          <w:u w:val="single"/>
        </w:rPr>
        <w:instrText xml:space="preserve"> SEQ Tableau \* ARABIC </w:instrText>
      </w:r>
      <w:r w:rsidRPr="0090695A">
        <w:rPr>
          <w:b/>
          <w:bCs/>
          <w:sz w:val="22"/>
          <w:u w:val="single"/>
        </w:rPr>
        <w:fldChar w:fldCharType="separate"/>
      </w:r>
      <w:r w:rsidR="007C2E4E">
        <w:rPr>
          <w:b/>
          <w:bCs/>
          <w:noProof/>
          <w:sz w:val="22"/>
          <w:u w:val="single"/>
        </w:rPr>
        <w:t>21</w:t>
      </w:r>
      <w:r w:rsidRPr="0090695A">
        <w:rPr>
          <w:b/>
          <w:bCs/>
          <w:sz w:val="22"/>
          <w:u w:val="single"/>
        </w:rPr>
        <w:fldChar w:fldCharType="end"/>
      </w:r>
      <w:r w:rsidR="001D332E" w:rsidRPr="0090695A">
        <w:rPr>
          <w:sz w:val="22"/>
        </w:rPr>
        <w:t>:  situation des indicateurs de produits de l’action 02010 portés par le secteur CSM au 31 décembre 2023</w:t>
      </w:r>
      <w:bookmarkEnd w:id="53"/>
    </w:p>
    <w:tbl>
      <w:tblPr>
        <w:tblStyle w:val="TableauGrille4-Accentuation119"/>
        <w:tblW w:w="5000" w:type="pct"/>
        <w:tblLook w:val="04A0" w:firstRow="1" w:lastRow="0" w:firstColumn="1" w:lastColumn="0" w:noHBand="0" w:noVBand="1"/>
      </w:tblPr>
      <w:tblGrid>
        <w:gridCol w:w="4315"/>
        <w:gridCol w:w="1441"/>
        <w:gridCol w:w="1619"/>
        <w:gridCol w:w="1641"/>
      </w:tblGrid>
      <w:tr w:rsidR="001D332E" w:rsidRPr="004C7470" w14:paraId="191F803B" w14:textId="77777777" w:rsidTr="003D2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3" w:type="pct"/>
          </w:tcPr>
          <w:p w14:paraId="35224B82" w14:textId="4A782B94" w:rsidR="001D332E" w:rsidRPr="004C7470" w:rsidRDefault="001D332E" w:rsidP="00F175A7">
            <w:pPr>
              <w:spacing w:after="0" w:line="240" w:lineRule="auto"/>
              <w:ind w:firstLine="0"/>
            </w:pPr>
            <w:r w:rsidRPr="004C7470">
              <w:rPr>
                <w:rFonts w:eastAsia="Times New Roman" w:cs="Times New Roman"/>
              </w:rPr>
              <w:t>Indicateur</w:t>
            </w:r>
            <w:r w:rsidR="008F33DB">
              <w:rPr>
                <w:rFonts w:eastAsia="Times New Roman" w:cs="Times New Roman"/>
              </w:rPr>
              <w:t xml:space="preserve">s </w:t>
            </w:r>
          </w:p>
        </w:tc>
        <w:tc>
          <w:tcPr>
            <w:tcW w:w="799" w:type="pct"/>
          </w:tcPr>
          <w:p w14:paraId="7FB79137" w14:textId="77777777" w:rsidR="001D332E" w:rsidRPr="004C7470" w:rsidRDefault="001D332E"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2022</w:t>
            </w:r>
          </w:p>
        </w:tc>
        <w:tc>
          <w:tcPr>
            <w:tcW w:w="898" w:type="pct"/>
          </w:tcPr>
          <w:p w14:paraId="404AE6C3" w14:textId="77777777" w:rsidR="001D332E" w:rsidRPr="004C7470" w:rsidRDefault="001D332E"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910" w:type="pct"/>
          </w:tcPr>
          <w:p w14:paraId="1483A361" w14:textId="77777777" w:rsidR="001D332E" w:rsidRPr="004C7470" w:rsidRDefault="001D332E"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1D332E" w:rsidRPr="004C7470" w14:paraId="108C1ECD"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tcPr>
          <w:p w14:paraId="68870F8E" w14:textId="77777777" w:rsidR="001D332E" w:rsidRPr="004C7470" w:rsidRDefault="001D332E" w:rsidP="00F175A7">
            <w:pPr>
              <w:spacing w:after="0" w:line="240" w:lineRule="auto"/>
              <w:ind w:firstLine="0"/>
            </w:pPr>
            <w:r w:rsidRPr="004C7470">
              <w:rPr>
                <w:rFonts w:eastAsia="Times New Roman" w:cs="Times New Roman"/>
              </w:rPr>
              <w:t>Montant des subventions accordées (en millions FCFA)</w:t>
            </w:r>
          </w:p>
        </w:tc>
        <w:tc>
          <w:tcPr>
            <w:tcW w:w="799" w:type="pct"/>
          </w:tcPr>
          <w:p w14:paraId="206C964D" w14:textId="164E3671" w:rsidR="001D332E" w:rsidRPr="004C7470" w:rsidRDefault="001D332E" w:rsidP="00D41DC6">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 xml:space="preserve">3 500 </w:t>
            </w:r>
          </w:p>
        </w:tc>
        <w:tc>
          <w:tcPr>
            <w:tcW w:w="898" w:type="pct"/>
          </w:tcPr>
          <w:p w14:paraId="00CEC80A" w14:textId="02E2053E" w:rsidR="001D332E" w:rsidRPr="004C7470" w:rsidRDefault="001D332E" w:rsidP="00D41DC6">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 xml:space="preserve">10 000 </w:t>
            </w:r>
          </w:p>
        </w:tc>
        <w:tc>
          <w:tcPr>
            <w:tcW w:w="910" w:type="pct"/>
          </w:tcPr>
          <w:p w14:paraId="17DCE6BA" w14:textId="0890C73B" w:rsidR="001D332E" w:rsidRPr="004C7470" w:rsidRDefault="001D332E" w:rsidP="00D41DC6">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 xml:space="preserve">6 500 </w:t>
            </w:r>
          </w:p>
        </w:tc>
      </w:tr>
      <w:tr w:rsidR="001D332E" w:rsidRPr="004C7470" w14:paraId="4E1BDE02" w14:textId="77777777" w:rsidTr="00E52836">
        <w:tc>
          <w:tcPr>
            <w:cnfStyle w:val="001000000000" w:firstRow="0" w:lastRow="0" w:firstColumn="1" w:lastColumn="0" w:oddVBand="0" w:evenVBand="0" w:oddHBand="0" w:evenHBand="0" w:firstRowFirstColumn="0" w:firstRowLastColumn="0" w:lastRowFirstColumn="0" w:lastRowLastColumn="0"/>
            <w:tcW w:w="2393" w:type="pct"/>
          </w:tcPr>
          <w:p w14:paraId="6A866A69" w14:textId="77777777" w:rsidR="001D332E" w:rsidRPr="004C7470" w:rsidRDefault="001D332E" w:rsidP="00F175A7">
            <w:pPr>
              <w:spacing w:after="0" w:line="240" w:lineRule="auto"/>
              <w:ind w:firstLine="0"/>
            </w:pPr>
            <w:r w:rsidRPr="004C7470">
              <w:rPr>
                <w:rFonts w:eastAsia="Times New Roman" w:cs="Times New Roman"/>
              </w:rPr>
              <w:t>Disponibilité du protocole d'accord successeur</w:t>
            </w:r>
          </w:p>
        </w:tc>
        <w:tc>
          <w:tcPr>
            <w:tcW w:w="799" w:type="pct"/>
          </w:tcPr>
          <w:p w14:paraId="41AD2EB9" w14:textId="77777777" w:rsidR="001D332E" w:rsidRPr="004C7470" w:rsidRDefault="001D332E"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w:t>
            </w:r>
          </w:p>
        </w:tc>
        <w:tc>
          <w:tcPr>
            <w:tcW w:w="898" w:type="pct"/>
          </w:tcPr>
          <w:p w14:paraId="2BE65902" w14:textId="77777777" w:rsidR="001D332E" w:rsidRPr="004C7470" w:rsidRDefault="001D332E"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w:t>
            </w:r>
          </w:p>
        </w:tc>
        <w:tc>
          <w:tcPr>
            <w:tcW w:w="910" w:type="pct"/>
          </w:tcPr>
          <w:p w14:paraId="3EF1677C" w14:textId="77777777" w:rsidR="001D332E" w:rsidRPr="004C7470" w:rsidRDefault="001D332E"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w:t>
            </w:r>
          </w:p>
        </w:tc>
      </w:tr>
      <w:tr w:rsidR="001D332E" w:rsidRPr="004C7470" w14:paraId="6A69C00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tcPr>
          <w:p w14:paraId="1E20C407" w14:textId="77777777" w:rsidR="001D332E" w:rsidRPr="004C7470" w:rsidRDefault="001D332E" w:rsidP="00F175A7">
            <w:pPr>
              <w:spacing w:after="0" w:line="240" w:lineRule="auto"/>
              <w:ind w:firstLine="0"/>
            </w:pPr>
            <w:r w:rsidRPr="004C7470">
              <w:rPr>
                <w:rFonts w:eastAsia="Times New Roman" w:cs="Times New Roman"/>
              </w:rPr>
              <w:t>Nombre d’acteurs contrôlés dans la lutte contre la fraude et les pratiques restrictives de la concurrence</w:t>
            </w:r>
          </w:p>
        </w:tc>
        <w:tc>
          <w:tcPr>
            <w:tcW w:w="799" w:type="pct"/>
          </w:tcPr>
          <w:p w14:paraId="6A0CF717" w14:textId="77777777" w:rsidR="001D332E" w:rsidRPr="004C7470" w:rsidRDefault="001D332E"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13 443</w:t>
            </w:r>
          </w:p>
        </w:tc>
        <w:tc>
          <w:tcPr>
            <w:tcW w:w="898" w:type="pct"/>
          </w:tcPr>
          <w:p w14:paraId="0E701030" w14:textId="77777777" w:rsidR="001D332E" w:rsidRPr="004C7470" w:rsidRDefault="001D332E"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15 313</w:t>
            </w:r>
          </w:p>
        </w:tc>
        <w:tc>
          <w:tcPr>
            <w:tcW w:w="910" w:type="pct"/>
          </w:tcPr>
          <w:p w14:paraId="7C29CB50" w14:textId="77777777" w:rsidR="001D332E" w:rsidRPr="004C7470" w:rsidRDefault="001D332E"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14 000</w:t>
            </w:r>
          </w:p>
        </w:tc>
      </w:tr>
      <w:tr w:rsidR="001D332E" w:rsidRPr="004C7470" w14:paraId="6C5318CC" w14:textId="77777777" w:rsidTr="00E52836">
        <w:tc>
          <w:tcPr>
            <w:cnfStyle w:val="001000000000" w:firstRow="0" w:lastRow="0" w:firstColumn="1" w:lastColumn="0" w:oddVBand="0" w:evenVBand="0" w:oddHBand="0" w:evenHBand="0" w:firstRowFirstColumn="0" w:firstRowLastColumn="0" w:lastRowFirstColumn="0" w:lastRowLastColumn="0"/>
            <w:tcW w:w="2393" w:type="pct"/>
          </w:tcPr>
          <w:p w14:paraId="75F807FB" w14:textId="77777777" w:rsidR="001D332E" w:rsidRPr="004C7470" w:rsidRDefault="001D332E" w:rsidP="00F175A7">
            <w:pPr>
              <w:spacing w:after="0" w:line="240" w:lineRule="auto"/>
              <w:ind w:firstLine="0"/>
            </w:pPr>
            <w:r w:rsidRPr="004C7470">
              <w:rPr>
                <w:rFonts w:eastAsia="Times New Roman" w:cs="Times New Roman"/>
              </w:rPr>
              <w:t>Nombre d’entreprises industrielles contrôlées</w:t>
            </w:r>
          </w:p>
        </w:tc>
        <w:tc>
          <w:tcPr>
            <w:tcW w:w="799" w:type="pct"/>
          </w:tcPr>
          <w:p w14:paraId="475720AB" w14:textId="77777777" w:rsidR="001D332E" w:rsidRPr="004C7470" w:rsidRDefault="001D332E"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370</w:t>
            </w:r>
          </w:p>
        </w:tc>
        <w:tc>
          <w:tcPr>
            <w:tcW w:w="898" w:type="pct"/>
          </w:tcPr>
          <w:p w14:paraId="748D1CF4" w14:textId="77777777" w:rsidR="001D332E" w:rsidRPr="004C7470" w:rsidRDefault="001D332E"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396</w:t>
            </w:r>
          </w:p>
        </w:tc>
        <w:tc>
          <w:tcPr>
            <w:tcW w:w="910" w:type="pct"/>
          </w:tcPr>
          <w:p w14:paraId="649CBEDD" w14:textId="77777777" w:rsidR="001D332E" w:rsidRPr="004C7470" w:rsidRDefault="001D332E"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120</w:t>
            </w:r>
          </w:p>
        </w:tc>
      </w:tr>
      <w:tr w:rsidR="001D332E" w:rsidRPr="004C7470" w14:paraId="275E63BB"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tcPr>
          <w:p w14:paraId="4AEB3542" w14:textId="77777777" w:rsidR="001D332E" w:rsidRPr="004C7470" w:rsidRDefault="001D332E" w:rsidP="00F175A7">
            <w:pPr>
              <w:spacing w:after="0" w:line="240" w:lineRule="auto"/>
              <w:ind w:firstLine="0"/>
            </w:pPr>
            <w:r w:rsidRPr="004C7470">
              <w:rPr>
                <w:rFonts w:eastAsia="Times New Roman" w:cs="Times New Roman"/>
              </w:rPr>
              <w:t>Nombre de sorties sur le terrain</w:t>
            </w:r>
          </w:p>
        </w:tc>
        <w:tc>
          <w:tcPr>
            <w:tcW w:w="799" w:type="pct"/>
          </w:tcPr>
          <w:p w14:paraId="3C66F53A" w14:textId="77777777" w:rsidR="001D332E" w:rsidRPr="004C7470" w:rsidRDefault="001D332E"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52</w:t>
            </w:r>
          </w:p>
        </w:tc>
        <w:tc>
          <w:tcPr>
            <w:tcW w:w="898" w:type="pct"/>
          </w:tcPr>
          <w:p w14:paraId="54DA7A26" w14:textId="77777777" w:rsidR="001D332E" w:rsidRPr="004C7470" w:rsidRDefault="001D332E"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52</w:t>
            </w:r>
          </w:p>
        </w:tc>
        <w:tc>
          <w:tcPr>
            <w:tcW w:w="910" w:type="pct"/>
          </w:tcPr>
          <w:p w14:paraId="5C8CF9F7" w14:textId="77777777" w:rsidR="001D332E" w:rsidRPr="004C7470" w:rsidRDefault="001D332E"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52</w:t>
            </w:r>
          </w:p>
        </w:tc>
      </w:tr>
    </w:tbl>
    <w:p w14:paraId="6B24BF18" w14:textId="7BEC6350" w:rsidR="001D332E" w:rsidRPr="008D20C6" w:rsidRDefault="001D332E" w:rsidP="001D332E">
      <w:pPr>
        <w:shd w:val="clear" w:color="auto" w:fill="FFFFFF"/>
        <w:spacing w:before="240" w:after="240" w:line="276" w:lineRule="auto"/>
        <w:rPr>
          <w:rFonts w:eastAsia="Times New Roman" w:cs="Times New Roman"/>
          <w:sz w:val="20"/>
          <w:szCs w:val="20"/>
        </w:rPr>
      </w:pPr>
      <w:r w:rsidRPr="008D20C6">
        <w:rPr>
          <w:rFonts w:eastAsia="Times New Roman" w:cs="Times New Roman"/>
          <w:b/>
          <w:sz w:val="20"/>
          <w:szCs w:val="20"/>
          <w:u w:val="single"/>
        </w:rPr>
        <w:t>Source</w:t>
      </w:r>
      <w:r w:rsidRPr="008D20C6">
        <w:rPr>
          <w:rFonts w:eastAsia="Times New Roman" w:cs="Times New Roman"/>
          <w:sz w:val="20"/>
          <w:szCs w:val="20"/>
        </w:rPr>
        <w:t xml:space="preserve"> : rapport </w:t>
      </w:r>
      <w:r w:rsidR="00603CB3">
        <w:rPr>
          <w:rFonts w:eastAsia="Times New Roman" w:cs="Times New Roman"/>
          <w:sz w:val="20"/>
          <w:szCs w:val="20"/>
        </w:rPr>
        <w:t xml:space="preserve">annuel </w:t>
      </w:r>
      <w:r w:rsidRPr="008D20C6">
        <w:rPr>
          <w:rFonts w:eastAsia="Times New Roman" w:cs="Times New Roman"/>
          <w:sz w:val="20"/>
          <w:szCs w:val="20"/>
        </w:rPr>
        <w:t xml:space="preserve">de performance 2023 du </w:t>
      </w:r>
      <w:r w:rsidR="00603CB3">
        <w:rPr>
          <w:rFonts w:eastAsia="Times New Roman" w:cs="Times New Roman"/>
          <w:sz w:val="20"/>
          <w:szCs w:val="20"/>
        </w:rPr>
        <w:t>CSD-</w:t>
      </w:r>
      <w:r w:rsidRPr="008D20C6">
        <w:rPr>
          <w:rFonts w:eastAsia="Times New Roman" w:cs="Times New Roman"/>
          <w:sz w:val="20"/>
          <w:szCs w:val="20"/>
        </w:rPr>
        <w:t>CSM, février 2024</w:t>
      </w:r>
    </w:p>
    <w:p w14:paraId="7BC3E477" w14:textId="00733547" w:rsidR="001D332E" w:rsidRPr="001D332E" w:rsidRDefault="001D332E" w:rsidP="00F175A7">
      <w:pPr>
        <w:numPr>
          <w:ilvl w:val="0"/>
          <w:numId w:val="8"/>
        </w:numPr>
        <w:shd w:val="clear" w:color="auto" w:fill="FFFFFF"/>
        <w:spacing w:before="120" w:after="120" w:line="240" w:lineRule="auto"/>
        <w:ind w:left="0"/>
        <w:rPr>
          <w:rFonts w:eastAsia="Calibri"/>
          <w:szCs w:val="24"/>
        </w:rPr>
      </w:pPr>
      <w:r w:rsidRPr="001D332E">
        <w:rPr>
          <w:rFonts w:eastAsia="Calibri"/>
          <w:szCs w:val="24"/>
        </w:rPr>
        <w:t>En terme</w:t>
      </w:r>
      <w:r w:rsidR="004E3726">
        <w:rPr>
          <w:rFonts w:eastAsia="Calibri"/>
          <w:szCs w:val="24"/>
        </w:rPr>
        <w:t>s</w:t>
      </w:r>
      <w:r w:rsidRPr="001D332E">
        <w:rPr>
          <w:rFonts w:eastAsia="Calibri"/>
          <w:szCs w:val="24"/>
        </w:rPr>
        <w:t xml:space="preserve"> de réalisation financière, sur une programmation de 6 541 000 000 FCFA, ce sont 10</w:t>
      </w:r>
      <w:r w:rsidR="00126B11">
        <w:t> </w:t>
      </w:r>
      <w:r w:rsidRPr="001D332E">
        <w:rPr>
          <w:rFonts w:eastAsia="Calibri"/>
          <w:szCs w:val="24"/>
        </w:rPr>
        <w:t>038</w:t>
      </w:r>
      <w:r w:rsidR="00126B11">
        <w:t> </w:t>
      </w:r>
      <w:r w:rsidRPr="001D332E">
        <w:rPr>
          <w:rFonts w:eastAsia="Calibri"/>
          <w:szCs w:val="24"/>
        </w:rPr>
        <w:t>937</w:t>
      </w:r>
      <w:r w:rsidR="00126B11" w:rsidRPr="00DF4082">
        <w:t> </w:t>
      </w:r>
      <w:r w:rsidRPr="001D332E">
        <w:rPr>
          <w:rFonts w:eastAsia="Calibri"/>
          <w:szCs w:val="24"/>
        </w:rPr>
        <w:t>500 FCFA qui ont été dépensés pour la mise en œuvre de cette action.</w:t>
      </w:r>
    </w:p>
    <w:p w14:paraId="2520A709" w14:textId="68AED43E" w:rsidR="001D332E" w:rsidRPr="001D332E" w:rsidRDefault="001D332E" w:rsidP="00F175A7">
      <w:pPr>
        <w:numPr>
          <w:ilvl w:val="0"/>
          <w:numId w:val="8"/>
        </w:numPr>
        <w:shd w:val="clear" w:color="auto" w:fill="FFFFFF"/>
        <w:spacing w:before="120" w:after="120" w:line="240" w:lineRule="auto"/>
        <w:ind w:left="0"/>
        <w:rPr>
          <w:rFonts w:eastAsia="Calibri"/>
          <w:szCs w:val="24"/>
        </w:rPr>
      </w:pPr>
      <w:r w:rsidRPr="001D332E">
        <w:rPr>
          <w:rFonts w:eastAsia="Calibri"/>
          <w:szCs w:val="24"/>
        </w:rPr>
        <w:t>Quant à la contribution du secteur PASP, la performance dont le détail est présenté dans le tableau ci-après est diversement appréciée au 31 décembre 2023. En effet, pendant que la cible assignée à la proportion des communes ayant ouvert des points de vente à prix social des vivres a été atteinte et le niveau d'exécution annuel du Plan de renforcement et de soutien aux personnes vulnérables (PRSPV) à l’insécurité alimentaire et nutritionnelle satisfaisant dans une moindre mesure, la quantité d’engrais mobilisée par la CAIMA est en deçà des attentes. Cette situation s’explique par l’impact de la crise russo-ukrainienne sur les chaînes d’approvisionnement mondiales et les difficultés fonctionnelles inhérentes à la Centrale elle-même.</w:t>
      </w:r>
    </w:p>
    <w:p w14:paraId="70B4DD35" w14:textId="77777777" w:rsidR="001D332E" w:rsidRPr="001D332E" w:rsidRDefault="001D332E" w:rsidP="00F175A7">
      <w:pPr>
        <w:numPr>
          <w:ilvl w:val="0"/>
          <w:numId w:val="8"/>
        </w:numPr>
        <w:shd w:val="clear" w:color="auto" w:fill="FFFFFF"/>
        <w:spacing w:before="120" w:after="120" w:line="240" w:lineRule="auto"/>
        <w:ind w:left="0"/>
        <w:rPr>
          <w:rFonts w:eastAsia="Calibri"/>
          <w:szCs w:val="24"/>
        </w:rPr>
      </w:pPr>
      <w:r w:rsidRPr="001D332E">
        <w:rPr>
          <w:rFonts w:eastAsia="Calibri"/>
          <w:szCs w:val="24"/>
        </w:rPr>
        <w:t>Toutefois, la baisse des allocations budgétaires et la suspension des cash transferts dans certaines régions ont impacté la mise en œuvre des produits portés par le CSD-PASP.</w:t>
      </w:r>
    </w:p>
    <w:p w14:paraId="65972B65" w14:textId="49B33F15" w:rsidR="001D332E" w:rsidRPr="0090695A" w:rsidRDefault="0090695A" w:rsidP="001D332E">
      <w:pPr>
        <w:shd w:val="clear" w:color="auto" w:fill="FFFFFF"/>
        <w:spacing w:before="240" w:after="240" w:line="240" w:lineRule="auto"/>
        <w:rPr>
          <w:sz w:val="22"/>
        </w:rPr>
      </w:pPr>
      <w:bookmarkStart w:id="54" w:name="_Toc164503609"/>
      <w:r w:rsidRPr="0090695A">
        <w:rPr>
          <w:b/>
          <w:bCs/>
          <w:sz w:val="22"/>
          <w:u w:val="single"/>
        </w:rPr>
        <w:t xml:space="preserve">Tableau </w:t>
      </w:r>
      <w:r w:rsidRPr="0090695A">
        <w:rPr>
          <w:b/>
          <w:bCs/>
          <w:sz w:val="22"/>
          <w:u w:val="single"/>
        </w:rPr>
        <w:fldChar w:fldCharType="begin"/>
      </w:r>
      <w:r w:rsidRPr="0090695A">
        <w:rPr>
          <w:b/>
          <w:bCs/>
          <w:sz w:val="22"/>
          <w:u w:val="single"/>
        </w:rPr>
        <w:instrText xml:space="preserve"> SEQ Tableau \* ARABIC </w:instrText>
      </w:r>
      <w:r w:rsidRPr="0090695A">
        <w:rPr>
          <w:b/>
          <w:bCs/>
          <w:sz w:val="22"/>
          <w:u w:val="single"/>
        </w:rPr>
        <w:fldChar w:fldCharType="separate"/>
      </w:r>
      <w:r w:rsidR="007C2E4E">
        <w:rPr>
          <w:b/>
          <w:bCs/>
          <w:noProof/>
          <w:sz w:val="22"/>
          <w:u w:val="single"/>
        </w:rPr>
        <w:t>22</w:t>
      </w:r>
      <w:r w:rsidRPr="0090695A">
        <w:rPr>
          <w:b/>
          <w:bCs/>
          <w:sz w:val="22"/>
          <w:u w:val="single"/>
        </w:rPr>
        <w:fldChar w:fldCharType="end"/>
      </w:r>
      <w:r w:rsidR="001D332E" w:rsidRPr="0090695A">
        <w:rPr>
          <w:b/>
          <w:sz w:val="22"/>
        </w:rPr>
        <w:t xml:space="preserve">: </w:t>
      </w:r>
      <w:r w:rsidR="00751F8E">
        <w:rPr>
          <w:sz w:val="22"/>
        </w:rPr>
        <w:t>s</w:t>
      </w:r>
      <w:r w:rsidR="001D332E" w:rsidRPr="0090695A">
        <w:rPr>
          <w:sz w:val="22"/>
        </w:rPr>
        <w:t>ituation des indicateurs de produits relatifs à l’action 02010 portés par le secteur PASP au 31 décembre 2023</w:t>
      </w:r>
      <w:bookmarkEnd w:id="54"/>
    </w:p>
    <w:tbl>
      <w:tblPr>
        <w:tblStyle w:val="TableauGrille4-Accentuation119"/>
        <w:tblW w:w="5000" w:type="pct"/>
        <w:tblLook w:val="04A0" w:firstRow="1" w:lastRow="0" w:firstColumn="1" w:lastColumn="0" w:noHBand="0" w:noVBand="1"/>
      </w:tblPr>
      <w:tblGrid>
        <w:gridCol w:w="5486"/>
        <w:gridCol w:w="1080"/>
        <w:gridCol w:w="1170"/>
        <w:gridCol w:w="1280"/>
      </w:tblGrid>
      <w:tr w:rsidR="001D332E" w:rsidRPr="004C7470" w14:paraId="7B54F9A4" w14:textId="77777777" w:rsidTr="00E5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7368A651" w14:textId="0ED3E022" w:rsidR="001D332E" w:rsidRPr="004C7470" w:rsidRDefault="001D332E" w:rsidP="00F175A7">
            <w:pPr>
              <w:spacing w:before="120" w:after="0" w:line="240" w:lineRule="auto"/>
              <w:ind w:firstLine="0"/>
            </w:pPr>
            <w:r w:rsidRPr="004C7470">
              <w:rPr>
                <w:rFonts w:eastAsia="Times New Roman" w:cs="Times New Roman"/>
              </w:rPr>
              <w:t>Indicateur</w:t>
            </w:r>
            <w:r w:rsidR="008F33DB">
              <w:rPr>
                <w:rFonts w:eastAsia="Times New Roman" w:cs="Times New Roman"/>
              </w:rPr>
              <w:t xml:space="preserve">s </w:t>
            </w:r>
          </w:p>
        </w:tc>
        <w:tc>
          <w:tcPr>
            <w:tcW w:w="599" w:type="pct"/>
          </w:tcPr>
          <w:p w14:paraId="10C16F75" w14:textId="77777777" w:rsidR="001D332E" w:rsidRPr="004C7470" w:rsidRDefault="001D332E" w:rsidP="00F175A7">
            <w:pPr>
              <w:spacing w:before="120"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Réf. 2022</w:t>
            </w:r>
          </w:p>
        </w:tc>
        <w:tc>
          <w:tcPr>
            <w:tcW w:w="649" w:type="pct"/>
          </w:tcPr>
          <w:p w14:paraId="67DDA30F" w14:textId="77777777" w:rsidR="001D332E" w:rsidRPr="004C7470" w:rsidRDefault="001D332E" w:rsidP="00F175A7">
            <w:pPr>
              <w:spacing w:before="120"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Réal. 2023</w:t>
            </w:r>
          </w:p>
        </w:tc>
        <w:tc>
          <w:tcPr>
            <w:tcW w:w="710" w:type="pct"/>
          </w:tcPr>
          <w:p w14:paraId="3CC56232" w14:textId="77777777" w:rsidR="001D332E" w:rsidRPr="004C7470" w:rsidRDefault="001D332E" w:rsidP="00F175A7">
            <w:pPr>
              <w:spacing w:before="120" w:after="0" w:line="240" w:lineRule="auto"/>
              <w:ind w:firstLine="0"/>
              <w:cnfStyle w:val="100000000000" w:firstRow="1" w:lastRow="0" w:firstColumn="0" w:lastColumn="0" w:oddVBand="0" w:evenVBand="0" w:oddHBand="0" w:evenHBand="0" w:firstRowFirstColumn="0" w:firstRowLastColumn="0" w:lastRowFirstColumn="0" w:lastRowLastColumn="0"/>
            </w:pPr>
            <w:r w:rsidRPr="004C7470">
              <w:rPr>
                <w:rFonts w:eastAsia="Times New Roman" w:cs="Times New Roman"/>
              </w:rPr>
              <w:t>Cible 2023</w:t>
            </w:r>
          </w:p>
        </w:tc>
      </w:tr>
      <w:tr w:rsidR="001D332E" w:rsidRPr="004C7470" w14:paraId="03256477"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05FA14D9" w14:textId="5ECFA455" w:rsidR="001D332E" w:rsidRPr="004C7470" w:rsidRDefault="001D332E" w:rsidP="00F175A7">
            <w:pPr>
              <w:spacing w:before="120" w:after="0" w:line="240" w:lineRule="auto"/>
              <w:ind w:firstLine="0"/>
            </w:pPr>
            <w:r w:rsidRPr="004C7470">
              <w:rPr>
                <w:rFonts w:eastAsia="Times New Roman" w:cs="Times New Roman"/>
              </w:rPr>
              <w:t xml:space="preserve">Proportion des </w:t>
            </w:r>
            <w:r w:rsidR="007F2535">
              <w:rPr>
                <w:rFonts w:eastAsia="Times New Roman" w:cs="Times New Roman"/>
              </w:rPr>
              <w:t>c</w:t>
            </w:r>
            <w:r w:rsidRPr="004C7470">
              <w:rPr>
                <w:rFonts w:eastAsia="Times New Roman" w:cs="Times New Roman"/>
              </w:rPr>
              <w:t>ommunes bénéficiant de points de vente à prix social (%)</w:t>
            </w:r>
          </w:p>
        </w:tc>
        <w:tc>
          <w:tcPr>
            <w:tcW w:w="599" w:type="pct"/>
          </w:tcPr>
          <w:p w14:paraId="65FE7D81" w14:textId="77777777" w:rsidR="001D332E" w:rsidRPr="004C7470" w:rsidRDefault="001D332E" w:rsidP="00F175A7">
            <w:pPr>
              <w:spacing w:before="120"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20,17</w:t>
            </w:r>
          </w:p>
        </w:tc>
        <w:tc>
          <w:tcPr>
            <w:tcW w:w="649" w:type="pct"/>
          </w:tcPr>
          <w:p w14:paraId="6F21B24D" w14:textId="76E3B97E" w:rsidR="001D332E" w:rsidRPr="004C7470" w:rsidRDefault="004E3726" w:rsidP="00F175A7">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eastAsia="Times New Roman" w:cs="Times New Roman"/>
              </w:rPr>
              <w:t>100</w:t>
            </w:r>
          </w:p>
        </w:tc>
        <w:tc>
          <w:tcPr>
            <w:tcW w:w="710" w:type="pct"/>
          </w:tcPr>
          <w:p w14:paraId="7AC21826" w14:textId="77777777" w:rsidR="001D332E" w:rsidRPr="004C7470" w:rsidRDefault="001D332E" w:rsidP="00F175A7">
            <w:pPr>
              <w:spacing w:before="120"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80</w:t>
            </w:r>
          </w:p>
        </w:tc>
      </w:tr>
      <w:tr w:rsidR="001D332E" w:rsidRPr="004C7470" w14:paraId="27B70D95" w14:textId="77777777" w:rsidTr="00E52836">
        <w:tc>
          <w:tcPr>
            <w:cnfStyle w:val="001000000000" w:firstRow="0" w:lastRow="0" w:firstColumn="1" w:lastColumn="0" w:oddVBand="0" w:evenVBand="0" w:oddHBand="0" w:evenHBand="0" w:firstRowFirstColumn="0" w:firstRowLastColumn="0" w:lastRowFirstColumn="0" w:lastRowLastColumn="0"/>
            <w:tcW w:w="3042" w:type="pct"/>
          </w:tcPr>
          <w:p w14:paraId="4C8BEA0B" w14:textId="77777777" w:rsidR="001D332E" w:rsidRPr="004C7470" w:rsidRDefault="001D332E" w:rsidP="00F175A7">
            <w:pPr>
              <w:spacing w:before="120" w:after="0" w:line="240" w:lineRule="auto"/>
              <w:ind w:firstLine="0"/>
            </w:pPr>
            <w:r w:rsidRPr="004C7470">
              <w:rPr>
                <w:rFonts w:eastAsia="Times New Roman" w:cs="Times New Roman"/>
              </w:rPr>
              <w:t>Quantité d’engrais mobilisée par la CAIMA (Tonnes)</w:t>
            </w:r>
          </w:p>
        </w:tc>
        <w:tc>
          <w:tcPr>
            <w:tcW w:w="599" w:type="pct"/>
          </w:tcPr>
          <w:p w14:paraId="2E9E8669" w14:textId="77777777" w:rsidR="001D332E" w:rsidRPr="004C7470" w:rsidRDefault="001D332E" w:rsidP="00F175A7">
            <w:pPr>
              <w:spacing w:before="120"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75000</w:t>
            </w:r>
          </w:p>
        </w:tc>
        <w:tc>
          <w:tcPr>
            <w:tcW w:w="649" w:type="pct"/>
          </w:tcPr>
          <w:p w14:paraId="12972F88" w14:textId="77777777" w:rsidR="001D332E" w:rsidRPr="004C7470" w:rsidRDefault="001D332E" w:rsidP="00F175A7">
            <w:pPr>
              <w:spacing w:before="120"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25 785</w:t>
            </w:r>
          </w:p>
        </w:tc>
        <w:tc>
          <w:tcPr>
            <w:tcW w:w="710" w:type="pct"/>
          </w:tcPr>
          <w:p w14:paraId="4D072F86" w14:textId="77777777" w:rsidR="001D332E" w:rsidRPr="004C7470" w:rsidRDefault="001D332E" w:rsidP="00F175A7">
            <w:pPr>
              <w:spacing w:before="120" w:after="0" w:line="240" w:lineRule="auto"/>
              <w:cnfStyle w:val="000000000000" w:firstRow="0" w:lastRow="0" w:firstColumn="0" w:lastColumn="0" w:oddVBand="0" w:evenVBand="0" w:oddHBand="0" w:evenHBand="0" w:firstRowFirstColumn="0" w:firstRowLastColumn="0" w:lastRowFirstColumn="0" w:lastRowLastColumn="0"/>
            </w:pPr>
            <w:r w:rsidRPr="004C7470">
              <w:rPr>
                <w:rFonts w:eastAsia="Times New Roman" w:cs="Times New Roman"/>
              </w:rPr>
              <w:t>73000</w:t>
            </w:r>
          </w:p>
        </w:tc>
      </w:tr>
      <w:tr w:rsidR="001D332E" w:rsidRPr="004C7470" w14:paraId="5C9C1D1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pct"/>
          </w:tcPr>
          <w:p w14:paraId="3490E82B" w14:textId="77777777" w:rsidR="001D332E" w:rsidRPr="004C7470" w:rsidRDefault="001D332E" w:rsidP="00F175A7">
            <w:pPr>
              <w:spacing w:before="120" w:after="0" w:line="240" w:lineRule="auto"/>
              <w:ind w:firstLine="0"/>
            </w:pPr>
            <w:r w:rsidRPr="004C7470">
              <w:rPr>
                <w:rFonts w:eastAsia="Times New Roman" w:cs="Times New Roman"/>
              </w:rPr>
              <w:t>Taux d'exécution annuel du Plan de renforcement et de soutien aux personnes vulnérables (PRSPV) à l’insécurité alimentaire et nutritionnelle (%)</w:t>
            </w:r>
          </w:p>
        </w:tc>
        <w:tc>
          <w:tcPr>
            <w:tcW w:w="599" w:type="pct"/>
          </w:tcPr>
          <w:p w14:paraId="362787B3" w14:textId="77777777" w:rsidR="001D332E" w:rsidRPr="004C7470" w:rsidRDefault="001D332E" w:rsidP="00F175A7">
            <w:pPr>
              <w:spacing w:before="120"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58</w:t>
            </w:r>
          </w:p>
        </w:tc>
        <w:tc>
          <w:tcPr>
            <w:tcW w:w="649" w:type="pct"/>
          </w:tcPr>
          <w:p w14:paraId="258D9BD8" w14:textId="194FFB41" w:rsidR="001D332E" w:rsidRPr="004C7470" w:rsidRDefault="004E3726" w:rsidP="00F175A7">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eastAsia="Times New Roman" w:cs="Times New Roman"/>
              </w:rPr>
              <w:t>65</w:t>
            </w:r>
          </w:p>
        </w:tc>
        <w:tc>
          <w:tcPr>
            <w:tcW w:w="710" w:type="pct"/>
          </w:tcPr>
          <w:p w14:paraId="44A081B0" w14:textId="77777777" w:rsidR="001D332E" w:rsidRPr="004C7470" w:rsidRDefault="001D332E" w:rsidP="00F175A7">
            <w:pPr>
              <w:spacing w:before="120" w:after="0" w:line="240" w:lineRule="auto"/>
              <w:cnfStyle w:val="000000100000" w:firstRow="0" w:lastRow="0" w:firstColumn="0" w:lastColumn="0" w:oddVBand="0" w:evenVBand="0" w:oddHBand="1" w:evenHBand="0" w:firstRowFirstColumn="0" w:firstRowLastColumn="0" w:lastRowFirstColumn="0" w:lastRowLastColumn="0"/>
            </w:pPr>
            <w:r w:rsidRPr="004C7470">
              <w:rPr>
                <w:rFonts w:eastAsia="Times New Roman" w:cs="Times New Roman"/>
              </w:rPr>
              <w:t>75</w:t>
            </w:r>
          </w:p>
        </w:tc>
      </w:tr>
    </w:tbl>
    <w:p w14:paraId="6C141719" w14:textId="2AFA54B1" w:rsidR="001D332E" w:rsidRPr="008D20C6" w:rsidRDefault="001D332E" w:rsidP="001D332E">
      <w:pPr>
        <w:shd w:val="clear" w:color="auto" w:fill="FFFFFF"/>
        <w:spacing w:before="240" w:after="240" w:line="276" w:lineRule="auto"/>
        <w:rPr>
          <w:rFonts w:eastAsia="Times New Roman" w:cs="Times New Roman"/>
          <w:sz w:val="20"/>
          <w:szCs w:val="20"/>
        </w:rPr>
      </w:pPr>
      <w:r w:rsidRPr="008D20C6">
        <w:rPr>
          <w:rFonts w:eastAsia="Times New Roman" w:cs="Times New Roman"/>
          <w:b/>
          <w:sz w:val="20"/>
          <w:szCs w:val="20"/>
        </w:rPr>
        <w:t>Source</w:t>
      </w:r>
      <w:r w:rsidRPr="008D20C6">
        <w:rPr>
          <w:rFonts w:eastAsia="Times New Roman" w:cs="Times New Roman"/>
          <w:sz w:val="20"/>
          <w:szCs w:val="20"/>
        </w:rPr>
        <w:t xml:space="preserve"> : rapport </w:t>
      </w:r>
      <w:r w:rsidR="00603CB3">
        <w:rPr>
          <w:rFonts w:eastAsia="Times New Roman" w:cs="Times New Roman"/>
          <w:sz w:val="20"/>
          <w:szCs w:val="20"/>
        </w:rPr>
        <w:t xml:space="preserve">annuel </w:t>
      </w:r>
      <w:r w:rsidRPr="008D20C6">
        <w:rPr>
          <w:rFonts w:eastAsia="Times New Roman" w:cs="Times New Roman"/>
          <w:sz w:val="20"/>
          <w:szCs w:val="20"/>
        </w:rPr>
        <w:t xml:space="preserve">de performance </w:t>
      </w:r>
      <w:r w:rsidR="00547F92">
        <w:rPr>
          <w:rFonts w:eastAsia="Times New Roman" w:cs="Times New Roman"/>
          <w:sz w:val="20"/>
          <w:szCs w:val="20"/>
        </w:rPr>
        <w:t xml:space="preserve">2023 </w:t>
      </w:r>
      <w:r w:rsidRPr="008D20C6">
        <w:rPr>
          <w:rFonts w:eastAsia="Times New Roman" w:cs="Times New Roman"/>
          <w:sz w:val="20"/>
          <w:szCs w:val="20"/>
        </w:rPr>
        <w:t>du CSD-PASP, février 2024</w:t>
      </w:r>
    </w:p>
    <w:p w14:paraId="2E732940" w14:textId="30C659CF" w:rsidR="00DD7202" w:rsidRDefault="001D332E" w:rsidP="00F175A7">
      <w:pPr>
        <w:numPr>
          <w:ilvl w:val="0"/>
          <w:numId w:val="8"/>
        </w:numPr>
        <w:shd w:val="clear" w:color="auto" w:fill="FFFFFF"/>
        <w:spacing w:before="120" w:after="120" w:line="240" w:lineRule="auto"/>
        <w:ind w:left="0"/>
        <w:rPr>
          <w:rFonts w:eastAsia="Calibri"/>
          <w:szCs w:val="24"/>
        </w:rPr>
      </w:pPr>
      <w:r w:rsidRPr="00933556">
        <w:rPr>
          <w:rFonts w:eastAsia="Calibri"/>
          <w:szCs w:val="24"/>
        </w:rPr>
        <w:lastRenderedPageBreak/>
        <w:t xml:space="preserve">Le montant exécuté pour ces produits s’élève à </w:t>
      </w:r>
      <w:r w:rsidR="004E3726">
        <w:t xml:space="preserve">168,14 </w:t>
      </w:r>
      <w:r w:rsidR="004E3726" w:rsidRPr="00640B23">
        <w:rPr>
          <w:rFonts w:eastAsia="Calibri"/>
          <w:szCs w:val="24"/>
        </w:rPr>
        <w:t xml:space="preserve">milliards FCFA sur une prévision de </w:t>
      </w:r>
      <w:r w:rsidR="004E3726" w:rsidRPr="006D76DF">
        <w:rPr>
          <w:rFonts w:eastAsia="Calibri"/>
          <w:szCs w:val="24"/>
        </w:rPr>
        <w:t xml:space="preserve">256,75 </w:t>
      </w:r>
      <w:r w:rsidR="004E3726" w:rsidRPr="00640B23">
        <w:rPr>
          <w:rFonts w:eastAsia="Calibri"/>
          <w:szCs w:val="24"/>
        </w:rPr>
        <w:t>milliards</w:t>
      </w:r>
      <w:r w:rsidR="004E3726">
        <w:rPr>
          <w:rFonts w:eastAsia="Calibri"/>
          <w:szCs w:val="24"/>
        </w:rPr>
        <w:t xml:space="preserve"> </w:t>
      </w:r>
      <w:r w:rsidR="004E3726" w:rsidRPr="00640B23">
        <w:rPr>
          <w:rFonts w:eastAsia="Calibri"/>
          <w:szCs w:val="24"/>
        </w:rPr>
        <w:t xml:space="preserve">FCFA, soit un taux d’exécution de </w:t>
      </w:r>
      <w:r w:rsidR="004E3726">
        <w:t>64,5</w:t>
      </w:r>
      <w:r w:rsidR="004E3726" w:rsidRPr="00640B23">
        <w:rPr>
          <w:rFonts w:eastAsia="Calibri"/>
          <w:szCs w:val="24"/>
        </w:rPr>
        <w:t>%</w:t>
      </w:r>
      <w:r w:rsidR="004E3726">
        <w:rPr>
          <w:rFonts w:eastAsia="Calibri"/>
          <w:szCs w:val="24"/>
        </w:rPr>
        <w:t>.</w:t>
      </w:r>
      <w:bookmarkStart w:id="55" w:name="_Ref129164823"/>
      <w:bookmarkStart w:id="56" w:name="_Toc134891465"/>
      <w:bookmarkStart w:id="57" w:name="_Toc127945001"/>
    </w:p>
    <w:p w14:paraId="696C95D8" w14:textId="77777777" w:rsidR="00AB0B8B" w:rsidRPr="008D2129" w:rsidRDefault="00AB0B8B" w:rsidP="00664E91">
      <w:pPr>
        <w:shd w:val="clear" w:color="auto" w:fill="FFFFFF"/>
        <w:spacing w:before="120" w:after="120" w:line="240" w:lineRule="auto"/>
        <w:rPr>
          <w:b/>
          <w:bCs/>
          <w:color w:val="000000" w:themeColor="text1"/>
          <w:sz w:val="22"/>
        </w:rPr>
      </w:pPr>
    </w:p>
    <w:p w14:paraId="71E1D9E4" w14:textId="5AFD1399" w:rsidR="00AB6328" w:rsidRPr="008D2129" w:rsidRDefault="00AB6328" w:rsidP="000D11AC">
      <w:pPr>
        <w:pStyle w:val="PAT3"/>
      </w:pPr>
      <w:bookmarkStart w:id="58" w:name="_Toc163141217"/>
      <w:bookmarkEnd w:id="55"/>
      <w:bookmarkEnd w:id="56"/>
      <w:bookmarkEnd w:id="57"/>
      <w:r w:rsidRPr="008D2129">
        <w:t>Contribution des collectivités territoriales à la réponse à la crise humanitaire</w:t>
      </w:r>
      <w:bookmarkEnd w:id="58"/>
    </w:p>
    <w:p w14:paraId="4BCDC039" w14:textId="4640151A" w:rsidR="00001053" w:rsidRPr="00001053" w:rsidRDefault="00001053" w:rsidP="00001053">
      <w:pPr>
        <w:numPr>
          <w:ilvl w:val="0"/>
          <w:numId w:val="8"/>
        </w:numPr>
        <w:shd w:val="clear" w:color="auto" w:fill="FFFFFF"/>
        <w:spacing w:before="120" w:after="120" w:line="240" w:lineRule="auto"/>
        <w:ind w:left="0"/>
        <w:rPr>
          <w:rFonts w:eastAsia="Calibri"/>
          <w:b/>
          <w:bCs/>
          <w:szCs w:val="24"/>
        </w:rPr>
      </w:pPr>
      <w:r w:rsidRPr="00001053">
        <w:rPr>
          <w:rFonts w:eastAsia="Calibri"/>
          <w:szCs w:val="24"/>
        </w:rPr>
        <w:t>En réponse à la crise humaine, les collectivités territoriales ont participé en 2023 : (i) à la prise en charge psycho-sociale des victimes et personnes affectées par le terrorisme</w:t>
      </w:r>
      <w:r>
        <w:rPr>
          <w:rFonts w:eastAsia="Calibri"/>
          <w:szCs w:val="24"/>
        </w:rPr>
        <w:t>, (i</w:t>
      </w:r>
      <w:r w:rsidRPr="00001053">
        <w:rPr>
          <w:rFonts w:eastAsia="Calibri"/>
          <w:szCs w:val="24"/>
        </w:rPr>
        <w:t>i) à</w:t>
      </w:r>
      <w:r w:rsidRPr="004E50C3">
        <w:rPr>
          <w:rFonts w:eastAsia="Calibri"/>
          <w:szCs w:val="24"/>
        </w:rPr>
        <w:t xml:space="preserve"> la p</w:t>
      </w:r>
      <w:r w:rsidRPr="00345EBE">
        <w:rPr>
          <w:rFonts w:eastAsia="Calibri"/>
          <w:szCs w:val="24"/>
        </w:rPr>
        <w:t>révention et gestion des catastrophes et des crises humanitaires</w:t>
      </w:r>
      <w:r>
        <w:rPr>
          <w:rFonts w:eastAsia="Calibri"/>
          <w:szCs w:val="24"/>
        </w:rPr>
        <w:t>, (iii</w:t>
      </w:r>
      <w:r w:rsidRPr="004E50C3">
        <w:rPr>
          <w:rFonts w:eastAsia="Calibri"/>
          <w:szCs w:val="24"/>
        </w:rPr>
        <w:t>) au s</w:t>
      </w:r>
      <w:r w:rsidRPr="00345EBE">
        <w:rPr>
          <w:rFonts w:eastAsia="Calibri"/>
          <w:szCs w:val="24"/>
        </w:rPr>
        <w:t xml:space="preserve">outien au retour volontaire, à l’intégration locale et à la réinstallation des personnes déplacées dans leurs zones d'origine  et garantie de leur sécurité </w:t>
      </w:r>
      <w:r w:rsidRPr="004E50C3">
        <w:rPr>
          <w:rFonts w:eastAsia="Calibri"/>
          <w:szCs w:val="24"/>
        </w:rPr>
        <w:t>et (</w:t>
      </w:r>
      <w:r>
        <w:rPr>
          <w:rFonts w:eastAsia="Calibri"/>
          <w:szCs w:val="24"/>
        </w:rPr>
        <w:t>i</w:t>
      </w:r>
      <w:r w:rsidRPr="004E50C3">
        <w:rPr>
          <w:rFonts w:eastAsia="Calibri"/>
          <w:szCs w:val="24"/>
        </w:rPr>
        <w:t>v) à</w:t>
      </w:r>
      <w:r>
        <w:rPr>
          <w:rFonts w:eastAsia="Calibri"/>
          <w:szCs w:val="24"/>
        </w:rPr>
        <w:t xml:space="preserve"> </w:t>
      </w:r>
      <w:r w:rsidRPr="004E50C3">
        <w:rPr>
          <w:rFonts w:eastAsia="Calibri"/>
          <w:szCs w:val="24"/>
        </w:rPr>
        <w:t>l’</w:t>
      </w:r>
      <w:r>
        <w:rPr>
          <w:rFonts w:eastAsia="Calibri"/>
          <w:szCs w:val="24"/>
        </w:rPr>
        <w:t>a</w:t>
      </w:r>
      <w:r w:rsidRPr="00345EBE">
        <w:rPr>
          <w:rFonts w:eastAsia="Calibri"/>
          <w:szCs w:val="24"/>
        </w:rPr>
        <w:t xml:space="preserve">cquisition et </w:t>
      </w:r>
      <w:r>
        <w:rPr>
          <w:rFonts w:eastAsia="Calibri"/>
          <w:szCs w:val="24"/>
        </w:rPr>
        <w:t>a</w:t>
      </w:r>
      <w:r w:rsidRPr="00345EBE">
        <w:rPr>
          <w:rFonts w:eastAsia="Calibri"/>
          <w:szCs w:val="24"/>
        </w:rPr>
        <w:t xml:space="preserve">pprovisionnement en </w:t>
      </w:r>
      <w:r w:rsidRPr="00001053">
        <w:rPr>
          <w:rFonts w:eastAsia="Calibri"/>
          <w:szCs w:val="24"/>
        </w:rPr>
        <w:t>produits de santé, équipements et autres intrants de prise en charge sanitaire des populations affectées par le terrorisme</w:t>
      </w:r>
      <w:r w:rsidR="007F2535">
        <w:rPr>
          <w:rFonts w:eastAsia="Calibri"/>
          <w:szCs w:val="24"/>
        </w:rPr>
        <w:t>,</w:t>
      </w:r>
      <w:r w:rsidR="00D41DC6">
        <w:rPr>
          <w:rFonts w:eastAsia="Calibri"/>
          <w:szCs w:val="24"/>
        </w:rPr>
        <w:t xml:space="preserve"> y compris les PDI.</w:t>
      </w:r>
    </w:p>
    <w:p w14:paraId="4CF91EC7" w14:textId="44701DB6" w:rsidR="00001053" w:rsidRPr="00DA3A54" w:rsidRDefault="00001053" w:rsidP="00001053">
      <w:pPr>
        <w:numPr>
          <w:ilvl w:val="0"/>
          <w:numId w:val="8"/>
        </w:numPr>
        <w:shd w:val="clear" w:color="auto" w:fill="FFFFFF"/>
        <w:spacing w:before="120" w:after="120" w:line="240" w:lineRule="auto"/>
        <w:ind w:left="0"/>
        <w:rPr>
          <w:rFonts w:eastAsia="Calibri"/>
          <w:b/>
          <w:bCs/>
          <w:szCs w:val="24"/>
        </w:rPr>
      </w:pPr>
      <w:r w:rsidRPr="008139E1">
        <w:rPr>
          <w:rFonts w:eastAsia="Calibri"/>
          <w:szCs w:val="24"/>
        </w:rPr>
        <w:t xml:space="preserve">Au titre de la </w:t>
      </w:r>
      <w:r w:rsidRPr="00001053">
        <w:rPr>
          <w:rFonts w:eastAsia="Calibri"/>
          <w:b/>
          <w:bCs/>
          <w:szCs w:val="24"/>
        </w:rPr>
        <w:t xml:space="preserve">prise en charge psycho-sociale des victimes et personnes affectées par le terrorisme, </w:t>
      </w:r>
      <w:r w:rsidRPr="00001053">
        <w:rPr>
          <w:rFonts w:eastAsia="Calibri"/>
          <w:szCs w:val="24"/>
        </w:rPr>
        <w:t>les CT ont contri</w:t>
      </w:r>
      <w:r w:rsidRPr="00345EBE">
        <w:rPr>
          <w:rFonts w:eastAsia="Calibri"/>
          <w:szCs w:val="24"/>
        </w:rPr>
        <w:t xml:space="preserve">bué en 2023 à </w:t>
      </w:r>
      <w:r>
        <w:rPr>
          <w:rFonts w:eastAsia="Calibri"/>
          <w:szCs w:val="24"/>
        </w:rPr>
        <w:t xml:space="preserve">l’accompagnement </w:t>
      </w:r>
      <w:r w:rsidR="007F2535">
        <w:rPr>
          <w:rFonts w:eastAsia="Calibri"/>
          <w:szCs w:val="24"/>
        </w:rPr>
        <w:t xml:space="preserve">sur le </w:t>
      </w:r>
      <w:r>
        <w:rPr>
          <w:rFonts w:eastAsia="Calibri"/>
          <w:szCs w:val="24"/>
        </w:rPr>
        <w:t xml:space="preserve">plan psycho-social de </w:t>
      </w:r>
      <w:r w:rsidRPr="00345EBE">
        <w:rPr>
          <w:rFonts w:eastAsia="Calibri"/>
          <w:szCs w:val="24"/>
        </w:rPr>
        <w:t>1</w:t>
      </w:r>
      <w:r>
        <w:t> </w:t>
      </w:r>
      <w:r>
        <w:rPr>
          <w:rFonts w:eastAsia="Calibri"/>
          <w:szCs w:val="24"/>
        </w:rPr>
        <w:t>445</w:t>
      </w:r>
      <w:r>
        <w:t> </w:t>
      </w:r>
      <w:r>
        <w:rPr>
          <w:rFonts w:eastAsia="Calibri"/>
          <w:szCs w:val="24"/>
        </w:rPr>
        <w:t>026</w:t>
      </w:r>
      <w:r w:rsidRPr="00DF4082">
        <w:t> </w:t>
      </w:r>
      <w:r w:rsidRPr="00345EBE">
        <w:rPr>
          <w:rFonts w:eastAsia="Calibri"/>
          <w:szCs w:val="24"/>
        </w:rPr>
        <w:t>PDI et</w:t>
      </w:r>
      <w:r>
        <w:rPr>
          <w:rFonts w:eastAsia="Calibri"/>
          <w:szCs w:val="24"/>
        </w:rPr>
        <w:t xml:space="preserve"> 15</w:t>
      </w:r>
      <w:r w:rsidRPr="00DF4082">
        <w:t> </w:t>
      </w:r>
      <w:r w:rsidRPr="00345EBE">
        <w:rPr>
          <w:rFonts w:eastAsia="Calibri"/>
          <w:szCs w:val="24"/>
        </w:rPr>
        <w:t>619 personnes victimes de catastrophes.</w:t>
      </w:r>
    </w:p>
    <w:p w14:paraId="0C1E9043" w14:textId="75568172" w:rsidR="00001053" w:rsidRDefault="00001053" w:rsidP="00001053">
      <w:pPr>
        <w:numPr>
          <w:ilvl w:val="0"/>
          <w:numId w:val="8"/>
        </w:numPr>
        <w:shd w:val="clear" w:color="auto" w:fill="FFFFFF"/>
        <w:spacing w:before="120" w:after="120" w:line="240" w:lineRule="auto"/>
        <w:ind w:left="0"/>
        <w:rPr>
          <w:rFonts w:eastAsia="Calibri"/>
          <w:b/>
          <w:bCs/>
          <w:szCs w:val="24"/>
        </w:rPr>
      </w:pPr>
      <w:r w:rsidRPr="00AB5C67">
        <w:rPr>
          <w:rFonts w:eastAsia="Calibri"/>
          <w:szCs w:val="24"/>
        </w:rPr>
        <w:t xml:space="preserve">S’agissant de la </w:t>
      </w:r>
      <w:r w:rsidRPr="00345EBE">
        <w:rPr>
          <w:rFonts w:eastAsia="Calibri"/>
          <w:b/>
          <w:bCs/>
          <w:szCs w:val="24"/>
        </w:rPr>
        <w:t>prévention et gestion des catastrophes et des crises humanitaires</w:t>
      </w:r>
      <w:r w:rsidRPr="00AB5C67">
        <w:rPr>
          <w:rFonts w:eastAsia="Calibri"/>
          <w:b/>
          <w:bCs/>
          <w:szCs w:val="24"/>
        </w:rPr>
        <w:t xml:space="preserve">, </w:t>
      </w:r>
      <w:r w:rsidRPr="00345EBE">
        <w:rPr>
          <w:rFonts w:eastAsia="Calibri"/>
          <w:szCs w:val="24"/>
        </w:rPr>
        <w:t>les efforts en 2023 des CT on</w:t>
      </w:r>
      <w:r>
        <w:rPr>
          <w:rFonts w:eastAsia="Calibri"/>
          <w:szCs w:val="24"/>
        </w:rPr>
        <w:t>t porté sur l’assistance de 193</w:t>
      </w:r>
      <w:r w:rsidRPr="00DF4082">
        <w:t> </w:t>
      </w:r>
      <w:r w:rsidRPr="00345EBE">
        <w:rPr>
          <w:rFonts w:eastAsia="Calibri"/>
          <w:szCs w:val="24"/>
        </w:rPr>
        <w:t>169 personnes victimes de catastrophes et de crises humanitaires, la création de 35 jardins nutritifs, la construction de 100 latrines familiales dans les zones d'origine des personnes déplacées internes, la réalisation de 4 forages au profit des PDI et leurs hôtes</w:t>
      </w:r>
      <w:r>
        <w:rPr>
          <w:rFonts w:eastAsia="Calibri"/>
          <w:szCs w:val="24"/>
        </w:rPr>
        <w:t xml:space="preserve"> et </w:t>
      </w:r>
      <w:r w:rsidRPr="00345EBE">
        <w:rPr>
          <w:rFonts w:eastAsia="Calibri"/>
          <w:szCs w:val="24"/>
        </w:rPr>
        <w:t>l’établissement</w:t>
      </w:r>
      <w:r>
        <w:rPr>
          <w:rFonts w:eastAsia="Calibri"/>
          <w:szCs w:val="24"/>
        </w:rPr>
        <w:t xml:space="preserve"> de 7</w:t>
      </w:r>
      <w:r w:rsidRPr="00DF4082">
        <w:t> </w:t>
      </w:r>
      <w:r w:rsidRPr="00345EBE">
        <w:rPr>
          <w:rFonts w:eastAsia="Calibri"/>
          <w:szCs w:val="24"/>
        </w:rPr>
        <w:t xml:space="preserve">587 CNIB </w:t>
      </w:r>
      <w:r>
        <w:rPr>
          <w:rFonts w:eastAsia="Calibri"/>
          <w:szCs w:val="24"/>
        </w:rPr>
        <w:t>et 2</w:t>
      </w:r>
      <w:r w:rsidRPr="00DF4082">
        <w:t> </w:t>
      </w:r>
      <w:r w:rsidRPr="00345EBE">
        <w:rPr>
          <w:rFonts w:eastAsia="Calibri"/>
          <w:szCs w:val="24"/>
        </w:rPr>
        <w:t>220 extraits de naissance au profit de PDI.</w:t>
      </w:r>
      <w:r>
        <w:rPr>
          <w:rFonts w:eastAsia="Calibri"/>
          <w:b/>
          <w:bCs/>
          <w:szCs w:val="24"/>
        </w:rPr>
        <w:t xml:space="preserve">   </w:t>
      </w:r>
    </w:p>
    <w:p w14:paraId="58360C4D" w14:textId="63E41CE6" w:rsidR="00001053" w:rsidRPr="00001053" w:rsidRDefault="00001053" w:rsidP="008139E1">
      <w:pPr>
        <w:numPr>
          <w:ilvl w:val="0"/>
          <w:numId w:val="8"/>
        </w:numPr>
        <w:shd w:val="clear" w:color="auto" w:fill="FFFFFF"/>
        <w:spacing w:before="120" w:after="120" w:line="240" w:lineRule="auto"/>
        <w:ind w:left="0"/>
        <w:rPr>
          <w:rFonts w:eastAsia="Calibri"/>
          <w:szCs w:val="24"/>
        </w:rPr>
      </w:pPr>
      <w:r w:rsidRPr="00001053">
        <w:rPr>
          <w:rFonts w:eastAsia="Calibri"/>
          <w:szCs w:val="24"/>
        </w:rPr>
        <w:t>Concernant le</w:t>
      </w:r>
      <w:r w:rsidRPr="00001053">
        <w:rPr>
          <w:rFonts w:eastAsia="Calibri"/>
          <w:b/>
          <w:bCs/>
          <w:szCs w:val="24"/>
        </w:rPr>
        <w:t xml:space="preserve"> soutien au retour volontaire, à l’intégration locale et à la réinstallation des personnes déplacées dans leurs zones d’origine et garantie de leur sécurité, </w:t>
      </w:r>
      <w:r w:rsidRPr="00001053">
        <w:rPr>
          <w:rFonts w:eastAsia="Calibri"/>
          <w:szCs w:val="24"/>
        </w:rPr>
        <w:t>les efforts des CT ont porté sur l’octroi de 2</w:t>
      </w:r>
      <w:r w:rsidRPr="00DF4082">
        <w:t> </w:t>
      </w:r>
      <w:r w:rsidRPr="00001053">
        <w:rPr>
          <w:rFonts w:eastAsia="Calibri"/>
          <w:szCs w:val="24"/>
        </w:rPr>
        <w:t>745 abris et 490 appuis au logement à des ménages vulnérables, victimes de catastrophes et de crises humanitaires, le transfert de cash à 12</w:t>
      </w:r>
      <w:r w:rsidRPr="00DF4082">
        <w:t> </w:t>
      </w:r>
      <w:r w:rsidRPr="00001053">
        <w:rPr>
          <w:rFonts w:eastAsia="Calibri"/>
          <w:szCs w:val="24"/>
        </w:rPr>
        <w:t>038 ménages pauvres et personnes déplacées internes, l’assistance alimentaire à 106</w:t>
      </w:r>
      <w:r w:rsidR="007F2535">
        <w:t> </w:t>
      </w:r>
      <w:r w:rsidRPr="00001053">
        <w:rPr>
          <w:rFonts w:eastAsia="Calibri"/>
          <w:szCs w:val="24"/>
        </w:rPr>
        <w:t xml:space="preserve">749 </w:t>
      </w:r>
      <w:r w:rsidR="007F2535" w:rsidRPr="00001053">
        <w:rPr>
          <w:rFonts w:eastAsia="Calibri"/>
          <w:szCs w:val="24"/>
        </w:rPr>
        <w:t xml:space="preserve">personnes </w:t>
      </w:r>
      <w:r w:rsidRPr="00001053">
        <w:rPr>
          <w:rFonts w:eastAsia="Calibri"/>
          <w:szCs w:val="24"/>
        </w:rPr>
        <w:t>vulnérables, victimes de catastrophes et de crises humanitaires et 1</w:t>
      </w:r>
      <w:r w:rsidRPr="00DF4082">
        <w:t> </w:t>
      </w:r>
      <w:r w:rsidRPr="00001053">
        <w:rPr>
          <w:rFonts w:eastAsia="Calibri"/>
          <w:szCs w:val="24"/>
        </w:rPr>
        <w:t xml:space="preserve">900 ménages vulnérables, victimes de catastrophes et de crises humanitaires en </w:t>
      </w:r>
      <w:r w:rsidR="007F2535">
        <w:rPr>
          <w:rFonts w:eastAsia="Calibri"/>
          <w:szCs w:val="24"/>
        </w:rPr>
        <w:t>A</w:t>
      </w:r>
      <w:r w:rsidRPr="00001053">
        <w:rPr>
          <w:rFonts w:eastAsia="Calibri"/>
          <w:szCs w:val="24"/>
        </w:rPr>
        <w:t>rticles ménagers essentiels (AME). Aussi, 42 PDI ont été formé</w:t>
      </w:r>
      <w:r w:rsidR="007F2535">
        <w:rPr>
          <w:rFonts w:eastAsia="Calibri"/>
          <w:szCs w:val="24"/>
        </w:rPr>
        <w:t>e</w:t>
      </w:r>
      <w:r w:rsidRPr="00001053">
        <w:rPr>
          <w:rFonts w:eastAsia="Calibri"/>
          <w:szCs w:val="24"/>
        </w:rPr>
        <w:t xml:space="preserve">s aux </w:t>
      </w:r>
      <w:r w:rsidR="007F2535">
        <w:rPr>
          <w:rFonts w:eastAsia="Calibri"/>
          <w:szCs w:val="24"/>
        </w:rPr>
        <w:t>A</w:t>
      </w:r>
      <w:r w:rsidRPr="00001053">
        <w:rPr>
          <w:rFonts w:eastAsia="Calibri"/>
          <w:szCs w:val="24"/>
        </w:rPr>
        <w:t xml:space="preserve">ctivités génératrices de revenus (AGR) et 15 projets de PDI ont été financés par les CT. </w:t>
      </w:r>
    </w:p>
    <w:p w14:paraId="2C82D132" w14:textId="55F43D24" w:rsidR="00001053" w:rsidRPr="00345EBE" w:rsidRDefault="00001053" w:rsidP="00001053">
      <w:pPr>
        <w:numPr>
          <w:ilvl w:val="0"/>
          <w:numId w:val="8"/>
        </w:numPr>
        <w:shd w:val="clear" w:color="auto" w:fill="FFFFFF"/>
        <w:spacing w:before="120" w:after="120" w:line="240" w:lineRule="auto"/>
        <w:ind w:left="0"/>
        <w:rPr>
          <w:rFonts w:eastAsia="Calibri"/>
          <w:szCs w:val="24"/>
        </w:rPr>
      </w:pPr>
      <w:r w:rsidRPr="00345EBE">
        <w:rPr>
          <w:rFonts w:eastAsia="Calibri"/>
          <w:szCs w:val="24"/>
        </w:rPr>
        <w:t>Par ailleurs, 70 enfants déscolarisés ont été réinsérés, 127 filles et enfants vulnérables déplacés bénéficiaires de subventions à la scolarisation</w:t>
      </w:r>
      <w:r w:rsidRPr="001D4D79">
        <w:rPr>
          <w:rFonts w:eastAsia="Calibri"/>
          <w:szCs w:val="24"/>
        </w:rPr>
        <w:t xml:space="preserve">, </w:t>
      </w:r>
      <w:r w:rsidRPr="00345EBE">
        <w:rPr>
          <w:rFonts w:eastAsia="Calibri"/>
          <w:szCs w:val="24"/>
        </w:rPr>
        <w:t xml:space="preserve">42 </w:t>
      </w:r>
      <w:r w:rsidR="007F2535">
        <w:rPr>
          <w:rFonts w:eastAsia="Calibri"/>
          <w:szCs w:val="24"/>
        </w:rPr>
        <w:t>E</w:t>
      </w:r>
      <w:r w:rsidRPr="00345EBE">
        <w:rPr>
          <w:rFonts w:eastAsia="Calibri"/>
          <w:szCs w:val="24"/>
        </w:rPr>
        <w:t>lèves déplacés internes (EDI) ont été assistés en cantine d'urgence</w:t>
      </w:r>
      <w:r>
        <w:rPr>
          <w:rFonts w:eastAsia="Calibri"/>
          <w:szCs w:val="24"/>
        </w:rPr>
        <w:t>, 8</w:t>
      </w:r>
      <w:r w:rsidRPr="00DF4082">
        <w:t> </w:t>
      </w:r>
      <w:r w:rsidRPr="00345EBE">
        <w:rPr>
          <w:rFonts w:eastAsia="Calibri"/>
          <w:szCs w:val="24"/>
        </w:rPr>
        <w:t xml:space="preserve">102 EDI ont bénéficié de kits scolaires et 114 EDI ont bénéficié de bourses scolaires avec l’appui des collectivités.  </w:t>
      </w:r>
    </w:p>
    <w:p w14:paraId="1D70497A" w14:textId="15DA6EF7" w:rsidR="008A1388" w:rsidRPr="008139E1" w:rsidRDefault="00001053" w:rsidP="00001053">
      <w:pPr>
        <w:numPr>
          <w:ilvl w:val="0"/>
          <w:numId w:val="8"/>
        </w:numPr>
        <w:shd w:val="clear" w:color="auto" w:fill="FFFFFF"/>
        <w:spacing w:before="120" w:after="120" w:line="240" w:lineRule="auto"/>
        <w:ind w:left="0"/>
        <w:rPr>
          <w:rFonts w:eastAsia="Calibri"/>
          <w:szCs w:val="24"/>
        </w:rPr>
      </w:pPr>
      <w:r>
        <w:rPr>
          <w:rFonts w:eastAsia="Calibri"/>
          <w:b/>
          <w:bCs/>
          <w:szCs w:val="24"/>
        </w:rPr>
        <w:t xml:space="preserve">Pour ce qui est de </w:t>
      </w:r>
      <w:r w:rsidRPr="00C522CD">
        <w:rPr>
          <w:rFonts w:eastAsia="Calibri"/>
          <w:b/>
          <w:bCs/>
          <w:szCs w:val="24"/>
        </w:rPr>
        <w:t>l’acquisition et approvisionnement en produits de santé, équipements et autres intrants de prise en charge sanitaire</w:t>
      </w:r>
      <w:r>
        <w:rPr>
          <w:rFonts w:eastAsia="Calibri"/>
          <w:b/>
          <w:bCs/>
          <w:szCs w:val="24"/>
        </w:rPr>
        <w:t xml:space="preserve">, </w:t>
      </w:r>
      <w:r>
        <w:rPr>
          <w:rFonts w:eastAsia="Calibri"/>
          <w:szCs w:val="24"/>
        </w:rPr>
        <w:t>1</w:t>
      </w:r>
      <w:r w:rsidRPr="00DF4082">
        <w:t> </w:t>
      </w:r>
      <w:r w:rsidRPr="00C522CD">
        <w:rPr>
          <w:rFonts w:eastAsia="Calibri"/>
          <w:szCs w:val="24"/>
        </w:rPr>
        <w:t xml:space="preserve">267 kits médicaux ont été acquis </w:t>
      </w:r>
      <w:r>
        <w:rPr>
          <w:rFonts w:eastAsia="Calibri"/>
          <w:szCs w:val="24"/>
        </w:rPr>
        <w:t xml:space="preserve">par les collectivités territoriales </w:t>
      </w:r>
      <w:r w:rsidRPr="00C522CD">
        <w:rPr>
          <w:rFonts w:eastAsia="Calibri"/>
          <w:szCs w:val="24"/>
        </w:rPr>
        <w:t>au profit des populations affectées par le terrorisme</w:t>
      </w:r>
      <w:r w:rsidR="001B6A70">
        <w:rPr>
          <w:rFonts w:eastAsia="Calibri"/>
          <w:szCs w:val="24"/>
        </w:rPr>
        <w:t>,</w:t>
      </w:r>
      <w:r w:rsidRPr="00C522CD">
        <w:rPr>
          <w:rFonts w:eastAsia="Calibri"/>
          <w:szCs w:val="24"/>
        </w:rPr>
        <w:t xml:space="preserve"> y compris des PDI pour une cible de </w:t>
      </w:r>
      <w:r>
        <w:rPr>
          <w:rFonts w:eastAsia="Calibri"/>
          <w:szCs w:val="24"/>
        </w:rPr>
        <w:t>1</w:t>
      </w:r>
      <w:r w:rsidR="001B6A70">
        <w:t> </w:t>
      </w:r>
      <w:r w:rsidRPr="00C522CD">
        <w:rPr>
          <w:rFonts w:eastAsia="Calibri"/>
          <w:szCs w:val="24"/>
        </w:rPr>
        <w:t>360</w:t>
      </w:r>
      <w:r w:rsidR="001B6A70">
        <w:rPr>
          <w:rFonts w:eastAsia="Calibri"/>
          <w:szCs w:val="24"/>
        </w:rPr>
        <w:t>.</w:t>
      </w:r>
    </w:p>
    <w:p w14:paraId="1E4B4D87" w14:textId="77777777" w:rsidR="00453FA3" w:rsidRPr="00BB220D" w:rsidRDefault="00453FA3" w:rsidP="000D11AC">
      <w:pPr>
        <w:rPr>
          <w:b/>
          <w:bCs/>
          <w:lang w:eastAsia="fr-FR"/>
        </w:rPr>
      </w:pPr>
    </w:p>
    <w:p w14:paraId="1A0ECB3C" w14:textId="3DDB0B16" w:rsidR="00022D1C" w:rsidRPr="00022D1C" w:rsidRDefault="00557BEB" w:rsidP="00022D1C">
      <w:pPr>
        <w:pStyle w:val="PAT3"/>
        <w:rPr>
          <w:rFonts w:eastAsia="Calibri"/>
          <w:szCs w:val="24"/>
        </w:rPr>
      </w:pPr>
      <w:bookmarkStart w:id="59" w:name="_Toc163141218"/>
      <w:r w:rsidRPr="0019026D">
        <w:lastRenderedPageBreak/>
        <w:t>Synthèse de la réponse à la crise humanitaire</w:t>
      </w:r>
      <w:bookmarkEnd w:id="59"/>
      <w:r w:rsidR="00FD5D5C" w:rsidRPr="0019026D">
        <w:rPr>
          <w:rFonts w:eastAsia="Calibri"/>
          <w:szCs w:val="24"/>
        </w:rPr>
        <w:t xml:space="preserve"> </w:t>
      </w:r>
    </w:p>
    <w:p w14:paraId="4497845A" w14:textId="77DFA7E2" w:rsidR="00022D1C" w:rsidRDefault="00022D1C" w:rsidP="00F175A7">
      <w:pPr>
        <w:numPr>
          <w:ilvl w:val="0"/>
          <w:numId w:val="8"/>
        </w:numPr>
        <w:shd w:val="clear" w:color="auto" w:fill="FFFFFF"/>
        <w:spacing w:before="120" w:after="120" w:line="240" w:lineRule="auto"/>
        <w:ind w:left="0"/>
        <w:rPr>
          <w:rFonts w:eastAsia="Calibri"/>
          <w:szCs w:val="24"/>
        </w:rPr>
      </w:pPr>
      <w:r w:rsidRPr="00022D1C">
        <w:rPr>
          <w:rFonts w:eastAsia="Calibri"/>
          <w:szCs w:val="24"/>
        </w:rPr>
        <w:t>Dans le cadre de la réponse à la crise humanitaire, les interventions du Gouvernement en 2023 avec l’appui de ses partenaires ont permis d’enregistr</w:t>
      </w:r>
      <w:r w:rsidR="001B6A70">
        <w:rPr>
          <w:rFonts w:eastAsia="Calibri"/>
          <w:szCs w:val="24"/>
        </w:rPr>
        <w:t>er</w:t>
      </w:r>
      <w:r w:rsidRPr="00022D1C">
        <w:rPr>
          <w:rFonts w:eastAsia="Calibri"/>
          <w:szCs w:val="24"/>
        </w:rPr>
        <w:t xml:space="preserve"> des résultats probants dans la mise en œuvre de certaines actions mais des défis demeurent pour certaines d’entre elles. Dans l’ensemble</w:t>
      </w:r>
      <w:r w:rsidR="001B6A70">
        <w:rPr>
          <w:rFonts w:eastAsia="Calibri"/>
          <w:szCs w:val="24"/>
        </w:rPr>
        <w:t>,</w:t>
      </w:r>
      <w:r w:rsidRPr="00022D1C">
        <w:rPr>
          <w:rFonts w:eastAsia="Calibri"/>
          <w:szCs w:val="24"/>
        </w:rPr>
        <w:t xml:space="preserve"> le niveau d’exécution physique des actions de ce pilier ressort à </w:t>
      </w:r>
      <w:r w:rsidR="00EC0AC7">
        <w:rPr>
          <w:rFonts w:eastAsia="Calibri"/>
          <w:szCs w:val="24"/>
        </w:rPr>
        <w:t>86,16</w:t>
      </w:r>
      <w:r w:rsidRPr="00022D1C">
        <w:rPr>
          <w:rFonts w:eastAsia="Calibri"/>
          <w:szCs w:val="24"/>
        </w:rPr>
        <w:t xml:space="preserve">% pour une exécution financière de </w:t>
      </w:r>
      <w:r w:rsidR="00EC0AC7">
        <w:rPr>
          <w:rFonts w:eastAsia="Calibri"/>
          <w:szCs w:val="24"/>
        </w:rPr>
        <w:t>75,47</w:t>
      </w:r>
      <w:r w:rsidRPr="00022D1C">
        <w:rPr>
          <w:rFonts w:eastAsia="Calibri"/>
          <w:szCs w:val="24"/>
        </w:rPr>
        <w:t>% au 31 décembre 2023.</w:t>
      </w:r>
    </w:p>
    <w:p w14:paraId="03BD5C72" w14:textId="21EE8602" w:rsidR="00022D1C" w:rsidRPr="00770276" w:rsidRDefault="00770276" w:rsidP="00770276">
      <w:pPr>
        <w:numPr>
          <w:ilvl w:val="0"/>
          <w:numId w:val="8"/>
        </w:numPr>
        <w:shd w:val="clear" w:color="auto" w:fill="FFFFFF"/>
        <w:spacing w:before="120" w:after="120" w:line="240" w:lineRule="auto"/>
        <w:ind w:left="0"/>
        <w:rPr>
          <w:rFonts w:eastAsia="Calibri"/>
          <w:szCs w:val="24"/>
        </w:rPr>
      </w:pPr>
      <w:r w:rsidRPr="00770276">
        <w:rPr>
          <w:rFonts w:eastAsia="Calibri"/>
          <w:szCs w:val="24"/>
        </w:rPr>
        <w:t>Ainsi, pour ce qui de l’o</w:t>
      </w:r>
      <w:r w:rsidRPr="00AB3EE0">
        <w:t>bjectif stratégique 1.1 : Renforcer la résilience des populations et des communautés au risque de basculement dans la radicalisation et l’extrémisme violent</w:t>
      </w:r>
      <w:r>
        <w:t xml:space="preserve">, </w:t>
      </w:r>
      <w:r w:rsidR="00022D1C" w:rsidRPr="00770276">
        <w:rPr>
          <w:rFonts w:eastAsia="Calibri"/>
          <w:szCs w:val="24"/>
        </w:rPr>
        <w:t>les progrès enregistrés concernent le soutien au retour volontaire des personnes déplacées dans leurs zones d'origine et garantie de leur sécurité</w:t>
      </w:r>
      <w:r>
        <w:rPr>
          <w:rFonts w:eastAsia="Calibri"/>
          <w:szCs w:val="24"/>
        </w:rPr>
        <w:t xml:space="preserve"> (02005)</w:t>
      </w:r>
      <w:r w:rsidR="00022D1C" w:rsidRPr="00770276">
        <w:rPr>
          <w:rFonts w:eastAsia="Calibri"/>
          <w:szCs w:val="24"/>
        </w:rPr>
        <w:t xml:space="preserve"> avec </w:t>
      </w:r>
      <w:r w:rsidR="005A1CA2" w:rsidRPr="00770276">
        <w:rPr>
          <w:rFonts w:eastAsia="Calibri"/>
          <w:szCs w:val="24"/>
        </w:rPr>
        <w:t xml:space="preserve">l’octroi de </w:t>
      </w:r>
      <w:r w:rsidR="005A1CA2" w:rsidRPr="00770276">
        <w:rPr>
          <w:rFonts w:eastAsia="Times New Roman" w:cs="Times New Roman"/>
        </w:rPr>
        <w:t>kits d’installation</w:t>
      </w:r>
      <w:r w:rsidR="005A1CA2" w:rsidRPr="00770276">
        <w:rPr>
          <w:rFonts w:eastAsia="Calibri"/>
          <w:szCs w:val="24"/>
        </w:rPr>
        <w:t xml:space="preserve"> à </w:t>
      </w:r>
      <w:r w:rsidR="005A1CA2" w:rsidRPr="00770276">
        <w:rPr>
          <w:rFonts w:eastAsia="Times New Roman" w:cs="Times New Roman"/>
        </w:rPr>
        <w:t>73 208 adolescents(es) déplacé(e)s internes handicapé(es) et vulnérables bénéficiaires de formation professionnelle</w:t>
      </w:r>
      <w:r>
        <w:rPr>
          <w:rFonts w:eastAsia="Times New Roman" w:cs="Times New Roman"/>
        </w:rPr>
        <w:t>,</w:t>
      </w:r>
      <w:r w:rsidR="005A1CA2" w:rsidRPr="00770276">
        <w:rPr>
          <w:rFonts w:eastAsia="Calibri"/>
          <w:szCs w:val="24"/>
        </w:rPr>
        <w:t xml:space="preserve"> </w:t>
      </w:r>
      <w:r w:rsidR="005A1CA2" w:rsidRPr="00770276">
        <w:rPr>
          <w:rFonts w:eastAsia="Times New Roman" w:cs="Times New Roman"/>
        </w:rPr>
        <w:t>l’octroi d’assistance alimentaire</w:t>
      </w:r>
      <w:r w:rsidR="005A1CA2">
        <w:t xml:space="preserve"> à </w:t>
      </w:r>
      <w:r w:rsidR="005A1CA2" w:rsidRPr="00770276">
        <w:rPr>
          <w:rFonts w:eastAsia="Times New Roman" w:cs="Times New Roman"/>
        </w:rPr>
        <w:t>2 073 465 PDI et communautés hôtes vulnérables dont 1 078 201 femmes</w:t>
      </w:r>
      <w:r>
        <w:rPr>
          <w:rFonts w:eastAsia="Times New Roman" w:cs="Times New Roman"/>
        </w:rPr>
        <w:t>,</w:t>
      </w:r>
      <w:r w:rsidR="005A1CA2" w:rsidRPr="00770276">
        <w:rPr>
          <w:rFonts w:eastAsia="Times New Roman" w:cs="Times New Roman"/>
        </w:rPr>
        <w:t xml:space="preserve"> l'appui </w:t>
      </w:r>
      <w:r w:rsidR="001B6A70" w:rsidRPr="00770276">
        <w:rPr>
          <w:rFonts w:eastAsia="Times New Roman" w:cs="Times New Roman"/>
        </w:rPr>
        <w:t xml:space="preserve">à </w:t>
      </w:r>
      <w:r w:rsidR="005A1CA2" w:rsidRPr="00770276">
        <w:rPr>
          <w:rFonts w:eastAsia="Times New Roman" w:cs="Times New Roman"/>
        </w:rPr>
        <w:t>101 345</w:t>
      </w:r>
      <w:r w:rsidR="005A1CA2">
        <w:t xml:space="preserve"> </w:t>
      </w:r>
      <w:r w:rsidR="005A1CA2" w:rsidRPr="00770276">
        <w:rPr>
          <w:rFonts w:eastAsia="Times New Roman" w:cs="Times New Roman"/>
        </w:rPr>
        <w:t>PDI et personnes vulnérables des communautés hôtes pour la réalisation d’AGR</w:t>
      </w:r>
      <w:r>
        <w:rPr>
          <w:rFonts w:eastAsia="Times New Roman" w:cs="Times New Roman"/>
        </w:rPr>
        <w:t xml:space="preserve">, </w:t>
      </w:r>
      <w:r w:rsidR="00022D1C" w:rsidRPr="00770276">
        <w:rPr>
          <w:rFonts w:eastAsia="Calibri"/>
          <w:szCs w:val="24"/>
        </w:rPr>
        <w:t>l’aménagement de 275 hectares de terres agricoles</w:t>
      </w:r>
      <w:r w:rsidR="004E3726" w:rsidRPr="00770276">
        <w:rPr>
          <w:rFonts w:eastAsia="Calibri"/>
          <w:szCs w:val="24"/>
        </w:rPr>
        <w:t xml:space="preserve">, </w:t>
      </w:r>
      <w:r w:rsidR="00022D1C" w:rsidRPr="00770276">
        <w:rPr>
          <w:rFonts w:eastAsia="Calibri"/>
          <w:szCs w:val="24"/>
        </w:rPr>
        <w:t xml:space="preserve">l’amélioration de l’accès aux services socioéconomiques (sanitaires, scolaires, marchandes, d’élevage) au profit de 200 000 personnes </w:t>
      </w:r>
      <w:r w:rsidR="004E3726" w:rsidRPr="00770276">
        <w:rPr>
          <w:rFonts w:eastAsia="Calibri"/>
          <w:szCs w:val="24"/>
        </w:rPr>
        <w:t>et l’acquisition de 1 600 lampes solaires et 400 kits solaires au profit des PDI</w:t>
      </w:r>
      <w:r w:rsidR="00022D1C" w:rsidRPr="00770276">
        <w:rPr>
          <w:rFonts w:eastAsia="Calibri"/>
          <w:szCs w:val="24"/>
        </w:rPr>
        <w:t>.</w:t>
      </w:r>
    </w:p>
    <w:p w14:paraId="12903C89" w14:textId="69F4C899" w:rsidR="00022D1C" w:rsidRDefault="00022D1C" w:rsidP="00F175A7">
      <w:pPr>
        <w:numPr>
          <w:ilvl w:val="0"/>
          <w:numId w:val="8"/>
        </w:numPr>
        <w:shd w:val="clear" w:color="auto" w:fill="FFFFFF"/>
        <w:spacing w:before="120" w:after="120" w:line="240" w:lineRule="auto"/>
        <w:ind w:left="0"/>
        <w:rPr>
          <w:rFonts w:eastAsia="Calibri"/>
          <w:szCs w:val="24"/>
        </w:rPr>
      </w:pPr>
      <w:r w:rsidRPr="00022D1C">
        <w:rPr>
          <w:rFonts w:eastAsia="Calibri"/>
          <w:szCs w:val="24"/>
        </w:rPr>
        <w:t>Il en est de même en matière de</w:t>
      </w:r>
      <w:r w:rsidR="00B7193D">
        <w:rPr>
          <w:rFonts w:eastAsia="Calibri"/>
          <w:szCs w:val="24"/>
        </w:rPr>
        <w:t> : (i)</w:t>
      </w:r>
      <w:r w:rsidRPr="00022D1C">
        <w:rPr>
          <w:rFonts w:eastAsia="Calibri"/>
          <w:szCs w:val="24"/>
        </w:rPr>
        <w:t xml:space="preserve"> prise en charge psycho-sociale des victimes et personnes affectées par le terrorisme </w:t>
      </w:r>
      <w:r w:rsidR="00770276">
        <w:rPr>
          <w:rFonts w:eastAsia="Calibri"/>
          <w:szCs w:val="24"/>
        </w:rPr>
        <w:t xml:space="preserve">(02002) </w:t>
      </w:r>
      <w:r w:rsidRPr="00022D1C">
        <w:rPr>
          <w:rFonts w:eastAsia="Calibri"/>
          <w:szCs w:val="24"/>
        </w:rPr>
        <w:t>avec l’accompagnement de la totalité des gendarmes et policiers blessés ainsi que la prise en charge des familles de gendarmes et policiers portés disparus, l’accompagnement de 3 327 721 personnes dont 1 556 079 femmes et 500 apprenants</w:t>
      </w:r>
      <w:r w:rsidR="00B7193D">
        <w:rPr>
          <w:rFonts w:eastAsia="Calibri"/>
          <w:szCs w:val="24"/>
        </w:rPr>
        <w:t xml:space="preserve"> ; (ii) </w:t>
      </w:r>
      <w:r w:rsidRPr="00022D1C">
        <w:rPr>
          <w:rFonts w:eastAsia="Calibri"/>
          <w:szCs w:val="24"/>
        </w:rPr>
        <w:t xml:space="preserve">mise en place d'un plan de soutien aux PDI </w:t>
      </w:r>
      <w:r w:rsidR="00B7193D">
        <w:rPr>
          <w:rFonts w:eastAsia="Calibri"/>
          <w:szCs w:val="24"/>
        </w:rPr>
        <w:t xml:space="preserve">(02006) </w:t>
      </w:r>
      <w:r w:rsidRPr="00022D1C">
        <w:rPr>
          <w:rFonts w:eastAsia="Calibri"/>
          <w:szCs w:val="24"/>
        </w:rPr>
        <w:t>avec le soutien effectif de 3 066 564 personnes pauvres et vulnérables et autres personnes affectées par le terrorisme sur 1 594 859 PDI</w:t>
      </w:r>
      <w:r w:rsidR="00B7193D">
        <w:rPr>
          <w:rFonts w:eastAsia="Calibri"/>
          <w:szCs w:val="24"/>
        </w:rPr>
        <w:t xml:space="preserve"> ; (iii) </w:t>
      </w:r>
      <w:r w:rsidR="00B7193D" w:rsidRPr="0042784A">
        <w:rPr>
          <w:rFonts w:eastAsia="Calibri"/>
          <w:szCs w:val="24"/>
        </w:rPr>
        <w:t xml:space="preserve">acquisition et l’approvisionnement en produits de santé, équipements et autres intrants de prise en charge sanitaire des populations affectées par le terrorisme y compris les PDI (A02008) </w:t>
      </w:r>
      <w:r w:rsidR="00B7193D">
        <w:rPr>
          <w:rFonts w:eastAsia="Calibri"/>
          <w:szCs w:val="24"/>
        </w:rPr>
        <w:t xml:space="preserve">avec </w:t>
      </w:r>
      <w:r w:rsidRPr="00022D1C">
        <w:rPr>
          <w:rFonts w:eastAsia="Calibri"/>
          <w:szCs w:val="24"/>
        </w:rPr>
        <w:t xml:space="preserve">la couverture de 95% de districts en besoin </w:t>
      </w:r>
      <w:r w:rsidR="001B6A70">
        <w:rPr>
          <w:rFonts w:eastAsia="Calibri"/>
          <w:szCs w:val="24"/>
        </w:rPr>
        <w:t>de</w:t>
      </w:r>
      <w:r w:rsidRPr="00022D1C">
        <w:rPr>
          <w:rFonts w:eastAsia="Calibri"/>
          <w:szCs w:val="24"/>
        </w:rPr>
        <w:t xml:space="preserve"> kits d’urgence satisfaits pour une cible visée de 100%.</w:t>
      </w:r>
    </w:p>
    <w:p w14:paraId="426F134F" w14:textId="577C1B79" w:rsidR="00022D1C" w:rsidRPr="00022D1C" w:rsidRDefault="00526AD6" w:rsidP="00526AD6">
      <w:pPr>
        <w:numPr>
          <w:ilvl w:val="0"/>
          <w:numId w:val="8"/>
        </w:numPr>
        <w:shd w:val="clear" w:color="auto" w:fill="FFFFFF"/>
        <w:spacing w:before="120" w:after="120" w:line="240" w:lineRule="auto"/>
        <w:ind w:left="0"/>
        <w:rPr>
          <w:rFonts w:eastAsia="Calibri"/>
          <w:szCs w:val="24"/>
        </w:rPr>
      </w:pPr>
      <w:r>
        <w:rPr>
          <w:rFonts w:eastAsia="Calibri"/>
          <w:szCs w:val="24"/>
        </w:rPr>
        <w:t>Au titre de l’o</w:t>
      </w:r>
      <w:r w:rsidRPr="00384F29">
        <w:rPr>
          <w:bCs/>
        </w:rPr>
        <w:t>bjectif stratégique 4.1 : Développer durablement un secteur agro-</w:t>
      </w:r>
      <w:proofErr w:type="spellStart"/>
      <w:r w:rsidRPr="00384F29">
        <w:rPr>
          <w:bCs/>
        </w:rPr>
        <w:t>sylvo</w:t>
      </w:r>
      <w:proofErr w:type="spellEnd"/>
      <w:r w:rsidRPr="00384F29">
        <w:rPr>
          <w:bCs/>
        </w:rPr>
        <w:t>-pastoral, faunique et halieutique productif et résilient, davantage orienté vers le marché</w:t>
      </w:r>
      <w:r>
        <w:rPr>
          <w:bCs/>
        </w:rPr>
        <w:t xml:space="preserve">, les acquis enregistrés ont trait à </w:t>
      </w:r>
      <w:r w:rsidR="00022D1C" w:rsidRPr="00022D1C">
        <w:rPr>
          <w:rFonts w:eastAsia="Calibri"/>
          <w:szCs w:val="24"/>
        </w:rPr>
        <w:t>la prise de dispositions urgentes pour contenir la crise alimentaire et l'inflation</w:t>
      </w:r>
      <w:r>
        <w:rPr>
          <w:rFonts w:eastAsia="Calibri"/>
          <w:szCs w:val="24"/>
        </w:rPr>
        <w:t xml:space="preserve"> (02010)</w:t>
      </w:r>
      <w:r w:rsidR="00022D1C" w:rsidRPr="00022D1C">
        <w:rPr>
          <w:rFonts w:eastAsia="Calibri"/>
          <w:szCs w:val="24"/>
        </w:rPr>
        <w:t>, traduits par le maintien du niv</w:t>
      </w:r>
      <w:r w:rsidR="00C209F4">
        <w:rPr>
          <w:rFonts w:eastAsia="Calibri"/>
          <w:szCs w:val="24"/>
        </w:rPr>
        <w:t>eau de l’inflation à 0,7</w:t>
      </w:r>
      <w:r w:rsidR="00022D1C" w:rsidRPr="00022D1C">
        <w:rPr>
          <w:rFonts w:eastAsia="Calibri"/>
          <w:szCs w:val="24"/>
        </w:rPr>
        <w:t>% en moyenne annuelle pour une cible de ≤3% en 2023, la prise de 11 mesures sur 10 prévues pour contenir la crise alimentaire et l'inflation</w:t>
      </w:r>
      <w:r w:rsidR="004E3726">
        <w:rPr>
          <w:rFonts w:eastAsia="Calibri"/>
          <w:szCs w:val="24"/>
        </w:rPr>
        <w:t xml:space="preserve">, </w:t>
      </w:r>
      <w:r w:rsidR="004E3726" w:rsidRPr="00616190">
        <w:rPr>
          <w:szCs w:val="24"/>
        </w:rPr>
        <w:t>l’octroi de 10 milliards FCFA de subvention aux acteurs de la filière coton</w:t>
      </w:r>
      <w:r w:rsidR="00022D1C" w:rsidRPr="00022D1C">
        <w:rPr>
          <w:rFonts w:eastAsia="Calibri"/>
          <w:szCs w:val="24"/>
        </w:rPr>
        <w:t xml:space="preserve"> et le contrôle de 7 047 commerçants sur 6</w:t>
      </w:r>
      <w:r w:rsidR="001B6A70" w:rsidRPr="00DF4082">
        <w:t> </w:t>
      </w:r>
      <w:r w:rsidR="00022D1C" w:rsidRPr="00022D1C">
        <w:rPr>
          <w:rFonts w:eastAsia="Calibri"/>
          <w:szCs w:val="24"/>
        </w:rPr>
        <w:t>000 prévus.</w:t>
      </w:r>
    </w:p>
    <w:p w14:paraId="3A4498BD" w14:textId="395F0D61" w:rsidR="00022D1C" w:rsidRPr="00022D1C" w:rsidRDefault="00022D1C" w:rsidP="00F175A7">
      <w:pPr>
        <w:numPr>
          <w:ilvl w:val="0"/>
          <w:numId w:val="8"/>
        </w:numPr>
        <w:shd w:val="clear" w:color="auto" w:fill="FFFFFF"/>
        <w:spacing w:before="120" w:after="120" w:line="240" w:lineRule="auto"/>
        <w:ind w:left="0"/>
        <w:rPr>
          <w:rFonts w:eastAsia="Calibri"/>
          <w:szCs w:val="24"/>
        </w:rPr>
      </w:pPr>
      <w:r w:rsidRPr="00022D1C">
        <w:rPr>
          <w:rFonts w:eastAsia="Calibri"/>
          <w:szCs w:val="24"/>
        </w:rPr>
        <w:t>En revanche, la performance reste en deçà des attentes dans la mise en œuvre des actions touchant</w:t>
      </w:r>
      <w:r w:rsidR="008B7786">
        <w:rPr>
          <w:rFonts w:eastAsia="Calibri"/>
          <w:szCs w:val="24"/>
        </w:rPr>
        <w:t xml:space="preserve"> : (i) </w:t>
      </w:r>
      <w:r w:rsidRPr="00022D1C">
        <w:rPr>
          <w:rFonts w:eastAsia="Calibri"/>
          <w:szCs w:val="24"/>
        </w:rPr>
        <w:t>la prévention et la gestion des catastrophes et des crises humanitaires</w:t>
      </w:r>
      <w:r w:rsidR="008B7786">
        <w:rPr>
          <w:rFonts w:eastAsia="Calibri"/>
          <w:szCs w:val="24"/>
        </w:rPr>
        <w:t xml:space="preserve"> (02003)</w:t>
      </w:r>
      <w:r w:rsidRPr="00022D1C">
        <w:rPr>
          <w:rFonts w:eastAsia="Calibri"/>
          <w:szCs w:val="24"/>
        </w:rPr>
        <w:t xml:space="preserve"> avec la prise en charge de seulement 47% des ménages victimes de catastrophes et/ou de crises humanitaires pour une cible de 100% à fin décembre 2023</w:t>
      </w:r>
      <w:r w:rsidR="008B7786">
        <w:rPr>
          <w:rFonts w:eastAsia="Calibri"/>
          <w:szCs w:val="24"/>
        </w:rPr>
        <w:t xml:space="preserve"> ; (ii) </w:t>
      </w:r>
      <w:r w:rsidRPr="00022D1C">
        <w:rPr>
          <w:rFonts w:eastAsia="Calibri"/>
          <w:szCs w:val="24"/>
        </w:rPr>
        <w:t>la mise en place d'un plan de soutien aux P</w:t>
      </w:r>
      <w:r w:rsidR="001773A0">
        <w:rPr>
          <w:rFonts w:eastAsia="Calibri"/>
          <w:szCs w:val="24"/>
        </w:rPr>
        <w:t>DI</w:t>
      </w:r>
      <w:r w:rsidRPr="00022D1C">
        <w:rPr>
          <w:rFonts w:eastAsia="Calibri"/>
          <w:szCs w:val="24"/>
        </w:rPr>
        <w:t>, aux personnes pauvres et vulnérables et autres personnes affectées par le terrorisme</w:t>
      </w:r>
      <w:r w:rsidR="008B7786">
        <w:rPr>
          <w:rFonts w:eastAsia="Calibri"/>
          <w:szCs w:val="24"/>
        </w:rPr>
        <w:t xml:space="preserve"> (02004)</w:t>
      </w:r>
      <w:r w:rsidRPr="00022D1C">
        <w:rPr>
          <w:rFonts w:eastAsia="Calibri"/>
          <w:szCs w:val="24"/>
        </w:rPr>
        <w:t xml:space="preserve"> </w:t>
      </w:r>
      <w:r w:rsidR="001773A0">
        <w:rPr>
          <w:rFonts w:eastAsia="Calibri"/>
          <w:szCs w:val="24"/>
        </w:rPr>
        <w:t xml:space="preserve">avec le soutien à la réinstallation de seulement </w:t>
      </w:r>
      <w:r w:rsidRPr="00022D1C">
        <w:rPr>
          <w:rFonts w:eastAsia="Calibri"/>
          <w:szCs w:val="24"/>
        </w:rPr>
        <w:t xml:space="preserve">21 212 personnes </w:t>
      </w:r>
      <w:r w:rsidR="001773A0">
        <w:rPr>
          <w:rFonts w:eastAsia="Calibri"/>
          <w:szCs w:val="24"/>
        </w:rPr>
        <w:lastRenderedPageBreak/>
        <w:t xml:space="preserve">de la cible visée </w:t>
      </w:r>
      <w:r w:rsidRPr="00022D1C">
        <w:rPr>
          <w:rFonts w:eastAsia="Calibri"/>
          <w:szCs w:val="24"/>
        </w:rPr>
        <w:t xml:space="preserve">1 594 859 </w:t>
      </w:r>
      <w:r w:rsidR="001773A0">
        <w:rPr>
          <w:rFonts w:eastAsia="Calibri"/>
          <w:szCs w:val="24"/>
        </w:rPr>
        <w:t xml:space="preserve">personnes et (iii) </w:t>
      </w:r>
      <w:r w:rsidRPr="00022D1C">
        <w:rPr>
          <w:rFonts w:eastAsia="Calibri"/>
          <w:szCs w:val="24"/>
        </w:rPr>
        <w:t>la mise en œuvre d'un Programme d'</w:t>
      </w:r>
      <w:r w:rsidR="001B6A70">
        <w:rPr>
          <w:rFonts w:eastAsia="Calibri"/>
          <w:szCs w:val="24"/>
        </w:rPr>
        <w:t>u</w:t>
      </w:r>
      <w:r w:rsidRPr="00022D1C">
        <w:rPr>
          <w:rFonts w:eastAsia="Calibri"/>
          <w:szCs w:val="24"/>
        </w:rPr>
        <w:t xml:space="preserve">rbanisme de </w:t>
      </w:r>
      <w:r w:rsidR="001B6A70">
        <w:rPr>
          <w:rFonts w:eastAsia="Calibri"/>
          <w:szCs w:val="24"/>
        </w:rPr>
        <w:t>c</w:t>
      </w:r>
      <w:r w:rsidRPr="00022D1C">
        <w:rPr>
          <w:rFonts w:eastAsia="Calibri"/>
          <w:szCs w:val="24"/>
        </w:rPr>
        <w:t>rise (PUC) qui n’a pu être effective</w:t>
      </w:r>
      <w:r w:rsidR="001773A0">
        <w:rPr>
          <w:rFonts w:eastAsia="Calibri"/>
          <w:szCs w:val="24"/>
        </w:rPr>
        <w:t>.</w:t>
      </w:r>
      <w:r w:rsidRPr="00022D1C">
        <w:rPr>
          <w:rFonts w:eastAsia="Calibri"/>
          <w:szCs w:val="24"/>
        </w:rPr>
        <w:t xml:space="preserve"> </w:t>
      </w:r>
    </w:p>
    <w:p w14:paraId="67DD12A5" w14:textId="307AE16E" w:rsidR="002D54F3" w:rsidRPr="0019026D" w:rsidRDefault="00022D1C" w:rsidP="00F175A7">
      <w:pPr>
        <w:numPr>
          <w:ilvl w:val="0"/>
          <w:numId w:val="8"/>
        </w:numPr>
        <w:shd w:val="clear" w:color="auto" w:fill="FFFFFF"/>
        <w:spacing w:before="120" w:after="120" w:line="240" w:lineRule="auto"/>
        <w:ind w:left="0"/>
        <w:rPr>
          <w:rFonts w:eastAsia="Calibri"/>
          <w:szCs w:val="24"/>
        </w:rPr>
      </w:pPr>
      <w:r w:rsidRPr="00022D1C">
        <w:rPr>
          <w:rFonts w:eastAsia="Calibri"/>
          <w:szCs w:val="24"/>
        </w:rPr>
        <w:t>La performance aurait pu être meilleure n</w:t>
      </w:r>
      <w:r w:rsidR="001B6A70">
        <w:rPr>
          <w:rFonts w:eastAsia="Calibri"/>
          <w:szCs w:val="24"/>
        </w:rPr>
        <w:t xml:space="preserve">’eût </w:t>
      </w:r>
      <w:r w:rsidRPr="00022D1C">
        <w:rPr>
          <w:rFonts w:eastAsia="Calibri"/>
          <w:szCs w:val="24"/>
        </w:rPr>
        <w:t xml:space="preserve">été les difficultés suivantes ci-après qui ont contrarié les interventions en matière de réponse à la crise humanitaire. Il s’agit pour l’essentiel de : (i) la </w:t>
      </w:r>
      <w:proofErr w:type="spellStart"/>
      <w:r w:rsidRPr="00022D1C">
        <w:rPr>
          <w:rFonts w:eastAsia="Calibri"/>
          <w:szCs w:val="24"/>
        </w:rPr>
        <w:t>non-mise</w:t>
      </w:r>
      <w:proofErr w:type="spellEnd"/>
      <w:r w:rsidRPr="00022D1C">
        <w:rPr>
          <w:rFonts w:eastAsia="Calibri"/>
          <w:szCs w:val="24"/>
        </w:rPr>
        <w:t xml:space="preserve"> en œuvre du Plan d’action opérationnel (PAO) de la stratégie nationale de relèvement des personnes déplacées internes et des communautés d’accueil 2023-2027 ; (ii) l’impact de la crise russo-ukrainienne sur les chaînes d’approvisionnement mondiales et les difficultés fonctionnelles inhérentes à la CAIMA ; (iii) la persistance de la crise sécuritaire qui n’a pas permis de dérouler certaines activités</w:t>
      </w:r>
      <w:r w:rsidR="001B6A70">
        <w:rPr>
          <w:rFonts w:eastAsia="Calibri"/>
          <w:szCs w:val="24"/>
        </w:rPr>
        <w:t>,</w:t>
      </w:r>
      <w:r w:rsidRPr="00022D1C">
        <w:rPr>
          <w:rFonts w:eastAsia="Calibri"/>
          <w:szCs w:val="24"/>
        </w:rPr>
        <w:t xml:space="preserve"> notamment sur l’axe Ouaga-Kaya-</w:t>
      </w:r>
      <w:proofErr w:type="spellStart"/>
      <w:r w:rsidRPr="00022D1C">
        <w:rPr>
          <w:rFonts w:eastAsia="Calibri"/>
          <w:szCs w:val="24"/>
        </w:rPr>
        <w:t>Dori</w:t>
      </w:r>
      <w:proofErr w:type="spellEnd"/>
      <w:r w:rsidRPr="00022D1C">
        <w:rPr>
          <w:rFonts w:eastAsia="Calibri"/>
          <w:szCs w:val="24"/>
        </w:rPr>
        <w:t xml:space="preserve"> ; (iv) la suspension des cash</w:t>
      </w:r>
      <w:r w:rsidR="001B6A70">
        <w:rPr>
          <w:rFonts w:eastAsia="Calibri"/>
          <w:szCs w:val="24"/>
        </w:rPr>
        <w:t xml:space="preserve"> </w:t>
      </w:r>
      <w:r w:rsidRPr="00022D1C">
        <w:rPr>
          <w:rFonts w:eastAsia="Calibri"/>
          <w:szCs w:val="24"/>
        </w:rPr>
        <w:t>transferts dans certaines régions par le Gouvernement et le retard accusé dans l’opérationnalisation du Programme d’</w:t>
      </w:r>
      <w:r w:rsidR="001B6A70">
        <w:rPr>
          <w:rFonts w:eastAsia="Calibri"/>
          <w:szCs w:val="24"/>
        </w:rPr>
        <w:t>a</w:t>
      </w:r>
      <w:r w:rsidRPr="00022D1C">
        <w:rPr>
          <w:rFonts w:eastAsia="Calibri"/>
          <w:szCs w:val="24"/>
        </w:rPr>
        <w:t xml:space="preserve">ppui aux </w:t>
      </w:r>
      <w:r w:rsidR="001B6A70">
        <w:rPr>
          <w:rFonts w:eastAsia="Calibri"/>
          <w:szCs w:val="24"/>
        </w:rPr>
        <w:t>m</w:t>
      </w:r>
      <w:r w:rsidRPr="00022D1C">
        <w:rPr>
          <w:rFonts w:eastAsia="Calibri"/>
          <w:szCs w:val="24"/>
        </w:rPr>
        <w:t xml:space="preserve">énages </w:t>
      </w:r>
      <w:r w:rsidR="001B6A70">
        <w:rPr>
          <w:rFonts w:eastAsia="Calibri"/>
          <w:szCs w:val="24"/>
        </w:rPr>
        <w:t>p</w:t>
      </w:r>
      <w:r w:rsidRPr="00022D1C">
        <w:rPr>
          <w:rFonts w:eastAsia="Calibri"/>
          <w:szCs w:val="24"/>
        </w:rPr>
        <w:t xml:space="preserve">auvres et </w:t>
      </w:r>
      <w:r w:rsidR="001B6A70">
        <w:rPr>
          <w:rFonts w:eastAsia="Calibri"/>
          <w:szCs w:val="24"/>
        </w:rPr>
        <w:t>v</w:t>
      </w:r>
      <w:r w:rsidRPr="00022D1C">
        <w:rPr>
          <w:rFonts w:eastAsia="Calibri"/>
          <w:szCs w:val="24"/>
        </w:rPr>
        <w:t>ulnérables (PAMPV) en vue d’une meilleure articulation de l’approche et la faiblesse des allocations budgétaires</w:t>
      </w:r>
      <w:r w:rsidR="00FD5D5C" w:rsidRPr="0019026D">
        <w:rPr>
          <w:rFonts w:eastAsia="Calibri"/>
          <w:szCs w:val="24"/>
        </w:rPr>
        <w:t>.</w:t>
      </w:r>
    </w:p>
    <w:p w14:paraId="05B20D7C" w14:textId="77777777" w:rsidR="001479B6" w:rsidRPr="008D2129" w:rsidRDefault="001479B6">
      <w:pPr>
        <w:spacing w:after="0" w:line="240" w:lineRule="auto"/>
        <w:jc w:val="left"/>
        <w:rPr>
          <w:rFonts w:cs="Times New Roman (Titres CS)"/>
          <w:b/>
          <w:bCs/>
          <w:sz w:val="28"/>
          <w:szCs w:val="56"/>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2129">
        <w:br w:type="page"/>
      </w:r>
    </w:p>
    <w:p w14:paraId="51D9DA35" w14:textId="275CC3C2" w:rsidR="00682CFB" w:rsidRPr="00392D1A" w:rsidRDefault="00EA252D" w:rsidP="00392D1A">
      <w:pPr>
        <w:pStyle w:val="PAT2"/>
      </w:pPr>
      <w:bookmarkStart w:id="60" w:name="_Toc163141219"/>
      <w:bookmarkStart w:id="61" w:name="_Toc164692888"/>
      <w:r w:rsidRPr="008D2129">
        <w:lastRenderedPageBreak/>
        <w:t xml:space="preserve">Pilier 3 : </w:t>
      </w:r>
      <w:bookmarkStart w:id="62" w:name="_Hlk142305405"/>
      <w:r w:rsidRPr="008D2129">
        <w:t>Refonder l’Etat et améliorer la gouvernance</w:t>
      </w:r>
      <w:bookmarkEnd w:id="60"/>
      <w:bookmarkEnd w:id="61"/>
      <w:bookmarkEnd w:id="62"/>
    </w:p>
    <w:p w14:paraId="7D638F2B" w14:textId="05D4BB3A" w:rsidR="004C78FE" w:rsidRPr="00EB4037" w:rsidRDefault="00392D1A" w:rsidP="00F175A7">
      <w:pPr>
        <w:numPr>
          <w:ilvl w:val="0"/>
          <w:numId w:val="8"/>
        </w:numPr>
        <w:shd w:val="clear" w:color="auto" w:fill="FFFFFF"/>
        <w:spacing w:before="120" w:after="120" w:line="240" w:lineRule="auto"/>
        <w:ind w:left="0"/>
      </w:pPr>
      <w:r w:rsidRPr="00EB4037">
        <w:t xml:space="preserve">Ce pilier opérationnalise quatre (04) axes de la Politique nationale de développement. </w:t>
      </w:r>
      <w:r w:rsidR="00EB4037" w:rsidRPr="00E31E23">
        <w:t xml:space="preserve">La situation de mise en œuvre des actions programmées se présente comme suit par </w:t>
      </w:r>
      <w:r w:rsidR="00EB4037">
        <w:t>axe stratégique</w:t>
      </w:r>
      <w:r w:rsidR="00EB4037" w:rsidRPr="00EB4037">
        <w:t>.</w:t>
      </w:r>
    </w:p>
    <w:p w14:paraId="582621A5" w14:textId="77777777" w:rsidR="00F354CA" w:rsidRPr="008D2129" w:rsidRDefault="00F354CA" w:rsidP="004C78FE"/>
    <w:p w14:paraId="54A338DF" w14:textId="2C61C66E" w:rsidR="00FD0CFB" w:rsidRPr="008D2129" w:rsidRDefault="001B7B59" w:rsidP="00DF1E58">
      <w:pPr>
        <w:pStyle w:val="PAT3"/>
      </w:pPr>
      <w:bookmarkStart w:id="63" w:name="_Toc163141220"/>
      <w:r w:rsidRPr="008D2129">
        <w:t>Axe 1 : Consolider la résilience, la sécurité, la cohésion sociale et la paix</w:t>
      </w:r>
      <w:bookmarkEnd w:id="63"/>
    </w:p>
    <w:p w14:paraId="56E029CB" w14:textId="6868D005" w:rsidR="00FD0CFB" w:rsidRPr="008D2129" w:rsidRDefault="000D2A22" w:rsidP="00F175A7">
      <w:pPr>
        <w:numPr>
          <w:ilvl w:val="0"/>
          <w:numId w:val="8"/>
        </w:numPr>
        <w:shd w:val="clear" w:color="auto" w:fill="FFFFFF"/>
        <w:spacing w:before="120" w:after="120" w:line="240" w:lineRule="auto"/>
        <w:ind w:left="0"/>
        <w:rPr>
          <w:rFonts w:eastAsia="Calibri"/>
          <w:szCs w:val="24"/>
        </w:rPr>
      </w:pPr>
      <w:r w:rsidRPr="00E31E23">
        <w:t>A travers cet axe, le PA-SD met en œuvre les actions liées à l’objectif stratégique OS 1.2 : Renforcer la sécurité intérieure du pays et la défense du territoire national</w:t>
      </w:r>
      <w:r w:rsidR="00FD0CFB" w:rsidRPr="008D2129">
        <w:rPr>
          <w:rFonts w:eastAsia="Calibri"/>
          <w:szCs w:val="24"/>
        </w:rPr>
        <w:t xml:space="preserve">. </w:t>
      </w:r>
    </w:p>
    <w:p w14:paraId="32669F11" w14:textId="77777777" w:rsidR="00FD0CFB" w:rsidRPr="008D2129" w:rsidRDefault="00FD0CFB" w:rsidP="00FD0CFB">
      <w:pPr>
        <w:rPr>
          <w:lang w:eastAsia="fr-FR"/>
        </w:rPr>
      </w:pPr>
    </w:p>
    <w:p w14:paraId="2F840FF7" w14:textId="20720BA5" w:rsidR="00DF4082" w:rsidRPr="00DF4082" w:rsidRDefault="00EA252D" w:rsidP="00DF4082">
      <w:pPr>
        <w:pStyle w:val="PAT4"/>
      </w:pPr>
      <w:bookmarkStart w:id="64" w:name="_Toc163141221"/>
      <w:bookmarkStart w:id="65" w:name="_Hlk128461130"/>
      <w:r w:rsidRPr="008D2129">
        <w:t>Objectif stratégique 1.2 : Renforcer la sécurité intérieure du pays et la défense du territoire national</w:t>
      </w:r>
      <w:bookmarkStart w:id="66" w:name="_Hlk110501722"/>
      <w:bookmarkEnd w:id="64"/>
    </w:p>
    <w:p w14:paraId="7FEC3099" w14:textId="3EDEB59F" w:rsidR="00DF4082" w:rsidRPr="00E31E23" w:rsidRDefault="00DF4082" w:rsidP="00F175A7">
      <w:pPr>
        <w:numPr>
          <w:ilvl w:val="0"/>
          <w:numId w:val="8"/>
        </w:numPr>
        <w:shd w:val="clear" w:color="auto" w:fill="FFFFFF"/>
        <w:spacing w:before="120" w:after="120" w:line="240" w:lineRule="auto"/>
        <w:ind w:left="0"/>
      </w:pPr>
      <w:r w:rsidRPr="00E31E23">
        <w:t>Cet objectif stratégique est porté par trois (03) secteurs de planification</w:t>
      </w:r>
      <w:r w:rsidR="00296809">
        <w:t>,</w:t>
      </w:r>
      <w:r w:rsidRPr="00E31E23">
        <w:t xml:space="preserve"> à savoir Défense et sécurité (DS), Justice et droits humains (JDH) et Commerce et services marchands (CSM) à travers la mise en œuvre de quatre (04) actions déclinées dans le PA-SD. </w:t>
      </w:r>
    </w:p>
    <w:p w14:paraId="23115877" w14:textId="77777777" w:rsidR="00DF4082" w:rsidRPr="00E31E23" w:rsidRDefault="00DF4082" w:rsidP="00F175A7">
      <w:pPr>
        <w:numPr>
          <w:ilvl w:val="0"/>
          <w:numId w:val="8"/>
        </w:numPr>
        <w:shd w:val="clear" w:color="auto" w:fill="FFFFFF"/>
        <w:spacing w:before="120" w:after="120" w:line="240" w:lineRule="auto"/>
        <w:ind w:left="0"/>
      </w:pPr>
      <w:r w:rsidRPr="00E31E23">
        <w:t xml:space="preserve">Ainsi, s’agissant de la première action </w:t>
      </w:r>
      <w:r w:rsidRPr="00DF4082">
        <w:t>« </w:t>
      </w:r>
      <w:r w:rsidRPr="008139E1">
        <w:rPr>
          <w:b/>
        </w:rPr>
        <w:t>consolidation de l'accès aux documents d'identité et aux données de l’ONI (03001) </w:t>
      </w:r>
      <w:r w:rsidRPr="00DF4082">
        <w:t>»</w:t>
      </w:r>
      <w:r w:rsidRPr="00E31E23">
        <w:t xml:space="preserve">, les cibles visées sont d’améliorer le niveau d'accès aux données de l’ONI et de délivrer de 1 580 000 documents d’identification composés de 1 500 000 CNIB et 75 000 passeports. </w:t>
      </w:r>
    </w:p>
    <w:p w14:paraId="6B7BA2DF" w14:textId="28FDA5E8" w:rsidR="00DF4082" w:rsidRPr="00E31E23" w:rsidRDefault="00DF4082" w:rsidP="00F175A7">
      <w:pPr>
        <w:numPr>
          <w:ilvl w:val="0"/>
          <w:numId w:val="8"/>
        </w:numPr>
        <w:shd w:val="clear" w:color="auto" w:fill="FFFFFF"/>
        <w:spacing w:before="120" w:after="120" w:line="240" w:lineRule="auto"/>
        <w:ind w:left="0"/>
      </w:pPr>
      <w:r w:rsidRPr="00E31E23">
        <w:t xml:space="preserve">Au 31 décembre 2023, </w:t>
      </w:r>
      <w:r w:rsidRPr="00DF4082">
        <w:t>1 450 886</w:t>
      </w:r>
      <w:r w:rsidRPr="00E31E23">
        <w:t xml:space="preserve"> CNIB et </w:t>
      </w:r>
      <w:r w:rsidRPr="00DF4082">
        <w:t>96 796</w:t>
      </w:r>
      <w:r w:rsidRPr="00E31E23">
        <w:t xml:space="preserve"> passeports ont été délivrés. Quant </w:t>
      </w:r>
      <w:r>
        <w:t xml:space="preserve">à l’objectif </w:t>
      </w:r>
      <w:r w:rsidRPr="00E31E23">
        <w:t xml:space="preserve">d’améliorer l'accès aux données de l’ONI, le processus de conception et d’opérationnalisation de la plateforme technique n’est qu’au stade du recrutement d’un prestataire. Sur les six produits concourant à </w:t>
      </w:r>
      <w:r w:rsidR="00296809">
        <w:t>l</w:t>
      </w:r>
      <w:r w:rsidRPr="00E31E23">
        <w:t xml:space="preserve">a réalisation de cette action, deux n’ont pas connu un début de réalisation. Il s’agit de la mise en œuvre de la carte d'identité biométrique CEDEAO au Burkina Faso </w:t>
      </w:r>
      <w:r>
        <w:t>et</w:t>
      </w:r>
      <w:r w:rsidRPr="00E31E23">
        <w:t xml:space="preserve"> l'opérationnalisation de la plateforme technique d'accès à la base de données de l'ONI. En ce qui concerne la production des CNIB au profit des populations, son taux de réalisation est de 9%. La non-atteinte de la cible est spécifiquement liée à la rupture des </w:t>
      </w:r>
      <w:proofErr w:type="spellStart"/>
      <w:r w:rsidRPr="00E31E23">
        <w:t>teslins</w:t>
      </w:r>
      <w:proofErr w:type="spellEnd"/>
      <w:r w:rsidRPr="00E31E23">
        <w:t xml:space="preserve"> (matière servant à l'impression de la CNIB) en cours d'année 2023. Quant aux produits relatifs à la délivrance des passeports, le dépassement de la cible s’explique par l’organisation des p</w:t>
      </w:r>
      <w:r>
        <w:t>è</w:t>
      </w:r>
      <w:r w:rsidRPr="00E31E23">
        <w:t xml:space="preserve">lerinages religieux en 2023. Pour ce qui concerne les ouvertures des antennes régionales de l’ONI, les régions du Centre-Est (Tenkodogo) et du Centre-Ouest (Koudougou) ont vu l’effectivité de leurs services. Par ailleurs un système d'archivage électronique des fonds de dossiers des demandeurs de la CNIB a été conçu et mis en place. </w:t>
      </w:r>
    </w:p>
    <w:p w14:paraId="01243675" w14:textId="25D2714D" w:rsidR="00DF4082" w:rsidRPr="00E31E23" w:rsidRDefault="00DF4082" w:rsidP="00F175A7">
      <w:pPr>
        <w:numPr>
          <w:ilvl w:val="0"/>
          <w:numId w:val="8"/>
        </w:numPr>
        <w:shd w:val="clear" w:color="auto" w:fill="FFFFFF"/>
        <w:spacing w:before="120" w:after="120" w:line="240" w:lineRule="auto"/>
        <w:ind w:left="0"/>
      </w:pPr>
      <w:r w:rsidRPr="00E31E23">
        <w:t xml:space="preserve">Le coût de réalisation de cette action est </w:t>
      </w:r>
      <w:r w:rsidRPr="00DF4082">
        <w:t>6 447 883</w:t>
      </w:r>
      <w:r w:rsidRPr="00E31E23">
        <w:t> </w:t>
      </w:r>
      <w:r w:rsidRPr="00DF4082">
        <w:t>000</w:t>
      </w:r>
      <w:r w:rsidRPr="00E31E23">
        <w:t xml:space="preserve"> </w:t>
      </w:r>
      <w:r w:rsidR="00296809">
        <w:t xml:space="preserve">FCFA </w:t>
      </w:r>
      <w:r w:rsidRPr="00E31E23">
        <w:t xml:space="preserve">sur un coût prévisionnel de </w:t>
      </w:r>
      <w:r w:rsidRPr="00DF4082">
        <w:t>6 633 134</w:t>
      </w:r>
      <w:r w:rsidR="00296809">
        <w:t> </w:t>
      </w:r>
      <w:r w:rsidRPr="00DF4082">
        <w:t>000</w:t>
      </w:r>
      <w:r w:rsidR="00296809">
        <w:t xml:space="preserve"> FCFA</w:t>
      </w:r>
      <w:r w:rsidRPr="00DF4082">
        <w:t>,</w:t>
      </w:r>
      <w:r w:rsidRPr="00E31E23">
        <w:t xml:space="preserve"> soit un taux financier de </w:t>
      </w:r>
      <w:r w:rsidRPr="00DF4082">
        <w:t xml:space="preserve">97%. </w:t>
      </w:r>
    </w:p>
    <w:p w14:paraId="6549DA47" w14:textId="15515D68" w:rsidR="00DF4082" w:rsidRPr="00E31E23" w:rsidRDefault="00DF4082" w:rsidP="00F175A7">
      <w:pPr>
        <w:numPr>
          <w:ilvl w:val="0"/>
          <w:numId w:val="8"/>
        </w:numPr>
        <w:shd w:val="clear" w:color="auto" w:fill="FFFFFF"/>
        <w:spacing w:before="120" w:after="120" w:line="240" w:lineRule="auto"/>
        <w:ind w:left="0"/>
      </w:pPr>
      <w:r w:rsidRPr="00E31E23">
        <w:lastRenderedPageBreak/>
        <w:t xml:space="preserve">La deuxième action </w:t>
      </w:r>
      <w:r>
        <w:t xml:space="preserve">est relative à </w:t>
      </w:r>
      <w:proofErr w:type="gramStart"/>
      <w:r>
        <w:t>la</w:t>
      </w:r>
      <w:r w:rsidRPr="00DF4082">
        <w:t>«</w:t>
      </w:r>
      <w:proofErr w:type="gramEnd"/>
      <w:r w:rsidRPr="00DF4082">
        <w:t> </w:t>
      </w:r>
      <w:r w:rsidRPr="008139E1">
        <w:rPr>
          <w:b/>
        </w:rPr>
        <w:t>modernisation et sécurisation des documents d’état civil (03002)</w:t>
      </w:r>
      <w:r w:rsidRPr="00DF4082">
        <w:t> »</w:t>
      </w:r>
      <w:r w:rsidRPr="00E31E23">
        <w:t>. A fin décembre 2023, la proportion des centres d'état civil informatisés et mis en réseau est ressortie à 11,29 % pour une cible de 15%.</w:t>
      </w:r>
    </w:p>
    <w:p w14:paraId="5D47C356" w14:textId="3368D15A" w:rsidR="00DF4082" w:rsidRPr="00E31E23" w:rsidRDefault="00DF4082" w:rsidP="00F175A7">
      <w:pPr>
        <w:numPr>
          <w:ilvl w:val="0"/>
          <w:numId w:val="8"/>
        </w:numPr>
        <w:shd w:val="clear" w:color="auto" w:fill="FFFFFF"/>
        <w:spacing w:before="120" w:after="120" w:line="240" w:lineRule="auto"/>
        <w:ind w:left="0"/>
      </w:pPr>
      <w:r w:rsidRPr="00E31E23">
        <w:t xml:space="preserve">Pour la mise en œuvre de cette action, </w:t>
      </w:r>
      <w:r w:rsidR="00001053">
        <w:t>trois</w:t>
      </w:r>
      <w:r w:rsidRPr="00E31E23">
        <w:t xml:space="preserve"> (0</w:t>
      </w:r>
      <w:r w:rsidR="00001053">
        <w:t>3</w:t>
      </w:r>
      <w:r w:rsidRPr="00E31E23">
        <w:t xml:space="preserve">) produits ont été planifiés en 2023. A fin décembre 2023, deux (02) indicateurs de produits sur trois ont atteint </w:t>
      </w:r>
      <w:r w:rsidR="00EC0AC7" w:rsidRPr="00E31E23">
        <w:t>leurs cibles</w:t>
      </w:r>
      <w:r w:rsidRPr="00E31E23">
        <w:t xml:space="preserve">. Les acquis obtenus sont entre autres : (i) la délivrance de 76 263 actes d’état civil sur une prévision de 70 600 au moyen des audiences foraines et(ii) la formation de 70 acteurs </w:t>
      </w:r>
      <w:r w:rsidR="00001053">
        <w:t xml:space="preserve">de </w:t>
      </w:r>
      <w:r w:rsidRPr="00E31E23">
        <w:t xml:space="preserve">centres principaux d’état civil sur l’élaboration des documents d’état civil sur une cible de 19. </w:t>
      </w:r>
    </w:p>
    <w:p w14:paraId="251DB4FA" w14:textId="6D792EBA" w:rsidR="00DF4082" w:rsidRPr="00E31E23" w:rsidRDefault="00DF4082" w:rsidP="00F175A7">
      <w:pPr>
        <w:numPr>
          <w:ilvl w:val="0"/>
          <w:numId w:val="8"/>
        </w:numPr>
        <w:shd w:val="clear" w:color="auto" w:fill="FFFFFF"/>
        <w:spacing w:before="120" w:after="120" w:line="240" w:lineRule="auto"/>
        <w:ind w:left="0"/>
      </w:pPr>
      <w:r w:rsidRPr="00E31E23">
        <w:t>Concernant le renforcement des centres d’état civil en équipements et en infrastructures, vingt (20) centres d’état civil des régions du Centre-Est, du Nord, de la Boucle du Mouhoun et du Sud-Ouest ont été renforcés sur une cible de quarante (40). La non</w:t>
      </w:r>
      <w:r w:rsidR="00296809">
        <w:t>-</w:t>
      </w:r>
      <w:r w:rsidRPr="00E31E23">
        <w:t xml:space="preserve">atteinte de la cible s’explique par l’insuffisance des ressources financières. </w:t>
      </w:r>
    </w:p>
    <w:p w14:paraId="7FB4A286" w14:textId="26AE618F" w:rsidR="00DF4082" w:rsidRPr="0090695A" w:rsidRDefault="0090695A" w:rsidP="00DF4082">
      <w:pPr>
        <w:rPr>
          <w:sz w:val="22"/>
        </w:rPr>
      </w:pPr>
      <w:bookmarkStart w:id="67" w:name="_Toc164503610"/>
      <w:r w:rsidRPr="0090695A">
        <w:rPr>
          <w:b/>
          <w:bCs/>
          <w:sz w:val="22"/>
          <w:u w:val="single"/>
        </w:rPr>
        <w:t xml:space="preserve">Tableau </w:t>
      </w:r>
      <w:r w:rsidRPr="0090695A">
        <w:rPr>
          <w:b/>
          <w:bCs/>
          <w:sz w:val="22"/>
          <w:u w:val="single"/>
        </w:rPr>
        <w:fldChar w:fldCharType="begin"/>
      </w:r>
      <w:r w:rsidRPr="0090695A">
        <w:rPr>
          <w:b/>
          <w:bCs/>
          <w:sz w:val="22"/>
          <w:u w:val="single"/>
        </w:rPr>
        <w:instrText xml:space="preserve"> SEQ Tableau \* ARABIC </w:instrText>
      </w:r>
      <w:r w:rsidRPr="0090695A">
        <w:rPr>
          <w:b/>
          <w:bCs/>
          <w:sz w:val="22"/>
          <w:u w:val="single"/>
        </w:rPr>
        <w:fldChar w:fldCharType="separate"/>
      </w:r>
      <w:r w:rsidR="007C2E4E">
        <w:rPr>
          <w:b/>
          <w:bCs/>
          <w:noProof/>
          <w:sz w:val="22"/>
          <w:u w:val="single"/>
        </w:rPr>
        <w:t>23</w:t>
      </w:r>
      <w:r w:rsidRPr="0090695A">
        <w:rPr>
          <w:b/>
          <w:bCs/>
          <w:sz w:val="22"/>
          <w:u w:val="single"/>
        </w:rPr>
        <w:fldChar w:fldCharType="end"/>
      </w:r>
      <w:r w:rsidR="00001053">
        <w:rPr>
          <w:b/>
          <w:bCs/>
          <w:sz w:val="22"/>
          <w:u w:val="single"/>
        </w:rPr>
        <w:t xml:space="preserve"> </w:t>
      </w:r>
      <w:r w:rsidR="00DF4082" w:rsidRPr="0090695A">
        <w:rPr>
          <w:sz w:val="22"/>
        </w:rPr>
        <w:t>: situation des indicateurs de produits au 31 décembre 2023 de l’action </w:t>
      </w:r>
      <w:r w:rsidR="00296809">
        <w:rPr>
          <w:sz w:val="22"/>
        </w:rPr>
        <w:t>« </w:t>
      </w:r>
      <w:r w:rsidR="00DF4082" w:rsidRPr="0090695A">
        <w:rPr>
          <w:sz w:val="22"/>
        </w:rPr>
        <w:t>modernisation et sécurisation des documents d’état civil</w:t>
      </w:r>
      <w:r w:rsidR="00296809">
        <w:rPr>
          <w:sz w:val="22"/>
        </w:rPr>
        <w:t> »</w:t>
      </w:r>
      <w:bookmarkEnd w:id="67"/>
    </w:p>
    <w:tbl>
      <w:tblPr>
        <w:tblStyle w:val="TableauGrille7Couleur-Accentuation1"/>
        <w:tblW w:w="5000" w:type="pct"/>
        <w:tblLook w:val="0400" w:firstRow="0" w:lastRow="0" w:firstColumn="0" w:lastColumn="0" w:noHBand="0" w:noVBand="1"/>
      </w:tblPr>
      <w:tblGrid>
        <w:gridCol w:w="5097"/>
        <w:gridCol w:w="1293"/>
        <w:gridCol w:w="1315"/>
        <w:gridCol w:w="1311"/>
      </w:tblGrid>
      <w:tr w:rsidR="00DF4082" w:rsidRPr="00F175A7" w14:paraId="0F86121B" w14:textId="77777777" w:rsidTr="00F175A7">
        <w:trPr>
          <w:cnfStyle w:val="000000100000" w:firstRow="0" w:lastRow="0" w:firstColumn="0" w:lastColumn="0" w:oddVBand="0" w:evenVBand="0" w:oddHBand="1" w:evenHBand="0" w:firstRowFirstColumn="0" w:firstRowLastColumn="0" w:lastRowFirstColumn="0" w:lastRowLastColumn="0"/>
          <w:trHeight w:val="647"/>
        </w:trPr>
        <w:tc>
          <w:tcPr>
            <w:tcW w:w="2827" w:type="pct"/>
            <w:shd w:val="clear" w:color="auto" w:fill="4472C4" w:themeFill="accent1"/>
          </w:tcPr>
          <w:p w14:paraId="4FCBE85D" w14:textId="63F3C115" w:rsidR="00DF4082" w:rsidRPr="00F175A7" w:rsidRDefault="00DF4082" w:rsidP="00F175A7">
            <w:pPr>
              <w:spacing w:after="0" w:line="240" w:lineRule="auto"/>
              <w:rPr>
                <w:b/>
                <w:sz w:val="22"/>
              </w:rPr>
            </w:pPr>
            <w:r w:rsidRPr="00F175A7">
              <w:rPr>
                <w:b/>
                <w:color w:val="FFFFFF"/>
                <w:sz w:val="22"/>
              </w:rPr>
              <w:t xml:space="preserve">Indicateurs </w:t>
            </w:r>
          </w:p>
        </w:tc>
        <w:tc>
          <w:tcPr>
            <w:tcW w:w="717" w:type="pct"/>
            <w:shd w:val="clear" w:color="auto" w:fill="4472C4" w:themeFill="accent1"/>
          </w:tcPr>
          <w:p w14:paraId="5C9E1106" w14:textId="77777777" w:rsidR="00DF4082" w:rsidRPr="00F175A7" w:rsidRDefault="00DF4082" w:rsidP="00F175A7">
            <w:pPr>
              <w:keepNext/>
              <w:keepLines/>
              <w:spacing w:after="0" w:line="240" w:lineRule="auto"/>
              <w:rPr>
                <w:b/>
                <w:color w:val="FFFFFF"/>
                <w:sz w:val="22"/>
              </w:rPr>
            </w:pPr>
            <w:r w:rsidRPr="00F175A7">
              <w:rPr>
                <w:b/>
                <w:color w:val="FFFFFF"/>
                <w:sz w:val="22"/>
              </w:rPr>
              <w:t>Réal. 2022</w:t>
            </w:r>
          </w:p>
        </w:tc>
        <w:tc>
          <w:tcPr>
            <w:tcW w:w="729" w:type="pct"/>
            <w:shd w:val="clear" w:color="auto" w:fill="4472C4" w:themeFill="accent1"/>
          </w:tcPr>
          <w:p w14:paraId="36FFF9D5" w14:textId="77777777" w:rsidR="00DF4082" w:rsidRPr="00F175A7" w:rsidRDefault="00DF4082" w:rsidP="00F175A7">
            <w:pPr>
              <w:keepNext/>
              <w:keepLines/>
              <w:spacing w:after="0" w:line="240" w:lineRule="auto"/>
              <w:rPr>
                <w:b/>
                <w:color w:val="FFFFFF"/>
                <w:sz w:val="22"/>
              </w:rPr>
            </w:pPr>
            <w:r w:rsidRPr="00F175A7">
              <w:rPr>
                <w:b/>
                <w:color w:val="FFFFFF"/>
                <w:sz w:val="22"/>
              </w:rPr>
              <w:t>Réal. 2023</w:t>
            </w:r>
          </w:p>
        </w:tc>
        <w:tc>
          <w:tcPr>
            <w:tcW w:w="727" w:type="pct"/>
            <w:shd w:val="clear" w:color="auto" w:fill="4472C4" w:themeFill="accent1"/>
          </w:tcPr>
          <w:p w14:paraId="15203460" w14:textId="77777777" w:rsidR="00DF4082" w:rsidRPr="00F175A7" w:rsidRDefault="00DF4082" w:rsidP="00F175A7">
            <w:pPr>
              <w:keepNext/>
              <w:keepLines/>
              <w:spacing w:after="0" w:line="240" w:lineRule="auto"/>
              <w:rPr>
                <w:b/>
                <w:color w:val="FFFFFF"/>
                <w:sz w:val="22"/>
              </w:rPr>
            </w:pPr>
            <w:r w:rsidRPr="00F175A7">
              <w:rPr>
                <w:b/>
                <w:color w:val="FFFFFF"/>
                <w:sz w:val="22"/>
              </w:rPr>
              <w:t>Cible 2023</w:t>
            </w:r>
          </w:p>
        </w:tc>
      </w:tr>
      <w:tr w:rsidR="00DF4082" w:rsidRPr="00E018E7" w14:paraId="4A0BABAB" w14:textId="77777777" w:rsidTr="00F175A7">
        <w:trPr>
          <w:trHeight w:val="778"/>
        </w:trPr>
        <w:tc>
          <w:tcPr>
            <w:tcW w:w="2827" w:type="pct"/>
          </w:tcPr>
          <w:p w14:paraId="2571575F" w14:textId="77777777" w:rsidR="00DF4082" w:rsidRPr="00E018E7" w:rsidRDefault="00DF4082" w:rsidP="00F175A7">
            <w:pPr>
              <w:keepNext/>
              <w:keepLines/>
              <w:spacing w:after="0" w:line="240" w:lineRule="auto"/>
              <w:rPr>
                <w:sz w:val="22"/>
              </w:rPr>
            </w:pPr>
            <w:r w:rsidRPr="00E018E7">
              <w:rPr>
                <w:color w:val="000000"/>
                <w:sz w:val="22"/>
              </w:rPr>
              <w:t>Nombre de centres principaux d'état civil dont les acteurs ont bénéficié de formation</w:t>
            </w:r>
          </w:p>
        </w:tc>
        <w:tc>
          <w:tcPr>
            <w:tcW w:w="717" w:type="pct"/>
          </w:tcPr>
          <w:p w14:paraId="0831AEE2" w14:textId="77777777" w:rsidR="00DF4082" w:rsidRPr="00E018E7" w:rsidRDefault="00DF4082" w:rsidP="00F175A7">
            <w:pPr>
              <w:keepNext/>
              <w:keepLines/>
              <w:spacing w:after="0" w:line="240" w:lineRule="auto"/>
              <w:jc w:val="center"/>
              <w:rPr>
                <w:sz w:val="22"/>
              </w:rPr>
            </w:pPr>
            <w:r w:rsidRPr="00E018E7">
              <w:rPr>
                <w:color w:val="000000"/>
                <w:sz w:val="22"/>
              </w:rPr>
              <w:t>14</w:t>
            </w:r>
          </w:p>
        </w:tc>
        <w:tc>
          <w:tcPr>
            <w:tcW w:w="729" w:type="pct"/>
          </w:tcPr>
          <w:p w14:paraId="750EBFA2" w14:textId="77777777" w:rsidR="00DF4082" w:rsidRPr="00E018E7" w:rsidRDefault="00DF4082" w:rsidP="00F175A7">
            <w:pPr>
              <w:keepNext/>
              <w:keepLines/>
              <w:spacing w:after="0" w:line="240" w:lineRule="auto"/>
              <w:jc w:val="center"/>
              <w:rPr>
                <w:sz w:val="22"/>
              </w:rPr>
            </w:pPr>
            <w:r w:rsidRPr="00D41DC6">
              <w:rPr>
                <w:color w:val="auto"/>
                <w:sz w:val="22"/>
              </w:rPr>
              <w:t>70</w:t>
            </w:r>
          </w:p>
        </w:tc>
        <w:tc>
          <w:tcPr>
            <w:tcW w:w="727" w:type="pct"/>
          </w:tcPr>
          <w:p w14:paraId="51DA9825" w14:textId="77777777" w:rsidR="00DF4082" w:rsidRPr="00E018E7" w:rsidRDefault="00DF4082" w:rsidP="00F175A7">
            <w:pPr>
              <w:keepNext/>
              <w:keepLines/>
              <w:spacing w:after="0" w:line="240" w:lineRule="auto"/>
              <w:jc w:val="center"/>
              <w:rPr>
                <w:sz w:val="22"/>
              </w:rPr>
            </w:pPr>
            <w:r w:rsidRPr="00E018E7">
              <w:rPr>
                <w:color w:val="000000"/>
                <w:sz w:val="22"/>
              </w:rPr>
              <w:t>19</w:t>
            </w:r>
          </w:p>
        </w:tc>
      </w:tr>
      <w:tr w:rsidR="00DF4082" w:rsidRPr="00E018E7" w14:paraId="6D3FAA29"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27" w:type="pct"/>
          </w:tcPr>
          <w:p w14:paraId="3CC58BFF" w14:textId="77777777" w:rsidR="00DF4082" w:rsidRPr="00E018E7" w:rsidRDefault="00DF4082" w:rsidP="00F175A7">
            <w:pPr>
              <w:keepNext/>
              <w:keepLines/>
              <w:spacing w:after="0" w:line="240" w:lineRule="auto"/>
              <w:rPr>
                <w:color w:val="000000"/>
                <w:sz w:val="22"/>
              </w:rPr>
            </w:pPr>
            <w:r w:rsidRPr="00E018E7">
              <w:rPr>
                <w:color w:val="000000"/>
                <w:sz w:val="22"/>
              </w:rPr>
              <w:t>Nombre de centres d'état civil renforcés en équipements et infrastructures</w:t>
            </w:r>
          </w:p>
        </w:tc>
        <w:tc>
          <w:tcPr>
            <w:tcW w:w="717" w:type="pct"/>
          </w:tcPr>
          <w:p w14:paraId="01989D6B" w14:textId="77777777" w:rsidR="00DF4082" w:rsidRPr="00E018E7" w:rsidRDefault="00DF4082" w:rsidP="00F175A7">
            <w:pPr>
              <w:keepNext/>
              <w:keepLines/>
              <w:spacing w:after="0" w:line="240" w:lineRule="auto"/>
              <w:jc w:val="center"/>
              <w:rPr>
                <w:color w:val="000000"/>
                <w:sz w:val="22"/>
              </w:rPr>
            </w:pPr>
            <w:r w:rsidRPr="00E018E7">
              <w:rPr>
                <w:color w:val="000000"/>
                <w:sz w:val="22"/>
              </w:rPr>
              <w:t>60</w:t>
            </w:r>
          </w:p>
        </w:tc>
        <w:tc>
          <w:tcPr>
            <w:tcW w:w="729" w:type="pct"/>
          </w:tcPr>
          <w:p w14:paraId="56DBB4F0" w14:textId="77777777" w:rsidR="00DF4082" w:rsidRPr="00E018E7" w:rsidRDefault="00DF4082" w:rsidP="00F175A7">
            <w:pPr>
              <w:keepNext/>
              <w:keepLines/>
              <w:spacing w:after="0" w:line="240" w:lineRule="auto"/>
              <w:jc w:val="center"/>
              <w:rPr>
                <w:color w:val="000000"/>
                <w:sz w:val="22"/>
              </w:rPr>
            </w:pPr>
            <w:r w:rsidRPr="00E018E7">
              <w:rPr>
                <w:color w:val="000000"/>
                <w:sz w:val="22"/>
              </w:rPr>
              <w:t>20</w:t>
            </w:r>
          </w:p>
        </w:tc>
        <w:tc>
          <w:tcPr>
            <w:tcW w:w="727" w:type="pct"/>
          </w:tcPr>
          <w:p w14:paraId="45B93554" w14:textId="77777777" w:rsidR="00DF4082" w:rsidRPr="00E018E7" w:rsidRDefault="00DF4082" w:rsidP="00F175A7">
            <w:pPr>
              <w:keepNext/>
              <w:keepLines/>
              <w:spacing w:after="0" w:line="240" w:lineRule="auto"/>
              <w:jc w:val="center"/>
              <w:rPr>
                <w:color w:val="000000"/>
                <w:sz w:val="22"/>
              </w:rPr>
            </w:pPr>
            <w:r w:rsidRPr="00E018E7">
              <w:rPr>
                <w:color w:val="000000"/>
                <w:sz w:val="22"/>
              </w:rPr>
              <w:t>40</w:t>
            </w:r>
          </w:p>
        </w:tc>
      </w:tr>
      <w:tr w:rsidR="00DF4082" w:rsidRPr="00E018E7" w14:paraId="4EAB83B6" w14:textId="77777777" w:rsidTr="00F175A7">
        <w:trPr>
          <w:trHeight w:val="20"/>
        </w:trPr>
        <w:tc>
          <w:tcPr>
            <w:tcW w:w="2827" w:type="pct"/>
          </w:tcPr>
          <w:p w14:paraId="3E6FCE25" w14:textId="77777777" w:rsidR="00DF4082" w:rsidRPr="00E018E7" w:rsidRDefault="00DF4082" w:rsidP="00F175A7">
            <w:pPr>
              <w:keepNext/>
              <w:keepLines/>
              <w:spacing w:after="0" w:line="240" w:lineRule="auto"/>
              <w:rPr>
                <w:color w:val="000000"/>
                <w:sz w:val="22"/>
              </w:rPr>
            </w:pPr>
            <w:r w:rsidRPr="00E018E7">
              <w:rPr>
                <w:color w:val="000000"/>
                <w:sz w:val="22"/>
              </w:rPr>
              <w:t xml:space="preserve">Nombre d'actes délivrés lors des audiences foraines </w:t>
            </w:r>
          </w:p>
        </w:tc>
        <w:tc>
          <w:tcPr>
            <w:tcW w:w="717" w:type="pct"/>
          </w:tcPr>
          <w:p w14:paraId="624446F8" w14:textId="77777777" w:rsidR="00DF4082" w:rsidRPr="00E018E7" w:rsidRDefault="00DF4082" w:rsidP="00F175A7">
            <w:pPr>
              <w:keepNext/>
              <w:keepLines/>
              <w:spacing w:after="0" w:line="240" w:lineRule="auto"/>
              <w:jc w:val="center"/>
              <w:rPr>
                <w:color w:val="000000"/>
                <w:sz w:val="22"/>
              </w:rPr>
            </w:pPr>
            <w:r w:rsidRPr="00E018E7">
              <w:rPr>
                <w:color w:val="000000"/>
                <w:sz w:val="22"/>
              </w:rPr>
              <w:t>45 000</w:t>
            </w:r>
          </w:p>
        </w:tc>
        <w:tc>
          <w:tcPr>
            <w:tcW w:w="729" w:type="pct"/>
          </w:tcPr>
          <w:p w14:paraId="706376A7" w14:textId="77777777" w:rsidR="00DF4082" w:rsidRPr="00E018E7" w:rsidRDefault="00DF4082" w:rsidP="00F175A7">
            <w:pPr>
              <w:keepNext/>
              <w:keepLines/>
              <w:spacing w:after="0" w:line="240" w:lineRule="auto"/>
              <w:jc w:val="center"/>
              <w:rPr>
                <w:color w:val="000000"/>
                <w:sz w:val="22"/>
              </w:rPr>
            </w:pPr>
            <w:r w:rsidRPr="00E018E7">
              <w:rPr>
                <w:color w:val="000000"/>
                <w:sz w:val="22"/>
              </w:rPr>
              <w:t>76 263</w:t>
            </w:r>
          </w:p>
        </w:tc>
        <w:tc>
          <w:tcPr>
            <w:tcW w:w="727" w:type="pct"/>
          </w:tcPr>
          <w:p w14:paraId="32CBC75A" w14:textId="77777777" w:rsidR="00DF4082" w:rsidRPr="00E018E7" w:rsidRDefault="00DF4082" w:rsidP="00F175A7">
            <w:pPr>
              <w:keepNext/>
              <w:keepLines/>
              <w:spacing w:after="0" w:line="240" w:lineRule="auto"/>
              <w:jc w:val="center"/>
              <w:rPr>
                <w:color w:val="000000"/>
                <w:sz w:val="22"/>
              </w:rPr>
            </w:pPr>
            <w:r w:rsidRPr="00E018E7">
              <w:rPr>
                <w:color w:val="000000"/>
                <w:sz w:val="22"/>
              </w:rPr>
              <w:t>70 600</w:t>
            </w:r>
          </w:p>
        </w:tc>
      </w:tr>
    </w:tbl>
    <w:p w14:paraId="24E8C9EA" w14:textId="76EBB114" w:rsidR="00DF4082" w:rsidRPr="00E31E23" w:rsidRDefault="00DF4082" w:rsidP="00DF4082">
      <w:r w:rsidRPr="00E31E23">
        <w:rPr>
          <w:b/>
          <w:sz w:val="20"/>
          <w:szCs w:val="20"/>
          <w:u w:val="single"/>
        </w:rPr>
        <w:t>Source</w:t>
      </w:r>
      <w:r w:rsidRPr="00E31E23">
        <w:rPr>
          <w:sz w:val="20"/>
          <w:szCs w:val="20"/>
        </w:rPr>
        <w:t xml:space="preserve"> : rapports </w:t>
      </w:r>
      <w:r w:rsidR="00603CB3">
        <w:rPr>
          <w:sz w:val="20"/>
          <w:szCs w:val="20"/>
        </w:rPr>
        <w:t xml:space="preserve">annuels </w:t>
      </w:r>
      <w:r w:rsidRPr="00E31E23">
        <w:rPr>
          <w:sz w:val="20"/>
          <w:szCs w:val="20"/>
        </w:rPr>
        <w:t xml:space="preserve">de </w:t>
      </w:r>
      <w:r w:rsidR="00547F92">
        <w:rPr>
          <w:rFonts w:eastAsia="Times New Roman" w:cs="Times New Roman"/>
          <w:sz w:val="20"/>
          <w:szCs w:val="20"/>
        </w:rPr>
        <w:t xml:space="preserve">performance </w:t>
      </w:r>
      <w:r w:rsidRPr="00E31E23">
        <w:rPr>
          <w:sz w:val="20"/>
          <w:szCs w:val="20"/>
        </w:rPr>
        <w:t xml:space="preserve">2023 des </w:t>
      </w:r>
      <w:r w:rsidR="00547F92">
        <w:rPr>
          <w:sz w:val="20"/>
          <w:szCs w:val="20"/>
        </w:rPr>
        <w:t>CSD-</w:t>
      </w:r>
      <w:r w:rsidRPr="00E31E23">
        <w:rPr>
          <w:sz w:val="20"/>
          <w:szCs w:val="20"/>
        </w:rPr>
        <w:t>JDH et DS, février 2024</w:t>
      </w:r>
    </w:p>
    <w:p w14:paraId="1196E5F6" w14:textId="690A03B6" w:rsidR="00DF4082" w:rsidRPr="00E31E23" w:rsidRDefault="00DF4082" w:rsidP="00F175A7">
      <w:pPr>
        <w:numPr>
          <w:ilvl w:val="0"/>
          <w:numId w:val="8"/>
        </w:numPr>
        <w:shd w:val="clear" w:color="auto" w:fill="FFFFFF"/>
        <w:spacing w:before="120" w:after="120" w:line="240" w:lineRule="auto"/>
        <w:ind w:left="0"/>
      </w:pPr>
      <w:r w:rsidRPr="00E31E23">
        <w:t xml:space="preserve">Sur le plan budgétaire, sur une prévision 258 030 000 FCFA, </w:t>
      </w:r>
      <w:r w:rsidR="00296809">
        <w:t xml:space="preserve">au total </w:t>
      </w:r>
      <w:r w:rsidRPr="00E31E23">
        <w:t>262 000 000 FCFA ont été dépensés, soit un t</w:t>
      </w:r>
      <w:r w:rsidR="00603CB3">
        <w:t>aux d’exécution de plus de 100%</w:t>
      </w:r>
      <w:r w:rsidRPr="00E31E23">
        <w:t xml:space="preserve">. </w:t>
      </w:r>
    </w:p>
    <w:p w14:paraId="6500BA93" w14:textId="573427CF" w:rsidR="00DF4082" w:rsidRPr="00E31E23" w:rsidRDefault="00DF4082" w:rsidP="00F175A7">
      <w:pPr>
        <w:numPr>
          <w:ilvl w:val="0"/>
          <w:numId w:val="8"/>
        </w:numPr>
        <w:shd w:val="clear" w:color="auto" w:fill="FFFFFF"/>
        <w:spacing w:before="120" w:after="120" w:line="240" w:lineRule="auto"/>
        <w:ind w:left="0"/>
      </w:pPr>
      <w:r w:rsidRPr="00E31E23">
        <w:t xml:space="preserve">Au titre de la troisième action relative à la </w:t>
      </w:r>
      <w:r w:rsidRPr="00DF4082">
        <w:t>« </w:t>
      </w:r>
      <w:r w:rsidRPr="008139E1">
        <w:rPr>
          <w:b/>
        </w:rPr>
        <w:t>fusion et centralisation des bases de données d’identité des personnes » (03003)</w:t>
      </w:r>
      <w:r w:rsidRPr="00E31E23">
        <w:t xml:space="preserve">, l’ambition </w:t>
      </w:r>
      <w:r>
        <w:t xml:space="preserve">est </w:t>
      </w:r>
      <w:r w:rsidRPr="00E31E23">
        <w:t xml:space="preserve">de rendre effective l’interopérabilité entre toutes les bases de données d’identités existantes et à venir </w:t>
      </w:r>
      <w:r>
        <w:t>d’ici</w:t>
      </w:r>
      <w:r w:rsidRPr="00E31E23">
        <w:t xml:space="preserve"> 2024. </w:t>
      </w:r>
      <w:r>
        <w:t>A</w:t>
      </w:r>
      <w:r w:rsidRPr="00E31E23">
        <w:t xml:space="preserve">u 31 décembre 2023, aucune réalisation n’a été constatée dans l’exécution des deux (02) produits engagés. En effet, l’élaboration de la stratégie d’interopérabilité suit son cours avec notamment la disponibilité des rapports provisoires de cadrage et de l’état des lieux et l’interopérabilité de 10 bases de données </w:t>
      </w:r>
      <w:r w:rsidR="009277D9">
        <w:t xml:space="preserve">sera effective avec la disponibilité du système </w:t>
      </w:r>
      <w:proofErr w:type="spellStart"/>
      <w:r w:rsidR="009277D9" w:rsidRPr="00345EBE">
        <w:rPr>
          <w:i/>
          <w:iCs/>
        </w:rPr>
        <w:t>f</w:t>
      </w:r>
      <w:r w:rsidR="009277D9">
        <w:t>ID</w:t>
      </w:r>
      <w:proofErr w:type="spellEnd"/>
      <w:r w:rsidRPr="00E31E23">
        <w:t xml:space="preserve">. </w:t>
      </w:r>
    </w:p>
    <w:p w14:paraId="680279AF" w14:textId="403D49D7" w:rsidR="00DF4082" w:rsidRPr="00E31E23" w:rsidRDefault="00DF4082" w:rsidP="00F175A7">
      <w:pPr>
        <w:numPr>
          <w:ilvl w:val="0"/>
          <w:numId w:val="8"/>
        </w:numPr>
        <w:shd w:val="clear" w:color="auto" w:fill="FFFFFF"/>
        <w:spacing w:before="120" w:after="120" w:line="240" w:lineRule="auto"/>
        <w:ind w:left="0"/>
      </w:pPr>
      <w:r w:rsidRPr="00DF4082">
        <w:t xml:space="preserve">En termes d’exécution financière, sur une prévision de 255 000 000 FCFA, seulement 4 985 000 FCFA </w:t>
      </w:r>
      <w:r w:rsidR="00296809">
        <w:t>ont</w:t>
      </w:r>
      <w:r w:rsidRPr="00DF4082">
        <w:t xml:space="preserve"> été dépensé</w:t>
      </w:r>
      <w:r w:rsidR="00296809">
        <w:t>s,</w:t>
      </w:r>
      <w:r w:rsidRPr="00DF4082">
        <w:t xml:space="preserve"> soit un taux de 1,95%. Ce résultat est imputable à la mauvaise qualité des livrables</w:t>
      </w:r>
      <w:r w:rsidRPr="00E31E23">
        <w:t>.</w:t>
      </w:r>
    </w:p>
    <w:p w14:paraId="42031813" w14:textId="0A468617" w:rsidR="00DF4082" w:rsidRPr="00E31E23" w:rsidRDefault="00DF4082" w:rsidP="00F175A7">
      <w:pPr>
        <w:numPr>
          <w:ilvl w:val="0"/>
          <w:numId w:val="8"/>
        </w:numPr>
        <w:shd w:val="clear" w:color="auto" w:fill="FFFFFF"/>
        <w:spacing w:before="120" w:after="120" w:line="240" w:lineRule="auto"/>
        <w:ind w:left="0"/>
      </w:pPr>
      <w:r w:rsidRPr="00E31E23">
        <w:t>Quant à l’action 03004 relative à « </w:t>
      </w:r>
      <w:r w:rsidRPr="008139E1">
        <w:rPr>
          <w:b/>
        </w:rPr>
        <w:t>l’accroissement de l’accès de la population aux services de base grâce à l’interopérabilité des bases de données d’identification des personnes »</w:t>
      </w:r>
      <w:r w:rsidRPr="00E31E23">
        <w:t xml:space="preserve">, la cible </w:t>
      </w:r>
      <w:r>
        <w:t>visée est d’accroitre la</w:t>
      </w:r>
      <w:r w:rsidRPr="00E31E23">
        <w:t xml:space="preserve"> proportion de la population qui a une preuve d’identité unique avec un accès à au moins dix (10) services de base </w:t>
      </w:r>
      <w:r w:rsidR="00EC0AC7">
        <w:t>à</w:t>
      </w:r>
      <w:r w:rsidRPr="00E31E23">
        <w:t xml:space="preserve"> 30% </w:t>
      </w:r>
      <w:r>
        <w:t>d’ici 2024</w:t>
      </w:r>
      <w:r w:rsidRPr="00E31E23">
        <w:t xml:space="preserve">. </w:t>
      </w:r>
      <w:r>
        <w:t>La</w:t>
      </w:r>
      <w:r w:rsidRPr="00E31E23">
        <w:t xml:space="preserve"> réalisation</w:t>
      </w:r>
      <w:r>
        <w:t xml:space="preserve"> des extrants y relatifs est</w:t>
      </w:r>
      <w:r w:rsidRPr="00E31E23">
        <w:t xml:space="preserve"> appréciable</w:t>
      </w:r>
      <w:r>
        <w:t xml:space="preserve"> avec</w:t>
      </w:r>
      <w:r w:rsidRPr="00E31E23">
        <w:t xml:space="preserve"> notamment l’entame du processus de mise en place </w:t>
      </w:r>
      <w:r w:rsidRPr="00E31E23">
        <w:lastRenderedPageBreak/>
        <w:t xml:space="preserve">du système </w:t>
      </w:r>
      <w:proofErr w:type="spellStart"/>
      <w:r w:rsidRPr="00E31E23">
        <w:t>Foundational</w:t>
      </w:r>
      <w:proofErr w:type="spellEnd"/>
      <w:r w:rsidRPr="00E31E23">
        <w:t xml:space="preserve"> ID (20%) et la pré-validation de l’avant-projet de </w:t>
      </w:r>
      <w:r w:rsidR="00296809">
        <w:t>l</w:t>
      </w:r>
      <w:r w:rsidRPr="00E31E23">
        <w:t xml:space="preserve">oi sur l’identification et ses textes d’application. </w:t>
      </w:r>
    </w:p>
    <w:p w14:paraId="0BBF6127" w14:textId="4E92D0AF" w:rsidR="00DF4082" w:rsidRPr="00E31E23" w:rsidRDefault="00296809" w:rsidP="00F175A7">
      <w:pPr>
        <w:numPr>
          <w:ilvl w:val="0"/>
          <w:numId w:val="8"/>
        </w:numPr>
        <w:shd w:val="clear" w:color="auto" w:fill="FFFFFF"/>
        <w:spacing w:before="120" w:after="120" w:line="240" w:lineRule="auto"/>
        <w:ind w:left="0"/>
      </w:pPr>
      <w:r>
        <w:t>Sur le</w:t>
      </w:r>
      <w:r w:rsidR="00DF4082" w:rsidRPr="00E31E23">
        <w:t xml:space="preserve"> plan financier, sur une prévision de 322 000 000 FCFA, la mise en œuvre des produits a nécessité des dépenses de 107 364 000 FCFA</w:t>
      </w:r>
      <w:r>
        <w:t>,</w:t>
      </w:r>
      <w:r w:rsidR="00DF4082" w:rsidRPr="00E31E23">
        <w:t xml:space="preserve"> soit un taux de 33,34%. Ce niveau de réalisation résulte des retards accusés dans la production des livrables intermédiaires.</w:t>
      </w:r>
    </w:p>
    <w:p w14:paraId="13D4EFCD" w14:textId="715CA97B" w:rsidR="00E418CD" w:rsidRPr="00DF4082" w:rsidRDefault="00DF4082" w:rsidP="00F175A7">
      <w:pPr>
        <w:numPr>
          <w:ilvl w:val="0"/>
          <w:numId w:val="8"/>
        </w:numPr>
        <w:shd w:val="clear" w:color="auto" w:fill="FFFFFF"/>
        <w:spacing w:before="120" w:after="120" w:line="240" w:lineRule="auto"/>
        <w:ind w:left="0"/>
      </w:pPr>
      <w:r w:rsidRPr="00E31E23">
        <w:t>En somme, relativement aux actions de l’axe 1 portant sur la consolidation de la résilience, la sécurité, la cohésion sociale et la paix déclinées dans le PA-SD, les avancées au premier semestre 2023 sont moyennes et imposent des défis pour améliorer la cadence pour le reste de l’année. Les avancées enregistrées ont trait à (i) la consolidation de l'accès aux documents d'identité et aux données de l’ONI à travers la production de 546 839 CNIB et la délivrance de 49 546 passeports au profit des populations et (ii) la modernisation et sécurisation des documents d’état civil par la délivrance de 12 188 actes d'état civil lors des audiences foraines. Toutefois, une attention particulière devrait être accordée à la plupart des extrants des quatre actions pour améliorer leur niveau de réalisation afin de tendre vers les cibles visées</w:t>
      </w:r>
      <w:r w:rsidR="00E418CD" w:rsidRPr="00DF4082">
        <w:t>.</w:t>
      </w:r>
    </w:p>
    <w:p w14:paraId="0FF8050C" w14:textId="77777777" w:rsidR="00E418CD" w:rsidRPr="008D2129" w:rsidRDefault="00E418CD" w:rsidP="00E418CD">
      <w:pPr>
        <w:shd w:val="clear" w:color="auto" w:fill="FFFFFF"/>
        <w:spacing w:before="120" w:after="120" w:line="240" w:lineRule="auto"/>
        <w:rPr>
          <w:rFonts w:eastAsia="Calibri"/>
          <w:szCs w:val="24"/>
        </w:rPr>
      </w:pPr>
    </w:p>
    <w:p w14:paraId="6806074D" w14:textId="47D556D8" w:rsidR="00A40353" w:rsidRPr="008D2129" w:rsidRDefault="00EE73D2" w:rsidP="00DF1E58">
      <w:pPr>
        <w:pStyle w:val="PAT3"/>
      </w:pPr>
      <w:bookmarkStart w:id="68" w:name="_Toc163141222"/>
      <w:r w:rsidRPr="008D2129">
        <w:t>Axe 2 : Approfondir les réformes institutionnelles et moderniser l’administration publique</w:t>
      </w:r>
      <w:bookmarkEnd w:id="68"/>
    </w:p>
    <w:p w14:paraId="4A7BE421" w14:textId="276D7E4D" w:rsidR="00A40353" w:rsidRPr="00664E91" w:rsidRDefault="00F008A9" w:rsidP="00F175A7">
      <w:pPr>
        <w:numPr>
          <w:ilvl w:val="0"/>
          <w:numId w:val="8"/>
        </w:numPr>
        <w:shd w:val="clear" w:color="auto" w:fill="FFFFFF"/>
        <w:spacing w:before="120" w:after="120" w:line="240" w:lineRule="auto"/>
        <w:ind w:left="0"/>
        <w:rPr>
          <w:rFonts w:eastAsia="Calibri"/>
          <w:szCs w:val="24"/>
        </w:rPr>
      </w:pPr>
      <w:bookmarkStart w:id="69" w:name="_Hlk124759807"/>
      <w:r>
        <w:t>L</w:t>
      </w:r>
      <w:r w:rsidRPr="00E31E23">
        <w:t>’axe 2 du Pilier 3 du PA-SD poursuit la mise en œuvre de</w:t>
      </w:r>
      <w:r>
        <w:t xml:space="preserve"> quatre</w:t>
      </w:r>
      <w:r w:rsidRPr="00E31E23">
        <w:t xml:space="preserve"> O</w:t>
      </w:r>
      <w:r>
        <w:t>bjectifs stratégiques (OS)</w:t>
      </w:r>
      <w:r w:rsidRPr="00E31E23">
        <w:t xml:space="preserve"> de la</w:t>
      </w:r>
      <w:r>
        <w:t xml:space="preserve"> PND</w:t>
      </w:r>
      <w:r w:rsidRPr="00E31E23">
        <w:t>. La situation de mise en œuvre des actions programmées se présente comme suit par OS</w:t>
      </w:r>
      <w:r w:rsidR="00A17D77" w:rsidRPr="00664E91">
        <w:rPr>
          <w:rFonts w:eastAsia="Calibri"/>
          <w:szCs w:val="24"/>
        </w:rPr>
        <w:t>.</w:t>
      </w:r>
      <w:bookmarkEnd w:id="69"/>
    </w:p>
    <w:p w14:paraId="1563A606" w14:textId="12419C79" w:rsidR="005959D3" w:rsidRPr="00B17BCE" w:rsidRDefault="00EA252D" w:rsidP="00B17BCE">
      <w:pPr>
        <w:pStyle w:val="PAT4"/>
        <w:rPr>
          <w:szCs w:val="24"/>
        </w:rPr>
      </w:pPr>
      <w:bookmarkStart w:id="70" w:name="_Toc163141223"/>
      <w:bookmarkEnd w:id="66"/>
      <w:r w:rsidRPr="008D2129">
        <w:t>Objectif stratégique 2.1 : Promouvoir la démocratie et la bonne gouvernance politique</w:t>
      </w:r>
      <w:bookmarkEnd w:id="70"/>
    </w:p>
    <w:p w14:paraId="3629C722"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S’agissant de la gestion des libertés publiques et des affaires politiques, quatre (04) actions liées à cet objectif stratégique sont programmées dans le PA-SD.</w:t>
      </w:r>
    </w:p>
    <w:p w14:paraId="7BC9456E" w14:textId="0ADEC0B5" w:rsidR="00B17BCE" w:rsidRPr="00B17BCE" w:rsidRDefault="00B17BCE" w:rsidP="00F20278">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La première action est relative à la </w:t>
      </w:r>
      <w:r w:rsidR="00F20278" w:rsidRPr="008139E1">
        <w:rPr>
          <w:rFonts w:eastAsia="Calibri"/>
          <w:b/>
          <w:szCs w:val="24"/>
        </w:rPr>
        <w:t>« </w:t>
      </w:r>
      <w:r w:rsidRPr="008139E1">
        <w:rPr>
          <w:rFonts w:eastAsia="Calibri"/>
          <w:b/>
          <w:szCs w:val="24"/>
        </w:rPr>
        <w:t>révision du code électoral</w:t>
      </w:r>
      <w:r w:rsidR="00F20278" w:rsidRPr="008139E1">
        <w:rPr>
          <w:rFonts w:eastAsia="Calibri"/>
          <w:b/>
          <w:szCs w:val="24"/>
        </w:rPr>
        <w:t> »</w:t>
      </w:r>
      <w:r w:rsidRPr="008139E1">
        <w:rPr>
          <w:rFonts w:eastAsia="Calibri"/>
          <w:b/>
          <w:szCs w:val="24"/>
        </w:rPr>
        <w:t xml:space="preserve"> (03007)</w:t>
      </w:r>
      <w:r w:rsidRPr="00B17BCE">
        <w:rPr>
          <w:rFonts w:eastAsia="Calibri"/>
          <w:szCs w:val="24"/>
        </w:rPr>
        <w:t xml:space="preserve">. Elle est évaluée par la disponibilité d'un nouveau code électoral ». Au 31 décembre 2023, le nouveau code n’est pas disponible. Toutefois, un avant-projet de ce </w:t>
      </w:r>
      <w:r w:rsidR="00296809">
        <w:rPr>
          <w:rFonts w:eastAsia="Calibri"/>
          <w:szCs w:val="24"/>
        </w:rPr>
        <w:t>c</w:t>
      </w:r>
      <w:r w:rsidRPr="00B17BCE">
        <w:rPr>
          <w:rFonts w:eastAsia="Calibri"/>
          <w:szCs w:val="24"/>
        </w:rPr>
        <w:t xml:space="preserve">ode est disponible. Du fait de la suspension des activités des partis et formations politiques, ces derniers n’ont pas pu se réunir pour </w:t>
      </w:r>
      <w:r w:rsidR="00F20278">
        <w:rPr>
          <w:rFonts w:eastAsia="Calibri"/>
          <w:szCs w:val="24"/>
        </w:rPr>
        <w:t>apporter leurs amendements afin de permettre la poursuite du processus.</w:t>
      </w:r>
    </w:p>
    <w:p w14:paraId="7379843E"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La deuxième action porte sur </w:t>
      </w:r>
      <w:r w:rsidRPr="008139E1">
        <w:rPr>
          <w:rFonts w:eastAsia="Calibri"/>
          <w:b/>
          <w:szCs w:val="24"/>
        </w:rPr>
        <w:t>la relecture de la loi sur les libertés d’association (03010)</w:t>
      </w:r>
      <w:r w:rsidRPr="00B17BCE">
        <w:rPr>
          <w:rFonts w:eastAsia="Calibri"/>
          <w:szCs w:val="24"/>
        </w:rPr>
        <w:t xml:space="preserve">. Sa mise en œuvre est mesurée par la « disponibilité de la loi révisée sur les libertés d’association ». Au 31 décembre 2023, la loi révisée n’est pas disponible. Cependant, un </w:t>
      </w:r>
      <w:proofErr w:type="spellStart"/>
      <w:r w:rsidRPr="00B17BCE">
        <w:rPr>
          <w:rFonts w:eastAsia="Calibri"/>
          <w:szCs w:val="24"/>
        </w:rPr>
        <w:t>draft</w:t>
      </w:r>
      <w:proofErr w:type="spellEnd"/>
      <w:r w:rsidRPr="00B17BCE">
        <w:rPr>
          <w:rFonts w:eastAsia="Calibri"/>
          <w:szCs w:val="24"/>
        </w:rPr>
        <w:t xml:space="preserve"> de l’avant-projet de loi et cinq (05) projets de textes d’application de la loi sont disponibles. </w:t>
      </w:r>
    </w:p>
    <w:p w14:paraId="17D34552" w14:textId="202D7CF8"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Sur une prévision de 37 000 000 FCFA, un montant de 9 372 000 FCFA a été exécuté, soit un taux financier de 25,33%. </w:t>
      </w:r>
    </w:p>
    <w:p w14:paraId="1F172BF0"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lastRenderedPageBreak/>
        <w:t xml:space="preserve">La troisième action concerne </w:t>
      </w:r>
      <w:r w:rsidRPr="008139E1">
        <w:rPr>
          <w:rFonts w:eastAsia="Calibri"/>
          <w:b/>
          <w:szCs w:val="24"/>
        </w:rPr>
        <w:t>le renforcement de la supervision des activités politiques et associatives (03011)</w:t>
      </w:r>
      <w:r w:rsidRPr="00B17BCE">
        <w:rPr>
          <w:rFonts w:eastAsia="Calibri"/>
          <w:szCs w:val="24"/>
        </w:rPr>
        <w:t xml:space="preserve">. Sa mise en œuvre est évaluée par deux (02) indicateurs que sont la « proportion d'associations suivies » et la « proportion des partis et formations politiques suivis ». Au 31 décembre 2023, les deux (02) indicateurs ont atteint leurs cibles de 100%. </w:t>
      </w:r>
    </w:p>
    <w:p w14:paraId="56FD6529"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Deux (02) produits concourent à la réalisation de l’action. Ils sont appréciés respectivement à travers le « nombre d'OBNL suivis » et le « nombre de partis et formations politiques suivis ». En fin de période, les deux (02) indicateurs ont atteint leurs cibles. En effet, la totalité des 400 OBNL à suivre l’ont été. Quant aux partis et formations politiques, 210 ont été suivis en 2023 sur une prévision de 75.</w:t>
      </w:r>
    </w:p>
    <w:p w14:paraId="521EC0F7" w14:textId="3FD491C3"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Sur une prévision financière de 51 000 000 FCFA, seulement 1 092 000 FCFA </w:t>
      </w:r>
      <w:r w:rsidR="00296809">
        <w:rPr>
          <w:rFonts w:eastAsia="Calibri"/>
          <w:szCs w:val="24"/>
        </w:rPr>
        <w:t>a</w:t>
      </w:r>
      <w:r w:rsidRPr="00B17BCE">
        <w:rPr>
          <w:rFonts w:eastAsia="Calibri"/>
          <w:szCs w:val="24"/>
        </w:rPr>
        <w:t xml:space="preserve"> été dépensé, soit un taux d’exécution financière de 1,98%. </w:t>
      </w:r>
    </w:p>
    <w:p w14:paraId="00DDB33A" w14:textId="3169D87F"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La quatrième action porte sur </w:t>
      </w:r>
      <w:r w:rsidR="00F20278" w:rsidRPr="008139E1">
        <w:rPr>
          <w:rFonts w:eastAsia="Calibri"/>
          <w:b/>
          <w:szCs w:val="24"/>
        </w:rPr>
        <w:t>« </w:t>
      </w:r>
      <w:r w:rsidRPr="008139E1">
        <w:rPr>
          <w:rFonts w:eastAsia="Calibri"/>
          <w:b/>
          <w:szCs w:val="24"/>
        </w:rPr>
        <w:t>la réforme du système partisan</w:t>
      </w:r>
      <w:r w:rsidR="00F20278">
        <w:rPr>
          <w:rFonts w:eastAsia="Calibri"/>
          <w:szCs w:val="24"/>
        </w:rPr>
        <w:t> »</w:t>
      </w:r>
      <w:r w:rsidRPr="00B17BCE">
        <w:rPr>
          <w:rFonts w:eastAsia="Calibri"/>
          <w:szCs w:val="24"/>
        </w:rPr>
        <w:t>. Cette nouvelle action englobe les anciennes actions 03005, institution d'un plafonnement des dépenses des campagnes électorales et 03006, règlementation du financement privé des partis politiques. Sa réalisation est mesurée par la « disponibilité des textes de réformes du système partisan</w:t>
      </w:r>
      <w:r w:rsidR="00296809" w:rsidRPr="00DF4082">
        <w:t> </w:t>
      </w:r>
      <w:r w:rsidRPr="00B17BCE">
        <w:rPr>
          <w:rFonts w:eastAsia="Calibri"/>
          <w:szCs w:val="24"/>
        </w:rPr>
        <w:t>». Au 31 décembre 2023, ces textes ne sont pas disponibles.</w:t>
      </w:r>
    </w:p>
    <w:p w14:paraId="54317656" w14:textId="6749ACD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 Un seul produit concourt à la réalisation de l’action ci-dessus à savoir la « disponibilité de la loi portant régime juridique des partis et formations politiques ». A fin décembre, la loi n’est pas disponible. Toutefois, l’avant-projet de cette loi a été </w:t>
      </w:r>
      <w:r w:rsidR="00EC0AC7" w:rsidRPr="00B17BCE">
        <w:rPr>
          <w:rFonts w:eastAsia="Calibri"/>
          <w:szCs w:val="24"/>
        </w:rPr>
        <w:t>élaboré</w:t>
      </w:r>
      <w:r w:rsidRPr="00B17BCE">
        <w:rPr>
          <w:rFonts w:eastAsia="Calibri"/>
          <w:szCs w:val="24"/>
        </w:rPr>
        <w:t xml:space="preserve">. </w:t>
      </w:r>
    </w:p>
    <w:p w14:paraId="089598EA" w14:textId="5C0A6EF0" w:rsidR="00B17BCE" w:rsidRPr="00B17BCE" w:rsidRDefault="00B17BCE" w:rsidP="00F175A7">
      <w:pPr>
        <w:numPr>
          <w:ilvl w:val="0"/>
          <w:numId w:val="8"/>
        </w:numPr>
        <w:shd w:val="clear" w:color="auto" w:fill="FFFFFF"/>
        <w:spacing w:before="120" w:after="120" w:line="240" w:lineRule="auto"/>
        <w:ind w:left="0"/>
        <w:rPr>
          <w:rFonts w:eastAsia="Calibri"/>
          <w:szCs w:val="24"/>
        </w:rPr>
      </w:pPr>
      <w:bookmarkStart w:id="71" w:name="_heading=h.34g0dwd" w:colFirst="0" w:colLast="0"/>
      <w:bookmarkEnd w:id="71"/>
      <w:r w:rsidRPr="00B17BCE">
        <w:rPr>
          <w:rFonts w:eastAsia="Calibri"/>
          <w:szCs w:val="24"/>
        </w:rPr>
        <w:t xml:space="preserve">La cinquième action </w:t>
      </w:r>
      <w:r w:rsidRPr="008139E1">
        <w:rPr>
          <w:rFonts w:eastAsia="Calibri"/>
          <w:b/>
          <w:szCs w:val="24"/>
        </w:rPr>
        <w:t xml:space="preserve">(03012) : </w:t>
      </w:r>
      <w:r w:rsidR="00F20278">
        <w:rPr>
          <w:rFonts w:eastAsia="Calibri"/>
          <w:b/>
          <w:szCs w:val="24"/>
        </w:rPr>
        <w:t>« </w:t>
      </w:r>
      <w:r w:rsidR="00296809">
        <w:rPr>
          <w:rFonts w:eastAsia="Calibri"/>
          <w:b/>
          <w:szCs w:val="24"/>
        </w:rPr>
        <w:t>s</w:t>
      </w:r>
      <w:r w:rsidRPr="008139E1">
        <w:rPr>
          <w:rFonts w:eastAsia="Calibri"/>
          <w:b/>
          <w:szCs w:val="24"/>
        </w:rPr>
        <w:t xml:space="preserve">ystématisation du recrutement par appel à candidatures des Directeurs </w:t>
      </w:r>
      <w:r w:rsidR="00296809">
        <w:rPr>
          <w:rFonts w:eastAsia="Calibri"/>
          <w:b/>
          <w:szCs w:val="24"/>
        </w:rPr>
        <w:t>g</w:t>
      </w:r>
      <w:r w:rsidRPr="008139E1">
        <w:rPr>
          <w:rFonts w:eastAsia="Calibri"/>
          <w:b/>
          <w:szCs w:val="24"/>
        </w:rPr>
        <w:t>énéraux des entreprises et des établissements publics</w:t>
      </w:r>
      <w:r w:rsidR="00F20278">
        <w:rPr>
          <w:rFonts w:eastAsia="Calibri"/>
          <w:b/>
          <w:szCs w:val="24"/>
        </w:rPr>
        <w:t> »</w:t>
      </w:r>
      <w:r w:rsidRPr="00B17BCE">
        <w:rPr>
          <w:rFonts w:eastAsia="Calibri"/>
          <w:szCs w:val="24"/>
        </w:rPr>
        <w:t xml:space="preserve"> est mesurée par la proportion des postes de responsabilité des entreprises et des établissements publics promus sur appel à candidature qui ressort à 4,35% sur une prévision de 10%. Ce résultat se justifie par l’existence de deux (02) procédures de recrutement des dirigeants conformément à la réglementation actuelle</w:t>
      </w:r>
      <w:r w:rsidR="00296809">
        <w:rPr>
          <w:rFonts w:eastAsia="Calibri"/>
          <w:szCs w:val="24"/>
        </w:rPr>
        <w:t>,</w:t>
      </w:r>
      <w:r w:rsidRPr="00B17BCE">
        <w:rPr>
          <w:rFonts w:eastAsia="Calibri"/>
          <w:szCs w:val="24"/>
        </w:rPr>
        <w:t xml:space="preserve"> à savoir la nomination directe en Conseil des </w:t>
      </w:r>
      <w:r w:rsidR="00296809">
        <w:rPr>
          <w:rFonts w:eastAsia="Calibri"/>
          <w:szCs w:val="24"/>
        </w:rPr>
        <w:t>m</w:t>
      </w:r>
      <w:r w:rsidRPr="00B17BCE">
        <w:rPr>
          <w:rFonts w:eastAsia="Calibri"/>
          <w:szCs w:val="24"/>
        </w:rPr>
        <w:t>inistres et le recrutement par appel à candidature. A ce jour, le recrutement par appel à candidature n’est pas systématique. Toutefois, une relecture des textes régissant les sociétés à capitaux publics pourrait rendre cette systématisation effective. S’agissant de la réglementation sur la gouvernance des entreprises à capitaux publics</w:t>
      </w:r>
      <w:r w:rsidR="00296809">
        <w:rPr>
          <w:rFonts w:eastAsia="Calibri"/>
          <w:szCs w:val="24"/>
        </w:rPr>
        <w:t>,</w:t>
      </w:r>
      <w:r w:rsidRPr="00B17BCE">
        <w:rPr>
          <w:rFonts w:eastAsia="Calibri"/>
          <w:szCs w:val="24"/>
        </w:rPr>
        <w:t xml:space="preserve"> un nouveau décret</w:t>
      </w:r>
      <w:r w:rsidR="00296809">
        <w:rPr>
          <w:rStyle w:val="Appelnotedebasdep"/>
          <w:rFonts w:eastAsia="Calibri"/>
          <w:szCs w:val="24"/>
        </w:rPr>
        <w:footnoteReference w:id="2"/>
      </w:r>
      <w:r w:rsidRPr="00B17BCE">
        <w:rPr>
          <w:rFonts w:eastAsia="Calibri"/>
          <w:szCs w:val="24"/>
        </w:rPr>
        <w:t xml:space="preserve"> portant modalité</w:t>
      </w:r>
      <w:r w:rsidR="00296809">
        <w:rPr>
          <w:rFonts w:eastAsia="Calibri"/>
          <w:szCs w:val="24"/>
        </w:rPr>
        <w:t>s</w:t>
      </w:r>
      <w:r w:rsidRPr="00B17BCE">
        <w:rPr>
          <w:rFonts w:eastAsia="Calibri"/>
          <w:szCs w:val="24"/>
        </w:rPr>
        <w:t xml:space="preserve"> de désignation des membres des organes d’administration des sociétés à capitaux publics, des établissements publics et des structures à statut spécifique a été adopté en octobre 2023.</w:t>
      </w:r>
    </w:p>
    <w:p w14:paraId="6E17F583"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Au titre de la coopération, une seule action à savoir </w:t>
      </w:r>
      <w:r w:rsidRPr="008139E1">
        <w:rPr>
          <w:rFonts w:eastAsia="Calibri"/>
          <w:b/>
          <w:szCs w:val="24"/>
        </w:rPr>
        <w:t>la définition d’une orientation de la politique extérieure (03014)</w:t>
      </w:r>
      <w:r w:rsidRPr="00B17BCE">
        <w:rPr>
          <w:rFonts w:eastAsia="Calibri"/>
          <w:szCs w:val="24"/>
        </w:rPr>
        <w:t xml:space="preserve"> est mise en œuvre et mesurée par la « disponibilité de la loi portant orientation de la politique extérieure ». Au 31 décembre 2023, cette loi n’est pas disponible. Cependant, un avant-projet de loi a été élaboré. </w:t>
      </w:r>
    </w:p>
    <w:p w14:paraId="28329EBF" w14:textId="3D47A634"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Sur les trois (03) produits qui concourent à la réalisation de cette action, seul le « nombre d’accords de coopération recensés » a atteint sa cible. En effet, 81 accords ont été répertoriés et numérisés sur une prévision de 80. </w:t>
      </w:r>
    </w:p>
    <w:p w14:paraId="3900DE7A" w14:textId="1D750DF6"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lastRenderedPageBreak/>
        <w:t>L’état de l’atteinte des indicateurs de produit</w:t>
      </w:r>
      <w:r w:rsidR="00D2658D">
        <w:rPr>
          <w:rFonts w:eastAsia="Calibri"/>
          <w:szCs w:val="24"/>
        </w:rPr>
        <w:t>s</w:t>
      </w:r>
      <w:r w:rsidRPr="00B17BCE">
        <w:rPr>
          <w:rFonts w:eastAsia="Calibri"/>
          <w:szCs w:val="24"/>
        </w:rPr>
        <w:t xml:space="preserve"> est présenté dans le tableau ci-dessous. </w:t>
      </w:r>
    </w:p>
    <w:p w14:paraId="7163C708" w14:textId="65059827" w:rsidR="00B17BCE" w:rsidRPr="0090695A" w:rsidRDefault="0090695A" w:rsidP="00B17BCE">
      <w:pPr>
        <w:keepNext/>
        <w:spacing w:after="200"/>
        <w:rPr>
          <w:sz w:val="22"/>
        </w:rPr>
      </w:pPr>
      <w:bookmarkStart w:id="72" w:name="_Toc164503611"/>
      <w:r w:rsidRPr="0090695A">
        <w:rPr>
          <w:b/>
          <w:bCs/>
          <w:sz w:val="22"/>
          <w:u w:val="single"/>
        </w:rPr>
        <w:t xml:space="preserve">Tableau </w:t>
      </w:r>
      <w:r w:rsidRPr="0090695A">
        <w:rPr>
          <w:b/>
          <w:bCs/>
          <w:sz w:val="22"/>
          <w:u w:val="single"/>
        </w:rPr>
        <w:fldChar w:fldCharType="begin"/>
      </w:r>
      <w:r w:rsidRPr="0090695A">
        <w:rPr>
          <w:b/>
          <w:bCs/>
          <w:sz w:val="22"/>
          <w:u w:val="single"/>
        </w:rPr>
        <w:instrText xml:space="preserve"> SEQ Tableau \* ARABIC </w:instrText>
      </w:r>
      <w:r w:rsidRPr="0090695A">
        <w:rPr>
          <w:b/>
          <w:bCs/>
          <w:sz w:val="22"/>
          <w:u w:val="single"/>
        </w:rPr>
        <w:fldChar w:fldCharType="separate"/>
      </w:r>
      <w:r w:rsidR="007C2E4E">
        <w:rPr>
          <w:b/>
          <w:bCs/>
          <w:noProof/>
          <w:sz w:val="22"/>
          <w:u w:val="single"/>
        </w:rPr>
        <w:t>24</w:t>
      </w:r>
      <w:r w:rsidRPr="0090695A">
        <w:rPr>
          <w:b/>
          <w:bCs/>
          <w:sz w:val="22"/>
          <w:u w:val="single"/>
        </w:rPr>
        <w:fldChar w:fldCharType="end"/>
      </w:r>
      <w:r w:rsidR="00B17BCE" w:rsidRPr="0090695A">
        <w:rPr>
          <w:sz w:val="22"/>
        </w:rPr>
        <w:t>: situation des indicateurs de produit</w:t>
      </w:r>
      <w:r w:rsidR="00CB4A51">
        <w:rPr>
          <w:sz w:val="22"/>
        </w:rPr>
        <w:t>s</w:t>
      </w:r>
      <w:r w:rsidR="00B17BCE" w:rsidRPr="0090695A">
        <w:rPr>
          <w:sz w:val="22"/>
        </w:rPr>
        <w:t xml:space="preserve"> de l'action « définition d'une orientation de la politique étrangère » au 31 décembre 2023</w:t>
      </w:r>
      <w:bookmarkEnd w:id="72"/>
      <w:r w:rsidR="00B17BCE" w:rsidRPr="0090695A">
        <w:rPr>
          <w:sz w:val="22"/>
        </w:rPr>
        <w:t xml:space="preserve"> </w:t>
      </w:r>
    </w:p>
    <w:tbl>
      <w:tblPr>
        <w:tblStyle w:val="GridTable4-Accent111"/>
        <w:tblW w:w="5000" w:type="pct"/>
        <w:tblLayout w:type="fixed"/>
        <w:tblLook w:val="04A0" w:firstRow="1" w:lastRow="0" w:firstColumn="1" w:lastColumn="0" w:noHBand="0" w:noVBand="1"/>
      </w:tblPr>
      <w:tblGrid>
        <w:gridCol w:w="5486"/>
        <w:gridCol w:w="1170"/>
        <w:gridCol w:w="1170"/>
        <w:gridCol w:w="1190"/>
      </w:tblGrid>
      <w:tr w:rsidR="00B17BCE" w:rsidRPr="00E018E7" w14:paraId="57E6C391" w14:textId="77777777" w:rsidTr="00B17B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1BD78082" w14:textId="4151793C" w:rsidR="00B17BCE" w:rsidRPr="00F175A7" w:rsidRDefault="00B17BCE" w:rsidP="00F175A7">
            <w:pPr>
              <w:spacing w:after="0" w:line="240" w:lineRule="auto"/>
              <w:rPr>
                <w:color w:val="FFFFFF" w:themeColor="background1"/>
                <w:sz w:val="22"/>
              </w:rPr>
            </w:pPr>
            <w:r w:rsidRPr="00F175A7">
              <w:rPr>
                <w:color w:val="FFFFFF" w:themeColor="background1"/>
                <w:sz w:val="22"/>
              </w:rPr>
              <w:t>Indicateur</w:t>
            </w:r>
            <w:r w:rsidR="008F33DB">
              <w:rPr>
                <w:color w:val="FFFFFF" w:themeColor="background1"/>
                <w:sz w:val="22"/>
              </w:rPr>
              <w:t xml:space="preserve">s </w:t>
            </w:r>
          </w:p>
        </w:tc>
        <w:tc>
          <w:tcPr>
            <w:tcW w:w="649" w:type="pct"/>
          </w:tcPr>
          <w:p w14:paraId="3569C5C8" w14:textId="77777777" w:rsidR="00B17BCE" w:rsidRPr="00F175A7" w:rsidRDefault="00B17BCE" w:rsidP="00F175A7">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F175A7">
              <w:rPr>
                <w:color w:val="FFFFFF" w:themeColor="background1"/>
                <w:sz w:val="22"/>
              </w:rPr>
              <w:t>Réal. 2022</w:t>
            </w:r>
          </w:p>
        </w:tc>
        <w:tc>
          <w:tcPr>
            <w:tcW w:w="649" w:type="pct"/>
          </w:tcPr>
          <w:p w14:paraId="35D5593B" w14:textId="77777777" w:rsidR="00B17BCE" w:rsidRPr="00F175A7" w:rsidRDefault="00B17BCE" w:rsidP="00F175A7">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F175A7">
              <w:rPr>
                <w:color w:val="FFFFFF" w:themeColor="background1"/>
                <w:sz w:val="22"/>
              </w:rPr>
              <w:t>Réal. 2023</w:t>
            </w:r>
          </w:p>
        </w:tc>
        <w:tc>
          <w:tcPr>
            <w:tcW w:w="660" w:type="pct"/>
          </w:tcPr>
          <w:p w14:paraId="54CD0286" w14:textId="77777777" w:rsidR="00B17BCE" w:rsidRPr="00F175A7" w:rsidRDefault="00B17BCE" w:rsidP="00F175A7">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F175A7">
              <w:rPr>
                <w:color w:val="FFFFFF" w:themeColor="background1"/>
                <w:sz w:val="22"/>
              </w:rPr>
              <w:t>Cible 2023</w:t>
            </w:r>
          </w:p>
        </w:tc>
      </w:tr>
      <w:tr w:rsidR="00B17BCE" w:rsidRPr="00E018E7" w14:paraId="0944DD3C" w14:textId="77777777" w:rsidTr="00B17B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4AE9794D" w14:textId="77777777" w:rsidR="00B17BCE" w:rsidRPr="00E018E7" w:rsidRDefault="00B17BCE" w:rsidP="00F175A7">
            <w:pPr>
              <w:spacing w:after="0" w:line="240" w:lineRule="auto"/>
              <w:jc w:val="left"/>
              <w:rPr>
                <w:b w:val="0"/>
                <w:bCs w:val="0"/>
                <w:color w:val="000000"/>
                <w:sz w:val="22"/>
              </w:rPr>
            </w:pPr>
            <w:r w:rsidRPr="00E018E7">
              <w:rPr>
                <w:color w:val="000000"/>
                <w:sz w:val="22"/>
              </w:rPr>
              <w:t xml:space="preserve">Disponibilité de la loi sur l’orientation de la politique étrangère du Burkina Faso </w:t>
            </w:r>
          </w:p>
        </w:tc>
        <w:tc>
          <w:tcPr>
            <w:tcW w:w="649" w:type="pct"/>
          </w:tcPr>
          <w:p w14:paraId="79DF60D3" w14:textId="77777777" w:rsidR="00B17BCE" w:rsidRPr="00E018E7" w:rsidRDefault="00B17BCE"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ND</w:t>
            </w:r>
          </w:p>
        </w:tc>
        <w:tc>
          <w:tcPr>
            <w:tcW w:w="649" w:type="pct"/>
          </w:tcPr>
          <w:p w14:paraId="09928766" w14:textId="77777777" w:rsidR="00B17BCE" w:rsidRPr="00E018E7" w:rsidRDefault="00B17BCE"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0</w:t>
            </w:r>
          </w:p>
        </w:tc>
        <w:tc>
          <w:tcPr>
            <w:tcW w:w="660" w:type="pct"/>
          </w:tcPr>
          <w:p w14:paraId="55611A90" w14:textId="77777777" w:rsidR="00B17BCE" w:rsidRPr="00E018E7" w:rsidRDefault="00B17BCE"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w:t>
            </w:r>
          </w:p>
        </w:tc>
      </w:tr>
      <w:tr w:rsidR="00B17BCE" w:rsidRPr="00E018E7" w14:paraId="40A9EBC2" w14:textId="77777777" w:rsidTr="00B17BCE">
        <w:trPr>
          <w:trHeight w:val="20"/>
        </w:trPr>
        <w:tc>
          <w:tcPr>
            <w:cnfStyle w:val="001000000000" w:firstRow="0" w:lastRow="0" w:firstColumn="1" w:lastColumn="0" w:oddVBand="0" w:evenVBand="0" w:oddHBand="0" w:evenHBand="0" w:firstRowFirstColumn="0" w:firstRowLastColumn="0" w:lastRowFirstColumn="0" w:lastRowLastColumn="0"/>
            <w:tcW w:w="3042" w:type="pct"/>
          </w:tcPr>
          <w:p w14:paraId="31E7EEE2" w14:textId="77777777" w:rsidR="00B17BCE" w:rsidRPr="00E018E7" w:rsidRDefault="00B17BCE" w:rsidP="00F175A7">
            <w:pPr>
              <w:spacing w:after="0" w:line="240" w:lineRule="auto"/>
              <w:jc w:val="left"/>
              <w:rPr>
                <w:b w:val="0"/>
                <w:bCs w:val="0"/>
                <w:color w:val="000000"/>
                <w:sz w:val="22"/>
              </w:rPr>
            </w:pPr>
            <w:r w:rsidRPr="00E018E7">
              <w:rPr>
                <w:color w:val="000000"/>
                <w:sz w:val="22"/>
              </w:rPr>
              <w:t>Nombre d’accords de coopération recensés</w:t>
            </w:r>
          </w:p>
        </w:tc>
        <w:tc>
          <w:tcPr>
            <w:tcW w:w="649" w:type="pct"/>
          </w:tcPr>
          <w:p w14:paraId="29C434C3" w14:textId="77777777" w:rsidR="00B17BCE" w:rsidRPr="00E018E7" w:rsidRDefault="00B17BCE"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12</w:t>
            </w:r>
          </w:p>
        </w:tc>
        <w:tc>
          <w:tcPr>
            <w:tcW w:w="649" w:type="pct"/>
          </w:tcPr>
          <w:p w14:paraId="6728DC74" w14:textId="77777777" w:rsidR="00B17BCE" w:rsidRPr="00E018E7" w:rsidRDefault="00B17BCE"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81</w:t>
            </w:r>
          </w:p>
        </w:tc>
        <w:tc>
          <w:tcPr>
            <w:tcW w:w="660" w:type="pct"/>
          </w:tcPr>
          <w:p w14:paraId="259E3026" w14:textId="77777777" w:rsidR="00B17BCE" w:rsidRPr="00E018E7" w:rsidRDefault="00B17BCE"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80</w:t>
            </w:r>
          </w:p>
        </w:tc>
      </w:tr>
      <w:tr w:rsidR="00B17BCE" w:rsidRPr="00E018E7" w14:paraId="09FDB099" w14:textId="77777777" w:rsidTr="00B17B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51C65608" w14:textId="77777777" w:rsidR="00B17BCE" w:rsidRPr="00E018E7" w:rsidRDefault="00B17BCE" w:rsidP="00F175A7">
            <w:pPr>
              <w:spacing w:after="0" w:line="240" w:lineRule="auto"/>
              <w:jc w:val="left"/>
              <w:rPr>
                <w:b w:val="0"/>
                <w:bCs w:val="0"/>
                <w:color w:val="000000"/>
                <w:sz w:val="22"/>
              </w:rPr>
            </w:pPr>
            <w:r w:rsidRPr="00E018E7">
              <w:rPr>
                <w:color w:val="000000"/>
                <w:sz w:val="22"/>
              </w:rPr>
              <w:t xml:space="preserve">Nombre de séances organisées avec la CEDEAO  </w:t>
            </w:r>
          </w:p>
        </w:tc>
        <w:tc>
          <w:tcPr>
            <w:tcW w:w="649" w:type="pct"/>
          </w:tcPr>
          <w:p w14:paraId="40DF419B" w14:textId="77777777" w:rsidR="00B17BCE" w:rsidRPr="00E018E7" w:rsidRDefault="00B17BCE"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7</w:t>
            </w:r>
          </w:p>
        </w:tc>
        <w:tc>
          <w:tcPr>
            <w:tcW w:w="649" w:type="pct"/>
          </w:tcPr>
          <w:p w14:paraId="4FE4A2D6" w14:textId="77777777" w:rsidR="00B17BCE" w:rsidRPr="00E018E7" w:rsidRDefault="00B17BCE"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2</w:t>
            </w:r>
          </w:p>
        </w:tc>
        <w:tc>
          <w:tcPr>
            <w:tcW w:w="660" w:type="pct"/>
          </w:tcPr>
          <w:p w14:paraId="1147C92E" w14:textId="77777777" w:rsidR="00B17BCE" w:rsidRPr="00E018E7" w:rsidRDefault="00B17BCE"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4</w:t>
            </w:r>
          </w:p>
        </w:tc>
      </w:tr>
    </w:tbl>
    <w:p w14:paraId="646C8A9D" w14:textId="6D42A6CA" w:rsidR="00B17BCE" w:rsidRPr="00E31E23" w:rsidRDefault="00B17BCE" w:rsidP="00B17BCE">
      <w:pPr>
        <w:widowControl w:val="0"/>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 xml:space="preserve">de performance </w:t>
      </w:r>
      <w:r w:rsidR="00547F92">
        <w:rPr>
          <w:sz w:val="20"/>
          <w:szCs w:val="20"/>
        </w:rPr>
        <w:t>2023</w:t>
      </w:r>
      <w:r w:rsidRPr="00E31E23">
        <w:rPr>
          <w:sz w:val="20"/>
          <w:szCs w:val="20"/>
        </w:rPr>
        <w:t xml:space="preserve"> du CSD-GAL, février 2024</w:t>
      </w:r>
    </w:p>
    <w:p w14:paraId="330E893F"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Sur une programmation de 27 000 000 FCFA, l’exécution financière de l’action s’établit à 20 750 000 FCFA, soit un taux d’exécution de 76,85%. </w:t>
      </w:r>
    </w:p>
    <w:p w14:paraId="4FB3F20E" w14:textId="4D094B64"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En matière de justice et droits humains, quatre (04) actions sont décliné</w:t>
      </w:r>
      <w:r w:rsidR="00D2658D">
        <w:rPr>
          <w:rFonts w:eastAsia="Calibri"/>
          <w:szCs w:val="24"/>
        </w:rPr>
        <w:t>e</w:t>
      </w:r>
      <w:r w:rsidRPr="00B17BCE">
        <w:rPr>
          <w:rFonts w:eastAsia="Calibri"/>
          <w:szCs w:val="24"/>
        </w:rPr>
        <w:t>s dans le PA-SD.</w:t>
      </w:r>
    </w:p>
    <w:p w14:paraId="4559D775" w14:textId="24581350"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La première action relative à </w:t>
      </w:r>
      <w:r w:rsidRPr="008139E1">
        <w:rPr>
          <w:rFonts w:eastAsia="Calibri"/>
          <w:b/>
          <w:szCs w:val="24"/>
        </w:rPr>
        <w:t>l’amélioration du fonctionnement des juridictions (03034)</w:t>
      </w:r>
      <w:r w:rsidRPr="00B17BCE">
        <w:rPr>
          <w:rFonts w:eastAsia="Calibri"/>
          <w:szCs w:val="24"/>
        </w:rPr>
        <w:t xml:space="preserve"> vise à réduire le « temps moyen de traitement des affaires de flagrant délit à 55 jours</w:t>
      </w:r>
      <w:r w:rsidR="00D2658D">
        <w:rPr>
          <w:rFonts w:eastAsia="Calibri"/>
          <w:szCs w:val="24"/>
        </w:rPr>
        <w:t> »</w:t>
      </w:r>
      <w:r w:rsidRPr="00B17BCE">
        <w:rPr>
          <w:rFonts w:eastAsia="Calibri"/>
          <w:szCs w:val="24"/>
        </w:rPr>
        <w:t xml:space="preserve">. </w:t>
      </w:r>
    </w:p>
    <w:p w14:paraId="61E5B143" w14:textId="643F9AE8" w:rsidR="00F20278"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Sur les </w:t>
      </w:r>
      <w:r w:rsidR="00D2658D">
        <w:rPr>
          <w:rFonts w:eastAsia="Calibri"/>
          <w:szCs w:val="24"/>
        </w:rPr>
        <w:t>q</w:t>
      </w:r>
      <w:r w:rsidRPr="00B17BCE">
        <w:rPr>
          <w:rFonts w:eastAsia="Calibri"/>
          <w:szCs w:val="24"/>
        </w:rPr>
        <w:t>uinze (15) produits programmés dans le cadre de cette action, huit (08) ont atteint leur cible à fin décembre 2023. Les avancées obtenues concernent entre autres : (i) le renforcement des capacités opérationnelles de l’ensemble des juridictions, par la dotation de 09 véhicules à quatre roues et leur équipement en matériel informatique, péri informatique et/ou en mobilier de bureau ; (ii) l’audit</w:t>
      </w:r>
      <w:r w:rsidR="00D2658D">
        <w:rPr>
          <w:rFonts w:eastAsia="Calibri"/>
          <w:szCs w:val="24"/>
        </w:rPr>
        <w:t>-</w:t>
      </w:r>
      <w:r w:rsidRPr="00B17BCE">
        <w:rPr>
          <w:rFonts w:eastAsia="Calibri"/>
          <w:szCs w:val="24"/>
        </w:rPr>
        <w:t>contrôle de 13 structures. Ces contrôles ont permis de déceler des insuffisances dans le fonctionnement de ces structures ; (iii) l’évaluation des performances des structures administratives du ministère en charge de la justice avec 89,18% des structures ayant obtenu la moyenne ; (iv) l’élaboration de deux (2) manuels de procédures pour les prestations d</w:t>
      </w:r>
      <w:r w:rsidR="00D2658D">
        <w:rPr>
          <w:rFonts w:eastAsia="Calibri"/>
          <w:szCs w:val="24"/>
        </w:rPr>
        <w:t>e</w:t>
      </w:r>
      <w:r w:rsidRPr="00B17BCE">
        <w:rPr>
          <w:rFonts w:eastAsia="Calibri"/>
          <w:szCs w:val="24"/>
        </w:rPr>
        <w:t xml:space="preserve"> service de la justice et des droits humains et (v) la sensibilisation de 500 acteurs judiciaires et pénitentiaires sur la corruption</w:t>
      </w:r>
      <w:r w:rsidR="00F20278">
        <w:rPr>
          <w:rFonts w:eastAsia="Calibri"/>
          <w:szCs w:val="24"/>
        </w:rPr>
        <w:t>.</w:t>
      </w:r>
    </w:p>
    <w:p w14:paraId="22AB6B36" w14:textId="7FD72E7B" w:rsidR="00B17BCE" w:rsidRPr="00B17BCE" w:rsidRDefault="00F20278" w:rsidP="00F175A7">
      <w:pPr>
        <w:numPr>
          <w:ilvl w:val="0"/>
          <w:numId w:val="8"/>
        </w:numPr>
        <w:shd w:val="clear" w:color="auto" w:fill="FFFFFF"/>
        <w:spacing w:before="120" w:after="120" w:line="240" w:lineRule="auto"/>
        <w:ind w:left="0"/>
        <w:rPr>
          <w:rFonts w:eastAsia="Calibri"/>
          <w:szCs w:val="24"/>
        </w:rPr>
      </w:pPr>
      <w:r>
        <w:rPr>
          <w:szCs w:val="24"/>
        </w:rPr>
        <w:t>Aussi, dans le cadre de l’amélioration des délais de délivrance des actes de justice, la plateforme de demande et de délivrance en ligne du bulletin n°3 du casier judiciaire (e-casier judiciaire) a été développé</w:t>
      </w:r>
      <w:r w:rsidR="00D2658D">
        <w:rPr>
          <w:szCs w:val="24"/>
        </w:rPr>
        <w:t>e</w:t>
      </w:r>
      <w:r>
        <w:rPr>
          <w:szCs w:val="24"/>
        </w:rPr>
        <w:t>. La plateforme a été déployée dans les TGI Ouaga 1</w:t>
      </w:r>
      <w:r w:rsidR="00D2658D">
        <w:rPr>
          <w:szCs w:val="24"/>
        </w:rPr>
        <w:t xml:space="preserve"> et</w:t>
      </w:r>
      <w:r>
        <w:rPr>
          <w:szCs w:val="24"/>
        </w:rPr>
        <w:t xml:space="preserve"> Ouaga 2, Bobo-Dioulasso et Tenkodogo, à la </w:t>
      </w:r>
      <w:r w:rsidR="00D2658D">
        <w:rPr>
          <w:szCs w:val="24"/>
        </w:rPr>
        <w:t>C</w:t>
      </w:r>
      <w:r>
        <w:rPr>
          <w:szCs w:val="24"/>
        </w:rPr>
        <w:t>our d’</w:t>
      </w:r>
      <w:r w:rsidR="00D2658D">
        <w:rPr>
          <w:szCs w:val="24"/>
        </w:rPr>
        <w:t>a</w:t>
      </w:r>
      <w:r>
        <w:rPr>
          <w:szCs w:val="24"/>
        </w:rPr>
        <w:t xml:space="preserve">ppel de Ouaga ainsi que les juridictions situées dans les zones à fort défi sécuritaire (TGI Nouna, Tougan, </w:t>
      </w:r>
      <w:proofErr w:type="spellStart"/>
      <w:r>
        <w:rPr>
          <w:szCs w:val="24"/>
        </w:rPr>
        <w:t>Djibo</w:t>
      </w:r>
      <w:proofErr w:type="spellEnd"/>
      <w:r>
        <w:rPr>
          <w:szCs w:val="24"/>
        </w:rPr>
        <w:t xml:space="preserve">, Diapaga, </w:t>
      </w:r>
      <w:proofErr w:type="spellStart"/>
      <w:r>
        <w:rPr>
          <w:szCs w:val="24"/>
        </w:rPr>
        <w:t>Dori</w:t>
      </w:r>
      <w:proofErr w:type="spellEnd"/>
      <w:r>
        <w:rPr>
          <w:szCs w:val="24"/>
        </w:rPr>
        <w:t xml:space="preserve">, </w:t>
      </w:r>
      <w:proofErr w:type="spellStart"/>
      <w:r>
        <w:rPr>
          <w:szCs w:val="24"/>
        </w:rPr>
        <w:t>Kongoussi</w:t>
      </w:r>
      <w:proofErr w:type="spellEnd"/>
      <w:r>
        <w:rPr>
          <w:szCs w:val="24"/>
        </w:rPr>
        <w:t xml:space="preserve"> et </w:t>
      </w:r>
      <w:proofErr w:type="spellStart"/>
      <w:r>
        <w:rPr>
          <w:szCs w:val="24"/>
        </w:rPr>
        <w:t>Bogandé</w:t>
      </w:r>
      <w:proofErr w:type="spellEnd"/>
      <w:r>
        <w:rPr>
          <w:szCs w:val="24"/>
        </w:rPr>
        <w:t>). Ce sont 15 933 casiers judiciaires qui ont été délivrés du 02 octobre (date de début de la délivrance) au 31 décembre 2023 dans un délai maximal de 48 heures.</w:t>
      </w:r>
      <w:r w:rsidR="00B17BCE" w:rsidRPr="00B17BCE">
        <w:rPr>
          <w:rFonts w:eastAsia="Calibri"/>
          <w:szCs w:val="24"/>
        </w:rPr>
        <w:t xml:space="preserve"> </w:t>
      </w:r>
    </w:p>
    <w:p w14:paraId="253CC9F0" w14:textId="207608D5" w:rsidR="00CA6AFC"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 La situation de la réalisation des produits attendus est consignée dans le tableau ci-après.</w:t>
      </w:r>
    </w:p>
    <w:p w14:paraId="6B3D9144" w14:textId="77777777" w:rsidR="00CA6AFC" w:rsidRDefault="00CA6AFC">
      <w:pPr>
        <w:spacing w:after="0" w:line="240" w:lineRule="auto"/>
        <w:jc w:val="left"/>
        <w:rPr>
          <w:rFonts w:eastAsia="Calibri"/>
          <w:szCs w:val="24"/>
        </w:rPr>
      </w:pPr>
      <w:r>
        <w:rPr>
          <w:rFonts w:eastAsia="Calibri"/>
          <w:szCs w:val="24"/>
        </w:rPr>
        <w:br w:type="page"/>
      </w:r>
    </w:p>
    <w:p w14:paraId="281BD56E" w14:textId="564FDA6E" w:rsidR="00B17BCE" w:rsidRPr="009A5BE7" w:rsidRDefault="009A5BE7" w:rsidP="00B17BCE">
      <w:pPr>
        <w:widowControl w:val="0"/>
        <w:pBdr>
          <w:top w:val="nil"/>
          <w:left w:val="nil"/>
          <w:bottom w:val="nil"/>
          <w:right w:val="nil"/>
          <w:between w:val="nil"/>
        </w:pBdr>
        <w:spacing w:after="200" w:line="240" w:lineRule="auto"/>
        <w:rPr>
          <w:rFonts w:cs="Merriweather"/>
          <w:color w:val="44546A"/>
          <w:sz w:val="22"/>
        </w:rPr>
      </w:pPr>
      <w:bookmarkStart w:id="73" w:name="_Toc164503612"/>
      <w:r w:rsidRPr="009A5BE7">
        <w:rPr>
          <w:b/>
          <w:bCs/>
          <w:sz w:val="22"/>
          <w:u w:val="single"/>
        </w:rPr>
        <w:lastRenderedPageBreak/>
        <w:t xml:space="preserve">Tableau </w:t>
      </w:r>
      <w:r w:rsidRPr="009A5BE7">
        <w:rPr>
          <w:b/>
          <w:bCs/>
          <w:sz w:val="22"/>
          <w:u w:val="single"/>
        </w:rPr>
        <w:fldChar w:fldCharType="begin"/>
      </w:r>
      <w:r w:rsidRPr="009A5BE7">
        <w:rPr>
          <w:b/>
          <w:bCs/>
          <w:sz w:val="22"/>
          <w:u w:val="single"/>
        </w:rPr>
        <w:instrText xml:space="preserve"> SEQ Tableau \* ARABIC </w:instrText>
      </w:r>
      <w:r w:rsidRPr="009A5BE7">
        <w:rPr>
          <w:b/>
          <w:bCs/>
          <w:sz w:val="22"/>
          <w:u w:val="single"/>
        </w:rPr>
        <w:fldChar w:fldCharType="separate"/>
      </w:r>
      <w:r w:rsidR="007C2E4E">
        <w:rPr>
          <w:b/>
          <w:bCs/>
          <w:noProof/>
          <w:sz w:val="22"/>
          <w:u w:val="single"/>
        </w:rPr>
        <w:t>25</w:t>
      </w:r>
      <w:r w:rsidRPr="009A5BE7">
        <w:rPr>
          <w:b/>
          <w:bCs/>
          <w:sz w:val="22"/>
          <w:u w:val="single"/>
        </w:rPr>
        <w:fldChar w:fldCharType="end"/>
      </w:r>
      <w:r w:rsidR="00B17BCE" w:rsidRPr="009A5BE7">
        <w:rPr>
          <w:rFonts w:cs="Merriweather"/>
          <w:color w:val="44546A"/>
          <w:sz w:val="22"/>
        </w:rPr>
        <w:t xml:space="preserve">: </w:t>
      </w:r>
      <w:r w:rsidR="00D2658D" w:rsidRPr="0042784A">
        <w:rPr>
          <w:rFonts w:cs="Merriweather"/>
          <w:sz w:val="22"/>
        </w:rPr>
        <w:t>s</w:t>
      </w:r>
      <w:r w:rsidR="00B17BCE" w:rsidRPr="0042784A">
        <w:rPr>
          <w:rFonts w:cs="Merriweather"/>
          <w:sz w:val="22"/>
        </w:rPr>
        <w:t>ituation des indicateurs de produits au 31 décembre 2023 de l’action </w:t>
      </w:r>
      <w:r w:rsidR="00D2658D" w:rsidRPr="0042784A">
        <w:rPr>
          <w:rFonts w:cs="Merriweather"/>
          <w:sz w:val="22"/>
        </w:rPr>
        <w:t>« a</w:t>
      </w:r>
      <w:r w:rsidR="00B17BCE" w:rsidRPr="0042784A">
        <w:rPr>
          <w:rFonts w:cs="Merriweather"/>
          <w:sz w:val="22"/>
        </w:rPr>
        <w:t>mélioration du fonctionnement des juridictions</w:t>
      </w:r>
      <w:r w:rsidR="00D2658D" w:rsidRPr="0042784A">
        <w:rPr>
          <w:rFonts w:cs="Merriweather"/>
          <w:sz w:val="22"/>
        </w:rPr>
        <w:t> »</w:t>
      </w:r>
      <w:bookmarkEnd w:id="73"/>
    </w:p>
    <w:tbl>
      <w:tblPr>
        <w:tblStyle w:val="TableauGrille7Couleur-Accentuation1"/>
        <w:tblW w:w="5000" w:type="pct"/>
        <w:tblLook w:val="0400" w:firstRow="0" w:lastRow="0" w:firstColumn="0" w:lastColumn="0" w:noHBand="0" w:noVBand="1"/>
      </w:tblPr>
      <w:tblGrid>
        <w:gridCol w:w="5126"/>
        <w:gridCol w:w="1260"/>
        <w:gridCol w:w="1260"/>
        <w:gridCol w:w="1370"/>
      </w:tblGrid>
      <w:tr w:rsidR="00B17BCE" w:rsidRPr="00E018E7" w14:paraId="6CDE264E"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shd w:val="clear" w:color="auto" w:fill="4472C4" w:themeFill="accent1"/>
          </w:tcPr>
          <w:p w14:paraId="4ED79D40" w14:textId="7F40082C" w:rsidR="00B17BCE" w:rsidRPr="00F175A7" w:rsidRDefault="00B17BCE" w:rsidP="00F175A7">
            <w:pPr>
              <w:spacing w:after="0" w:line="240" w:lineRule="auto"/>
              <w:jc w:val="left"/>
              <w:rPr>
                <w:b/>
                <w:color w:val="FFFFFF"/>
                <w:sz w:val="22"/>
              </w:rPr>
            </w:pPr>
            <w:r w:rsidRPr="00F175A7">
              <w:rPr>
                <w:b/>
                <w:color w:val="FFFFFF"/>
                <w:sz w:val="22"/>
              </w:rPr>
              <w:t>Indicateur</w:t>
            </w:r>
            <w:r w:rsidR="008F33DB">
              <w:rPr>
                <w:b/>
                <w:color w:val="FFFFFF"/>
                <w:sz w:val="22"/>
              </w:rPr>
              <w:t>s</w:t>
            </w:r>
            <w:r w:rsidRPr="00F175A7">
              <w:rPr>
                <w:b/>
                <w:color w:val="FFFFFF"/>
                <w:sz w:val="22"/>
              </w:rPr>
              <w:t xml:space="preserve"> </w:t>
            </w:r>
          </w:p>
        </w:tc>
        <w:tc>
          <w:tcPr>
            <w:tcW w:w="699" w:type="pct"/>
            <w:shd w:val="clear" w:color="auto" w:fill="4472C4" w:themeFill="accent1"/>
          </w:tcPr>
          <w:p w14:paraId="40B8743F" w14:textId="77777777" w:rsidR="00B17BCE" w:rsidRPr="00F175A7" w:rsidRDefault="00B17BCE" w:rsidP="00E52836">
            <w:pPr>
              <w:spacing w:after="0" w:line="240" w:lineRule="auto"/>
              <w:jc w:val="center"/>
              <w:rPr>
                <w:b/>
                <w:color w:val="FFFFFF"/>
                <w:sz w:val="22"/>
              </w:rPr>
            </w:pPr>
            <w:r w:rsidRPr="00F175A7">
              <w:rPr>
                <w:b/>
                <w:color w:val="FFFFFF"/>
                <w:sz w:val="22"/>
              </w:rPr>
              <w:t>Réal. 2022</w:t>
            </w:r>
          </w:p>
        </w:tc>
        <w:tc>
          <w:tcPr>
            <w:tcW w:w="699" w:type="pct"/>
            <w:shd w:val="clear" w:color="auto" w:fill="4472C4" w:themeFill="accent1"/>
          </w:tcPr>
          <w:p w14:paraId="7F50601C" w14:textId="77777777" w:rsidR="00B17BCE" w:rsidRPr="00F175A7" w:rsidRDefault="00B17BCE" w:rsidP="00E52836">
            <w:pPr>
              <w:spacing w:after="0" w:line="240" w:lineRule="auto"/>
              <w:jc w:val="center"/>
              <w:rPr>
                <w:b/>
                <w:color w:val="FFFFFF"/>
                <w:sz w:val="22"/>
              </w:rPr>
            </w:pPr>
            <w:r w:rsidRPr="00F175A7">
              <w:rPr>
                <w:b/>
                <w:color w:val="FFFFFF"/>
                <w:sz w:val="22"/>
              </w:rPr>
              <w:t>Réal. 2023</w:t>
            </w:r>
          </w:p>
        </w:tc>
        <w:tc>
          <w:tcPr>
            <w:tcW w:w="760" w:type="pct"/>
            <w:shd w:val="clear" w:color="auto" w:fill="4472C4" w:themeFill="accent1"/>
          </w:tcPr>
          <w:p w14:paraId="49842076" w14:textId="77777777" w:rsidR="00B17BCE" w:rsidRPr="00F175A7" w:rsidRDefault="00B17BCE" w:rsidP="00E52836">
            <w:pPr>
              <w:spacing w:after="0" w:line="240" w:lineRule="auto"/>
              <w:jc w:val="center"/>
              <w:rPr>
                <w:b/>
                <w:color w:val="FFFFFF"/>
                <w:sz w:val="22"/>
              </w:rPr>
            </w:pPr>
            <w:r w:rsidRPr="00F175A7">
              <w:rPr>
                <w:b/>
                <w:color w:val="FFFFFF"/>
                <w:sz w:val="22"/>
              </w:rPr>
              <w:t>Cible 2023</w:t>
            </w:r>
          </w:p>
        </w:tc>
      </w:tr>
      <w:tr w:rsidR="00B17BCE" w:rsidRPr="00E018E7" w14:paraId="66C893B6" w14:textId="77777777" w:rsidTr="00F175A7">
        <w:trPr>
          <w:trHeight w:val="20"/>
        </w:trPr>
        <w:tc>
          <w:tcPr>
            <w:tcW w:w="2842" w:type="pct"/>
          </w:tcPr>
          <w:p w14:paraId="21707D91" w14:textId="77777777" w:rsidR="00B17BCE" w:rsidRPr="00E018E7" w:rsidRDefault="00B17BCE" w:rsidP="00E52836">
            <w:pPr>
              <w:spacing w:after="0" w:line="240" w:lineRule="auto"/>
              <w:rPr>
                <w:color w:val="000000"/>
                <w:sz w:val="22"/>
              </w:rPr>
            </w:pPr>
            <w:r w:rsidRPr="00E018E7">
              <w:rPr>
                <w:color w:val="000000"/>
                <w:sz w:val="22"/>
              </w:rPr>
              <w:t>Taux d'exécution du programme d'équipement</w:t>
            </w:r>
            <w:r w:rsidRPr="00E018E7">
              <w:rPr>
                <w:sz w:val="22"/>
              </w:rPr>
              <w:t xml:space="preserve"> </w:t>
            </w:r>
            <w:r w:rsidRPr="00E018E7">
              <w:rPr>
                <w:color w:val="000000"/>
                <w:sz w:val="22"/>
              </w:rPr>
              <w:t>des juridictions (%)</w:t>
            </w:r>
          </w:p>
        </w:tc>
        <w:tc>
          <w:tcPr>
            <w:tcW w:w="699" w:type="pct"/>
          </w:tcPr>
          <w:p w14:paraId="738DE7A2" w14:textId="77777777" w:rsidR="00B17BCE" w:rsidRPr="00E018E7" w:rsidRDefault="00B17BCE" w:rsidP="00E52836">
            <w:pPr>
              <w:spacing w:after="0" w:line="240" w:lineRule="auto"/>
              <w:jc w:val="center"/>
              <w:rPr>
                <w:color w:val="000000"/>
                <w:sz w:val="22"/>
              </w:rPr>
            </w:pPr>
            <w:r w:rsidRPr="00E018E7">
              <w:rPr>
                <w:color w:val="000000"/>
                <w:sz w:val="22"/>
              </w:rPr>
              <w:t>100%</w:t>
            </w:r>
          </w:p>
        </w:tc>
        <w:tc>
          <w:tcPr>
            <w:tcW w:w="699" w:type="pct"/>
          </w:tcPr>
          <w:p w14:paraId="25FC2864" w14:textId="77777777" w:rsidR="00B17BCE" w:rsidRPr="00E018E7" w:rsidRDefault="00B17BCE" w:rsidP="00E52836">
            <w:pPr>
              <w:spacing w:after="0" w:line="240" w:lineRule="auto"/>
              <w:jc w:val="center"/>
              <w:rPr>
                <w:color w:val="000000"/>
                <w:sz w:val="22"/>
              </w:rPr>
            </w:pPr>
            <w:r w:rsidRPr="00E018E7">
              <w:rPr>
                <w:color w:val="000000"/>
                <w:sz w:val="22"/>
              </w:rPr>
              <w:t>100%</w:t>
            </w:r>
          </w:p>
        </w:tc>
        <w:tc>
          <w:tcPr>
            <w:tcW w:w="760" w:type="pct"/>
          </w:tcPr>
          <w:p w14:paraId="55A64597" w14:textId="77777777" w:rsidR="00B17BCE" w:rsidRPr="00E018E7" w:rsidRDefault="00B17BCE" w:rsidP="00E52836">
            <w:pPr>
              <w:spacing w:after="0" w:line="240" w:lineRule="auto"/>
              <w:jc w:val="center"/>
              <w:rPr>
                <w:color w:val="000000"/>
                <w:sz w:val="22"/>
              </w:rPr>
            </w:pPr>
            <w:r w:rsidRPr="00E018E7">
              <w:rPr>
                <w:color w:val="000000"/>
                <w:sz w:val="22"/>
              </w:rPr>
              <w:t>100%</w:t>
            </w:r>
          </w:p>
        </w:tc>
      </w:tr>
      <w:tr w:rsidR="00B17BCE" w:rsidRPr="00E018E7" w14:paraId="3355F7C9"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37D78F80" w14:textId="02238FAD" w:rsidR="00B17BCE" w:rsidRPr="00E018E7" w:rsidRDefault="00B17BCE" w:rsidP="00E52836">
            <w:pPr>
              <w:spacing w:after="0" w:line="240" w:lineRule="auto"/>
              <w:rPr>
                <w:color w:val="000000"/>
                <w:sz w:val="22"/>
              </w:rPr>
            </w:pPr>
            <w:r w:rsidRPr="00E018E7">
              <w:rPr>
                <w:color w:val="000000"/>
                <w:sz w:val="22"/>
              </w:rPr>
              <w:t>Nombre total de bureaux d'accueil et de renseignement des juridiction</w:t>
            </w:r>
            <w:r w:rsidR="00D2658D">
              <w:rPr>
                <w:color w:val="000000"/>
                <w:sz w:val="22"/>
              </w:rPr>
              <w:t>s</w:t>
            </w:r>
            <w:r w:rsidRPr="00E018E7">
              <w:rPr>
                <w:color w:val="000000"/>
                <w:sz w:val="22"/>
              </w:rPr>
              <w:t xml:space="preserve"> fonctionnel</w:t>
            </w:r>
            <w:r w:rsidR="00D2658D">
              <w:rPr>
                <w:color w:val="000000"/>
                <w:sz w:val="22"/>
              </w:rPr>
              <w:t>le</w:t>
            </w:r>
            <w:r w:rsidRPr="00E018E7">
              <w:rPr>
                <w:color w:val="000000"/>
                <w:sz w:val="22"/>
              </w:rPr>
              <w:t>s</w:t>
            </w:r>
          </w:p>
        </w:tc>
        <w:tc>
          <w:tcPr>
            <w:tcW w:w="699" w:type="pct"/>
          </w:tcPr>
          <w:p w14:paraId="63A8E7EE" w14:textId="77777777" w:rsidR="00B17BCE" w:rsidRPr="00E018E7" w:rsidRDefault="00B17BCE" w:rsidP="00E52836">
            <w:pPr>
              <w:spacing w:after="0" w:line="240" w:lineRule="auto"/>
              <w:jc w:val="center"/>
              <w:rPr>
                <w:color w:val="000000"/>
                <w:sz w:val="22"/>
              </w:rPr>
            </w:pPr>
            <w:r w:rsidRPr="00E018E7">
              <w:rPr>
                <w:color w:val="000000"/>
                <w:sz w:val="22"/>
              </w:rPr>
              <w:t>18</w:t>
            </w:r>
          </w:p>
        </w:tc>
        <w:tc>
          <w:tcPr>
            <w:tcW w:w="699" w:type="pct"/>
          </w:tcPr>
          <w:p w14:paraId="61D68BC5" w14:textId="77777777" w:rsidR="00B17BCE" w:rsidRPr="00E018E7" w:rsidRDefault="00B17BCE" w:rsidP="00E52836">
            <w:pPr>
              <w:spacing w:after="0" w:line="240" w:lineRule="auto"/>
              <w:jc w:val="center"/>
              <w:rPr>
                <w:color w:val="000000"/>
                <w:sz w:val="22"/>
              </w:rPr>
            </w:pPr>
            <w:r w:rsidRPr="00E018E7">
              <w:rPr>
                <w:color w:val="000000"/>
                <w:sz w:val="22"/>
              </w:rPr>
              <w:t>20</w:t>
            </w:r>
          </w:p>
        </w:tc>
        <w:tc>
          <w:tcPr>
            <w:tcW w:w="760" w:type="pct"/>
          </w:tcPr>
          <w:p w14:paraId="7EBCFD7F" w14:textId="77777777" w:rsidR="00B17BCE" w:rsidRPr="00E018E7" w:rsidRDefault="00B17BCE" w:rsidP="00E52836">
            <w:pPr>
              <w:spacing w:after="0" w:line="240" w:lineRule="auto"/>
              <w:jc w:val="center"/>
              <w:rPr>
                <w:color w:val="000000"/>
                <w:sz w:val="22"/>
              </w:rPr>
            </w:pPr>
            <w:r w:rsidRPr="00E018E7">
              <w:rPr>
                <w:color w:val="000000"/>
                <w:sz w:val="22"/>
              </w:rPr>
              <w:t>22</w:t>
            </w:r>
          </w:p>
        </w:tc>
      </w:tr>
      <w:tr w:rsidR="00B17BCE" w:rsidRPr="00E018E7" w14:paraId="7A4597DE" w14:textId="77777777" w:rsidTr="00F175A7">
        <w:trPr>
          <w:trHeight w:val="20"/>
        </w:trPr>
        <w:tc>
          <w:tcPr>
            <w:tcW w:w="2842" w:type="pct"/>
          </w:tcPr>
          <w:p w14:paraId="040F9D3C" w14:textId="77777777" w:rsidR="00B17BCE" w:rsidRPr="00E018E7" w:rsidRDefault="00B17BCE" w:rsidP="00E52836">
            <w:pPr>
              <w:spacing w:after="0" w:line="240" w:lineRule="auto"/>
              <w:rPr>
                <w:color w:val="000000"/>
                <w:sz w:val="22"/>
              </w:rPr>
            </w:pPr>
            <w:r w:rsidRPr="00E018E7">
              <w:rPr>
                <w:color w:val="000000"/>
                <w:sz w:val="22"/>
              </w:rPr>
              <w:t xml:space="preserve">Nombre de nouvelles applications métiers de la justice développées </w:t>
            </w:r>
          </w:p>
        </w:tc>
        <w:tc>
          <w:tcPr>
            <w:tcW w:w="699" w:type="pct"/>
          </w:tcPr>
          <w:p w14:paraId="660FB7A6" w14:textId="77777777" w:rsidR="00B17BCE" w:rsidRPr="00E018E7" w:rsidRDefault="00B17BCE" w:rsidP="00E52836">
            <w:pPr>
              <w:spacing w:after="0" w:line="240" w:lineRule="auto"/>
              <w:jc w:val="center"/>
              <w:rPr>
                <w:color w:val="000000"/>
                <w:sz w:val="22"/>
              </w:rPr>
            </w:pPr>
            <w:r w:rsidRPr="00E018E7">
              <w:rPr>
                <w:color w:val="000000"/>
                <w:sz w:val="22"/>
              </w:rPr>
              <w:t>5</w:t>
            </w:r>
          </w:p>
        </w:tc>
        <w:tc>
          <w:tcPr>
            <w:tcW w:w="699" w:type="pct"/>
          </w:tcPr>
          <w:p w14:paraId="040545A2" w14:textId="77777777" w:rsidR="00B17BCE" w:rsidRPr="00E018E7" w:rsidRDefault="00B17BCE" w:rsidP="00E52836">
            <w:pPr>
              <w:spacing w:after="0" w:line="240" w:lineRule="auto"/>
              <w:jc w:val="center"/>
              <w:rPr>
                <w:color w:val="000000"/>
                <w:sz w:val="22"/>
              </w:rPr>
            </w:pPr>
            <w:r w:rsidRPr="00E018E7">
              <w:rPr>
                <w:color w:val="000000"/>
                <w:sz w:val="22"/>
              </w:rPr>
              <w:t>1</w:t>
            </w:r>
          </w:p>
        </w:tc>
        <w:tc>
          <w:tcPr>
            <w:tcW w:w="760" w:type="pct"/>
          </w:tcPr>
          <w:p w14:paraId="594D01A9" w14:textId="77777777" w:rsidR="00B17BCE" w:rsidRPr="00E018E7" w:rsidRDefault="00B17BCE" w:rsidP="00E52836">
            <w:pPr>
              <w:spacing w:after="0" w:line="240" w:lineRule="auto"/>
              <w:jc w:val="center"/>
              <w:rPr>
                <w:color w:val="000000"/>
                <w:sz w:val="22"/>
              </w:rPr>
            </w:pPr>
            <w:r w:rsidRPr="00E018E7">
              <w:rPr>
                <w:color w:val="000000"/>
                <w:sz w:val="22"/>
              </w:rPr>
              <w:t>2</w:t>
            </w:r>
          </w:p>
        </w:tc>
      </w:tr>
      <w:tr w:rsidR="00B17BCE" w:rsidRPr="00E018E7" w14:paraId="4ABC8F86"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5AE019EE" w14:textId="77777777" w:rsidR="00B17BCE" w:rsidRPr="00E018E7" w:rsidRDefault="00B17BCE" w:rsidP="00E52836">
            <w:pPr>
              <w:spacing w:after="0" w:line="240" w:lineRule="auto"/>
              <w:rPr>
                <w:color w:val="000000"/>
                <w:sz w:val="22"/>
              </w:rPr>
            </w:pPr>
            <w:r w:rsidRPr="00F175A7">
              <w:rPr>
                <w:color w:val="auto"/>
                <w:sz w:val="22"/>
              </w:rPr>
              <w:t xml:space="preserve">Nombre de juridictions pilotes où le logiciel de la chaîne </w:t>
            </w:r>
            <w:r w:rsidRPr="00E018E7">
              <w:rPr>
                <w:color w:val="000000"/>
                <w:sz w:val="22"/>
              </w:rPr>
              <w:t>administrative est déployé</w:t>
            </w:r>
          </w:p>
        </w:tc>
        <w:tc>
          <w:tcPr>
            <w:tcW w:w="699" w:type="pct"/>
          </w:tcPr>
          <w:p w14:paraId="624FAA15" w14:textId="77777777" w:rsidR="00B17BCE" w:rsidRPr="00E018E7" w:rsidRDefault="00B17BCE" w:rsidP="00E52836">
            <w:pPr>
              <w:spacing w:after="0" w:line="240" w:lineRule="auto"/>
              <w:jc w:val="center"/>
              <w:rPr>
                <w:color w:val="000000"/>
                <w:sz w:val="22"/>
              </w:rPr>
            </w:pPr>
            <w:r w:rsidRPr="00E018E7">
              <w:rPr>
                <w:color w:val="000000"/>
                <w:sz w:val="22"/>
              </w:rPr>
              <w:t>3</w:t>
            </w:r>
          </w:p>
        </w:tc>
        <w:tc>
          <w:tcPr>
            <w:tcW w:w="699" w:type="pct"/>
          </w:tcPr>
          <w:p w14:paraId="253CD3AD" w14:textId="77777777" w:rsidR="00B17BCE" w:rsidRPr="00E018E7" w:rsidRDefault="00B17BCE" w:rsidP="00E52836">
            <w:pPr>
              <w:spacing w:after="0" w:line="240" w:lineRule="auto"/>
              <w:jc w:val="center"/>
              <w:rPr>
                <w:color w:val="000000"/>
                <w:sz w:val="22"/>
              </w:rPr>
            </w:pPr>
            <w:r w:rsidRPr="00E018E7">
              <w:rPr>
                <w:color w:val="000000"/>
                <w:sz w:val="22"/>
              </w:rPr>
              <w:t>0</w:t>
            </w:r>
          </w:p>
        </w:tc>
        <w:tc>
          <w:tcPr>
            <w:tcW w:w="760" w:type="pct"/>
          </w:tcPr>
          <w:p w14:paraId="29916AD7" w14:textId="77777777" w:rsidR="00B17BCE" w:rsidRPr="00E018E7" w:rsidRDefault="00B17BCE" w:rsidP="00E52836">
            <w:pPr>
              <w:spacing w:after="0" w:line="240" w:lineRule="auto"/>
              <w:jc w:val="center"/>
              <w:rPr>
                <w:color w:val="000000"/>
                <w:sz w:val="22"/>
              </w:rPr>
            </w:pPr>
            <w:r w:rsidRPr="00E018E7">
              <w:rPr>
                <w:color w:val="000000"/>
                <w:sz w:val="22"/>
              </w:rPr>
              <w:t>1</w:t>
            </w:r>
          </w:p>
        </w:tc>
      </w:tr>
      <w:tr w:rsidR="00B17BCE" w:rsidRPr="00E018E7" w14:paraId="5B84186F" w14:textId="77777777" w:rsidTr="00F175A7">
        <w:trPr>
          <w:trHeight w:val="20"/>
        </w:trPr>
        <w:tc>
          <w:tcPr>
            <w:tcW w:w="2842" w:type="pct"/>
          </w:tcPr>
          <w:p w14:paraId="3EDAE437" w14:textId="122BACE6" w:rsidR="00B17BCE" w:rsidRPr="00E018E7" w:rsidRDefault="00B17BCE" w:rsidP="00F20278">
            <w:pPr>
              <w:spacing w:after="0" w:line="240" w:lineRule="auto"/>
              <w:rPr>
                <w:color w:val="000000"/>
                <w:sz w:val="22"/>
              </w:rPr>
            </w:pPr>
            <w:r w:rsidRPr="00E018E7">
              <w:rPr>
                <w:color w:val="000000"/>
                <w:sz w:val="22"/>
              </w:rPr>
              <w:t>Nombre de structures (ju</w:t>
            </w:r>
            <w:r w:rsidR="00F20278">
              <w:rPr>
                <w:color w:val="000000"/>
                <w:sz w:val="22"/>
              </w:rPr>
              <w:t xml:space="preserve">diciaires, </w:t>
            </w:r>
            <w:r w:rsidRPr="00E018E7">
              <w:rPr>
                <w:color w:val="000000"/>
                <w:sz w:val="22"/>
              </w:rPr>
              <w:t>pénitentiaires</w:t>
            </w:r>
            <w:r w:rsidR="00F20278">
              <w:rPr>
                <w:color w:val="000000"/>
                <w:sz w:val="22"/>
              </w:rPr>
              <w:t xml:space="preserve"> et droits humains</w:t>
            </w:r>
            <w:r w:rsidRPr="00E018E7">
              <w:rPr>
                <w:color w:val="000000"/>
                <w:sz w:val="22"/>
              </w:rPr>
              <w:t>) contrôlées</w:t>
            </w:r>
          </w:p>
        </w:tc>
        <w:tc>
          <w:tcPr>
            <w:tcW w:w="699" w:type="pct"/>
          </w:tcPr>
          <w:p w14:paraId="6E71F854" w14:textId="77777777" w:rsidR="00B17BCE" w:rsidRPr="00E018E7" w:rsidRDefault="00B17BCE" w:rsidP="00E52836">
            <w:pPr>
              <w:spacing w:after="0" w:line="240" w:lineRule="auto"/>
              <w:jc w:val="center"/>
              <w:rPr>
                <w:color w:val="000000"/>
                <w:sz w:val="22"/>
              </w:rPr>
            </w:pPr>
            <w:r w:rsidRPr="00E018E7">
              <w:rPr>
                <w:color w:val="000000"/>
                <w:sz w:val="22"/>
              </w:rPr>
              <w:t>17</w:t>
            </w:r>
          </w:p>
        </w:tc>
        <w:tc>
          <w:tcPr>
            <w:tcW w:w="699" w:type="pct"/>
          </w:tcPr>
          <w:p w14:paraId="2550B35E" w14:textId="77777777" w:rsidR="00B17BCE" w:rsidRPr="00E018E7" w:rsidRDefault="00B17BCE" w:rsidP="00E52836">
            <w:pPr>
              <w:spacing w:after="0" w:line="240" w:lineRule="auto"/>
              <w:jc w:val="center"/>
              <w:rPr>
                <w:color w:val="000000"/>
                <w:sz w:val="22"/>
              </w:rPr>
            </w:pPr>
            <w:r w:rsidRPr="00E018E7">
              <w:rPr>
                <w:color w:val="000000"/>
                <w:sz w:val="22"/>
              </w:rPr>
              <w:t>13</w:t>
            </w:r>
          </w:p>
        </w:tc>
        <w:tc>
          <w:tcPr>
            <w:tcW w:w="760" w:type="pct"/>
          </w:tcPr>
          <w:p w14:paraId="23FDD293" w14:textId="77777777" w:rsidR="00B17BCE" w:rsidRPr="00E018E7" w:rsidRDefault="00B17BCE" w:rsidP="00E52836">
            <w:pPr>
              <w:spacing w:after="0" w:line="240" w:lineRule="auto"/>
              <w:jc w:val="center"/>
              <w:rPr>
                <w:color w:val="000000"/>
                <w:sz w:val="22"/>
              </w:rPr>
            </w:pPr>
            <w:r w:rsidRPr="00E018E7">
              <w:rPr>
                <w:color w:val="000000"/>
                <w:sz w:val="22"/>
              </w:rPr>
              <w:t>11</w:t>
            </w:r>
          </w:p>
        </w:tc>
      </w:tr>
      <w:tr w:rsidR="00B17BCE" w:rsidRPr="00E018E7" w14:paraId="28E6BFAB"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75AA3BA7" w14:textId="77777777" w:rsidR="00B17BCE" w:rsidRPr="00E018E7" w:rsidRDefault="00B17BCE" w:rsidP="00E52836">
            <w:pPr>
              <w:spacing w:after="0" w:line="240" w:lineRule="auto"/>
              <w:rPr>
                <w:color w:val="000000"/>
                <w:sz w:val="22"/>
              </w:rPr>
            </w:pPr>
            <w:r w:rsidRPr="00E018E7">
              <w:rPr>
                <w:color w:val="000000"/>
                <w:sz w:val="22"/>
              </w:rPr>
              <w:t>Proportion des recommandations</w:t>
            </w:r>
            <w:r w:rsidRPr="00E018E7">
              <w:rPr>
                <w:sz w:val="22"/>
              </w:rPr>
              <w:t xml:space="preserve"> </w:t>
            </w:r>
            <w:r w:rsidRPr="00E018E7">
              <w:rPr>
                <w:color w:val="000000"/>
                <w:sz w:val="22"/>
              </w:rPr>
              <w:t>des rapports d'audit-contrôle des services judiciaires, pénitentiaires et des droits humains mises en œuvre</w:t>
            </w:r>
          </w:p>
        </w:tc>
        <w:tc>
          <w:tcPr>
            <w:tcW w:w="699" w:type="pct"/>
          </w:tcPr>
          <w:p w14:paraId="1EBF7400" w14:textId="77777777" w:rsidR="00B17BCE" w:rsidRPr="00E018E7" w:rsidRDefault="00B17BCE" w:rsidP="00E52836">
            <w:pPr>
              <w:spacing w:after="0" w:line="240" w:lineRule="auto"/>
              <w:jc w:val="center"/>
              <w:rPr>
                <w:color w:val="000000"/>
                <w:sz w:val="22"/>
              </w:rPr>
            </w:pPr>
            <w:r w:rsidRPr="00E018E7">
              <w:rPr>
                <w:color w:val="000000"/>
                <w:sz w:val="22"/>
              </w:rPr>
              <w:t>48%</w:t>
            </w:r>
          </w:p>
        </w:tc>
        <w:tc>
          <w:tcPr>
            <w:tcW w:w="699" w:type="pct"/>
          </w:tcPr>
          <w:p w14:paraId="31D1E111" w14:textId="77777777" w:rsidR="00B17BCE" w:rsidRPr="00E018E7" w:rsidRDefault="00B17BCE" w:rsidP="00E52836">
            <w:pPr>
              <w:spacing w:after="0" w:line="240" w:lineRule="auto"/>
              <w:jc w:val="center"/>
              <w:rPr>
                <w:color w:val="000000"/>
                <w:sz w:val="22"/>
              </w:rPr>
            </w:pPr>
            <w:r w:rsidRPr="00E018E7">
              <w:rPr>
                <w:color w:val="000000"/>
                <w:sz w:val="22"/>
              </w:rPr>
              <w:t>ND</w:t>
            </w:r>
          </w:p>
        </w:tc>
        <w:tc>
          <w:tcPr>
            <w:tcW w:w="760" w:type="pct"/>
          </w:tcPr>
          <w:p w14:paraId="5BB42470" w14:textId="77777777" w:rsidR="00B17BCE" w:rsidRPr="00E018E7" w:rsidRDefault="00B17BCE" w:rsidP="00E52836">
            <w:pPr>
              <w:spacing w:after="0" w:line="240" w:lineRule="auto"/>
              <w:jc w:val="center"/>
              <w:rPr>
                <w:color w:val="000000"/>
                <w:sz w:val="22"/>
              </w:rPr>
            </w:pPr>
            <w:r w:rsidRPr="00E018E7">
              <w:rPr>
                <w:color w:val="000000"/>
                <w:sz w:val="22"/>
              </w:rPr>
              <w:t>50%</w:t>
            </w:r>
          </w:p>
        </w:tc>
      </w:tr>
      <w:tr w:rsidR="00B17BCE" w:rsidRPr="00E018E7" w14:paraId="007BF693" w14:textId="77777777" w:rsidTr="00F175A7">
        <w:trPr>
          <w:trHeight w:val="20"/>
        </w:trPr>
        <w:tc>
          <w:tcPr>
            <w:tcW w:w="2842" w:type="pct"/>
          </w:tcPr>
          <w:p w14:paraId="3753DAF0" w14:textId="75311726" w:rsidR="00B17BCE" w:rsidRPr="00E018E7" w:rsidRDefault="00B17BCE" w:rsidP="00E52836">
            <w:pPr>
              <w:spacing w:after="0" w:line="240" w:lineRule="auto"/>
              <w:rPr>
                <w:color w:val="000000"/>
                <w:sz w:val="22"/>
              </w:rPr>
            </w:pPr>
            <w:r w:rsidRPr="00E018E7">
              <w:rPr>
                <w:color w:val="000000"/>
                <w:sz w:val="22"/>
              </w:rPr>
              <w:t>Nombre d'études d’</w:t>
            </w:r>
            <w:r w:rsidR="00D2658D">
              <w:rPr>
                <w:color w:val="000000"/>
                <w:sz w:val="22"/>
              </w:rPr>
              <w:t>o</w:t>
            </w:r>
            <w:r w:rsidRPr="00E018E7">
              <w:rPr>
                <w:color w:val="000000"/>
                <w:sz w:val="22"/>
              </w:rPr>
              <w:t>fficiers publics judiciaires contrôlées</w:t>
            </w:r>
          </w:p>
        </w:tc>
        <w:tc>
          <w:tcPr>
            <w:tcW w:w="699" w:type="pct"/>
          </w:tcPr>
          <w:p w14:paraId="2702FE88" w14:textId="77777777" w:rsidR="00B17BCE" w:rsidRPr="00E018E7" w:rsidRDefault="00B17BCE" w:rsidP="00E52836">
            <w:pPr>
              <w:spacing w:after="0" w:line="240" w:lineRule="auto"/>
              <w:jc w:val="center"/>
              <w:rPr>
                <w:color w:val="000000"/>
                <w:sz w:val="22"/>
              </w:rPr>
            </w:pPr>
            <w:r w:rsidRPr="00E018E7">
              <w:rPr>
                <w:color w:val="000000"/>
                <w:sz w:val="22"/>
              </w:rPr>
              <w:t>10</w:t>
            </w:r>
          </w:p>
        </w:tc>
        <w:tc>
          <w:tcPr>
            <w:tcW w:w="699" w:type="pct"/>
          </w:tcPr>
          <w:p w14:paraId="38EB7CFA" w14:textId="77777777" w:rsidR="00B17BCE" w:rsidRPr="00E018E7" w:rsidRDefault="00B17BCE" w:rsidP="00E52836">
            <w:pPr>
              <w:spacing w:after="0" w:line="240" w:lineRule="auto"/>
              <w:jc w:val="center"/>
              <w:rPr>
                <w:color w:val="000000"/>
                <w:sz w:val="22"/>
              </w:rPr>
            </w:pPr>
            <w:r w:rsidRPr="00E018E7">
              <w:rPr>
                <w:color w:val="000000"/>
                <w:sz w:val="22"/>
              </w:rPr>
              <w:t>29</w:t>
            </w:r>
          </w:p>
        </w:tc>
        <w:tc>
          <w:tcPr>
            <w:tcW w:w="760" w:type="pct"/>
          </w:tcPr>
          <w:p w14:paraId="3D2646EE" w14:textId="77777777" w:rsidR="00B17BCE" w:rsidRPr="00E018E7" w:rsidRDefault="00B17BCE" w:rsidP="00E52836">
            <w:pPr>
              <w:spacing w:after="0" w:line="240" w:lineRule="auto"/>
              <w:jc w:val="center"/>
              <w:rPr>
                <w:color w:val="000000"/>
                <w:sz w:val="22"/>
              </w:rPr>
            </w:pPr>
            <w:r w:rsidRPr="00E018E7">
              <w:rPr>
                <w:color w:val="000000"/>
                <w:sz w:val="22"/>
              </w:rPr>
              <w:t>10</w:t>
            </w:r>
          </w:p>
        </w:tc>
      </w:tr>
      <w:tr w:rsidR="00B17BCE" w:rsidRPr="00E018E7" w14:paraId="515F3623"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2EAF1E46" w14:textId="7751FFAB" w:rsidR="00B17BCE" w:rsidRPr="00E018E7" w:rsidRDefault="00B17BCE" w:rsidP="00E52836">
            <w:pPr>
              <w:spacing w:after="0" w:line="240" w:lineRule="auto"/>
              <w:rPr>
                <w:color w:val="000000"/>
                <w:sz w:val="22"/>
              </w:rPr>
            </w:pPr>
            <w:r w:rsidRPr="00E018E7">
              <w:rPr>
                <w:color w:val="000000"/>
                <w:sz w:val="22"/>
              </w:rPr>
              <w:t xml:space="preserve">Taux d'exécution du programme de recrutement du personnel de la </w:t>
            </w:r>
            <w:r w:rsidR="00D2658D">
              <w:rPr>
                <w:color w:val="000000"/>
                <w:sz w:val="22"/>
              </w:rPr>
              <w:t>j</w:t>
            </w:r>
            <w:r w:rsidRPr="00E018E7">
              <w:rPr>
                <w:color w:val="000000"/>
                <w:sz w:val="22"/>
              </w:rPr>
              <w:t>ustice  autorisé (%)</w:t>
            </w:r>
          </w:p>
        </w:tc>
        <w:tc>
          <w:tcPr>
            <w:tcW w:w="699" w:type="pct"/>
          </w:tcPr>
          <w:p w14:paraId="0F29381A" w14:textId="77777777" w:rsidR="00B17BCE" w:rsidRPr="00E018E7" w:rsidRDefault="00B17BCE" w:rsidP="00E52836">
            <w:pPr>
              <w:spacing w:after="0" w:line="240" w:lineRule="auto"/>
              <w:jc w:val="center"/>
              <w:rPr>
                <w:color w:val="000000"/>
                <w:sz w:val="22"/>
              </w:rPr>
            </w:pPr>
            <w:r w:rsidRPr="00E018E7">
              <w:rPr>
                <w:color w:val="000000"/>
                <w:sz w:val="22"/>
              </w:rPr>
              <w:t>100%</w:t>
            </w:r>
          </w:p>
        </w:tc>
        <w:tc>
          <w:tcPr>
            <w:tcW w:w="699" w:type="pct"/>
          </w:tcPr>
          <w:p w14:paraId="3B5A062A" w14:textId="77777777" w:rsidR="00B17BCE" w:rsidRPr="00E018E7" w:rsidRDefault="00B17BCE" w:rsidP="00E52836">
            <w:pPr>
              <w:spacing w:after="0" w:line="240" w:lineRule="auto"/>
              <w:jc w:val="center"/>
              <w:rPr>
                <w:color w:val="000000"/>
                <w:sz w:val="22"/>
              </w:rPr>
            </w:pPr>
            <w:r w:rsidRPr="00E018E7">
              <w:rPr>
                <w:color w:val="000000"/>
                <w:sz w:val="22"/>
              </w:rPr>
              <w:t>89%</w:t>
            </w:r>
          </w:p>
        </w:tc>
        <w:tc>
          <w:tcPr>
            <w:tcW w:w="760" w:type="pct"/>
          </w:tcPr>
          <w:p w14:paraId="07AB4ABF" w14:textId="77777777" w:rsidR="00B17BCE" w:rsidRPr="00E018E7" w:rsidRDefault="00B17BCE" w:rsidP="00E52836">
            <w:pPr>
              <w:spacing w:after="0" w:line="240" w:lineRule="auto"/>
              <w:jc w:val="center"/>
              <w:rPr>
                <w:color w:val="000000"/>
                <w:sz w:val="22"/>
              </w:rPr>
            </w:pPr>
            <w:r w:rsidRPr="00E018E7">
              <w:rPr>
                <w:color w:val="000000"/>
                <w:sz w:val="22"/>
              </w:rPr>
              <w:t>100%</w:t>
            </w:r>
          </w:p>
        </w:tc>
      </w:tr>
      <w:tr w:rsidR="00B17BCE" w:rsidRPr="00E018E7" w14:paraId="7752A302" w14:textId="77777777" w:rsidTr="00F175A7">
        <w:trPr>
          <w:trHeight w:val="20"/>
        </w:trPr>
        <w:tc>
          <w:tcPr>
            <w:tcW w:w="2842" w:type="pct"/>
          </w:tcPr>
          <w:p w14:paraId="4CACB1C2" w14:textId="0712A341" w:rsidR="00B17BCE" w:rsidRPr="00E018E7" w:rsidRDefault="00B17BCE" w:rsidP="00E52836">
            <w:pPr>
              <w:spacing w:after="0" w:line="240" w:lineRule="auto"/>
              <w:rPr>
                <w:color w:val="000000"/>
                <w:sz w:val="22"/>
              </w:rPr>
            </w:pPr>
            <w:r w:rsidRPr="00E018E7">
              <w:rPr>
                <w:color w:val="000000"/>
                <w:sz w:val="22"/>
              </w:rPr>
              <w:t>Nombre de TD/TA dont les capacités techniques ont été renforcé</w:t>
            </w:r>
            <w:r w:rsidR="00D2658D">
              <w:rPr>
                <w:color w:val="000000"/>
                <w:sz w:val="22"/>
              </w:rPr>
              <w:t>e</w:t>
            </w:r>
            <w:r w:rsidRPr="00E018E7">
              <w:rPr>
                <w:color w:val="000000"/>
                <w:sz w:val="22"/>
              </w:rPr>
              <w:t>s</w:t>
            </w:r>
          </w:p>
        </w:tc>
        <w:tc>
          <w:tcPr>
            <w:tcW w:w="699" w:type="pct"/>
          </w:tcPr>
          <w:p w14:paraId="182C3F8A" w14:textId="77777777" w:rsidR="00B17BCE" w:rsidRPr="00E018E7" w:rsidRDefault="00B17BCE" w:rsidP="00E52836">
            <w:pPr>
              <w:spacing w:after="0" w:line="240" w:lineRule="auto"/>
              <w:jc w:val="center"/>
              <w:rPr>
                <w:color w:val="000000"/>
                <w:sz w:val="22"/>
              </w:rPr>
            </w:pPr>
            <w:r w:rsidRPr="00E018E7">
              <w:rPr>
                <w:color w:val="000000"/>
                <w:sz w:val="22"/>
              </w:rPr>
              <w:t>69</w:t>
            </w:r>
          </w:p>
        </w:tc>
        <w:tc>
          <w:tcPr>
            <w:tcW w:w="699" w:type="pct"/>
          </w:tcPr>
          <w:p w14:paraId="748E3F5C" w14:textId="77777777" w:rsidR="00B17BCE" w:rsidRPr="00E018E7" w:rsidRDefault="00B17BCE" w:rsidP="00E52836">
            <w:pPr>
              <w:spacing w:after="0" w:line="240" w:lineRule="auto"/>
              <w:jc w:val="center"/>
              <w:rPr>
                <w:color w:val="000000"/>
                <w:sz w:val="22"/>
              </w:rPr>
            </w:pPr>
            <w:r w:rsidRPr="00E018E7">
              <w:rPr>
                <w:color w:val="000000"/>
                <w:sz w:val="22"/>
              </w:rPr>
              <w:t>29</w:t>
            </w:r>
          </w:p>
        </w:tc>
        <w:tc>
          <w:tcPr>
            <w:tcW w:w="760" w:type="pct"/>
          </w:tcPr>
          <w:p w14:paraId="1021AF66" w14:textId="77777777" w:rsidR="00B17BCE" w:rsidRPr="00E018E7" w:rsidRDefault="00B17BCE" w:rsidP="00E52836">
            <w:pPr>
              <w:spacing w:after="0" w:line="240" w:lineRule="auto"/>
              <w:jc w:val="center"/>
              <w:rPr>
                <w:color w:val="000000"/>
                <w:sz w:val="22"/>
              </w:rPr>
            </w:pPr>
            <w:r w:rsidRPr="00E018E7">
              <w:rPr>
                <w:color w:val="000000"/>
                <w:sz w:val="22"/>
              </w:rPr>
              <w:t>50</w:t>
            </w:r>
          </w:p>
        </w:tc>
      </w:tr>
      <w:tr w:rsidR="00B17BCE" w:rsidRPr="00E018E7" w14:paraId="1B1749FE"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38448474" w14:textId="77777777" w:rsidR="00B17BCE" w:rsidRPr="00E018E7" w:rsidRDefault="00B17BCE" w:rsidP="00E52836">
            <w:pPr>
              <w:spacing w:after="0" w:line="240" w:lineRule="auto"/>
              <w:rPr>
                <w:color w:val="000000"/>
                <w:sz w:val="22"/>
              </w:rPr>
            </w:pPr>
            <w:r w:rsidRPr="00E018E7">
              <w:rPr>
                <w:color w:val="000000"/>
                <w:sz w:val="22"/>
              </w:rPr>
              <w:t>Proportion des structures</w:t>
            </w:r>
            <w:r w:rsidRPr="00E018E7">
              <w:rPr>
                <w:sz w:val="22"/>
              </w:rPr>
              <w:t xml:space="preserve"> </w:t>
            </w:r>
            <w:r w:rsidRPr="00E018E7">
              <w:rPr>
                <w:color w:val="000000"/>
                <w:sz w:val="22"/>
              </w:rPr>
              <w:t xml:space="preserve">administratives du ministère de la Justice ayant obtenu la moyenne  </w:t>
            </w:r>
          </w:p>
        </w:tc>
        <w:tc>
          <w:tcPr>
            <w:tcW w:w="699" w:type="pct"/>
          </w:tcPr>
          <w:p w14:paraId="379A3261" w14:textId="77777777" w:rsidR="00B17BCE" w:rsidRPr="00E018E7" w:rsidRDefault="00B17BCE" w:rsidP="00E52836">
            <w:pPr>
              <w:spacing w:after="0" w:line="240" w:lineRule="auto"/>
              <w:jc w:val="center"/>
              <w:rPr>
                <w:color w:val="000000"/>
                <w:sz w:val="22"/>
              </w:rPr>
            </w:pPr>
            <w:r w:rsidRPr="00E018E7">
              <w:rPr>
                <w:color w:val="000000"/>
                <w:sz w:val="22"/>
              </w:rPr>
              <w:t>72,50%</w:t>
            </w:r>
          </w:p>
        </w:tc>
        <w:tc>
          <w:tcPr>
            <w:tcW w:w="699" w:type="pct"/>
          </w:tcPr>
          <w:p w14:paraId="318B7DB8" w14:textId="77777777" w:rsidR="00B17BCE" w:rsidRPr="00E018E7" w:rsidRDefault="00B17BCE" w:rsidP="00E52836">
            <w:pPr>
              <w:spacing w:after="0" w:line="240" w:lineRule="auto"/>
              <w:jc w:val="center"/>
              <w:rPr>
                <w:color w:val="000000"/>
                <w:sz w:val="22"/>
              </w:rPr>
            </w:pPr>
            <w:r w:rsidRPr="00E018E7">
              <w:rPr>
                <w:color w:val="000000"/>
                <w:sz w:val="22"/>
              </w:rPr>
              <w:t>89,18%</w:t>
            </w:r>
          </w:p>
        </w:tc>
        <w:tc>
          <w:tcPr>
            <w:tcW w:w="760" w:type="pct"/>
          </w:tcPr>
          <w:p w14:paraId="4F62C473" w14:textId="77777777" w:rsidR="00B17BCE" w:rsidRPr="00E018E7" w:rsidRDefault="00B17BCE" w:rsidP="00E52836">
            <w:pPr>
              <w:spacing w:after="0" w:line="240" w:lineRule="auto"/>
              <w:jc w:val="center"/>
              <w:rPr>
                <w:color w:val="000000"/>
                <w:sz w:val="22"/>
              </w:rPr>
            </w:pPr>
            <w:r w:rsidRPr="00E018E7">
              <w:rPr>
                <w:color w:val="000000"/>
                <w:sz w:val="22"/>
              </w:rPr>
              <w:t>85%</w:t>
            </w:r>
          </w:p>
        </w:tc>
      </w:tr>
      <w:tr w:rsidR="00B17BCE" w:rsidRPr="00E018E7" w14:paraId="1D6152AF" w14:textId="77777777" w:rsidTr="00F175A7">
        <w:trPr>
          <w:trHeight w:val="20"/>
        </w:trPr>
        <w:tc>
          <w:tcPr>
            <w:tcW w:w="2842" w:type="pct"/>
          </w:tcPr>
          <w:p w14:paraId="677E636C" w14:textId="1FCA2E7F" w:rsidR="00B17BCE" w:rsidRPr="00E018E7" w:rsidRDefault="00B17BCE" w:rsidP="00E52836">
            <w:pPr>
              <w:spacing w:after="0" w:line="240" w:lineRule="auto"/>
              <w:rPr>
                <w:color w:val="000000"/>
                <w:sz w:val="22"/>
              </w:rPr>
            </w:pPr>
            <w:r w:rsidRPr="00E018E7">
              <w:rPr>
                <w:color w:val="000000"/>
                <w:sz w:val="22"/>
              </w:rPr>
              <w:t xml:space="preserve">Nombre de </w:t>
            </w:r>
            <w:r w:rsidRPr="00F175A7">
              <w:rPr>
                <w:color w:val="auto"/>
                <w:sz w:val="22"/>
              </w:rPr>
              <w:t xml:space="preserve">manuels de prestations </w:t>
            </w:r>
            <w:r w:rsidRPr="00E018E7">
              <w:rPr>
                <w:color w:val="000000"/>
                <w:sz w:val="22"/>
              </w:rPr>
              <w:t>d</w:t>
            </w:r>
            <w:r w:rsidR="00D2658D">
              <w:rPr>
                <w:color w:val="000000"/>
                <w:sz w:val="22"/>
              </w:rPr>
              <w:t>e</w:t>
            </w:r>
            <w:r w:rsidRPr="00E018E7">
              <w:rPr>
                <w:color w:val="000000"/>
                <w:sz w:val="22"/>
              </w:rPr>
              <w:t xml:space="preserve"> service de la justice et des droits humains élaborés</w:t>
            </w:r>
          </w:p>
        </w:tc>
        <w:tc>
          <w:tcPr>
            <w:tcW w:w="699" w:type="pct"/>
          </w:tcPr>
          <w:p w14:paraId="76B91161" w14:textId="77777777" w:rsidR="00B17BCE" w:rsidRPr="00E018E7" w:rsidRDefault="00B17BCE" w:rsidP="00E52836">
            <w:pPr>
              <w:spacing w:after="0" w:line="240" w:lineRule="auto"/>
              <w:jc w:val="center"/>
              <w:rPr>
                <w:color w:val="000000"/>
                <w:sz w:val="22"/>
              </w:rPr>
            </w:pPr>
            <w:r w:rsidRPr="00E018E7">
              <w:rPr>
                <w:color w:val="000000"/>
                <w:sz w:val="22"/>
              </w:rPr>
              <w:t>1</w:t>
            </w:r>
          </w:p>
        </w:tc>
        <w:tc>
          <w:tcPr>
            <w:tcW w:w="699" w:type="pct"/>
          </w:tcPr>
          <w:p w14:paraId="34DCACB3" w14:textId="77777777" w:rsidR="00B17BCE" w:rsidRPr="00E018E7" w:rsidRDefault="00B17BCE" w:rsidP="00E52836">
            <w:pPr>
              <w:spacing w:after="0" w:line="240" w:lineRule="auto"/>
              <w:jc w:val="center"/>
              <w:rPr>
                <w:color w:val="000000"/>
                <w:sz w:val="22"/>
              </w:rPr>
            </w:pPr>
            <w:r w:rsidRPr="00E018E7">
              <w:rPr>
                <w:color w:val="000000"/>
                <w:sz w:val="22"/>
              </w:rPr>
              <w:t>2</w:t>
            </w:r>
          </w:p>
        </w:tc>
        <w:tc>
          <w:tcPr>
            <w:tcW w:w="760" w:type="pct"/>
          </w:tcPr>
          <w:p w14:paraId="10DA2F9D" w14:textId="77777777" w:rsidR="00B17BCE" w:rsidRPr="00E018E7" w:rsidRDefault="00B17BCE" w:rsidP="00E52836">
            <w:pPr>
              <w:spacing w:after="0" w:line="240" w:lineRule="auto"/>
              <w:jc w:val="center"/>
              <w:rPr>
                <w:color w:val="000000"/>
                <w:sz w:val="22"/>
              </w:rPr>
            </w:pPr>
            <w:r w:rsidRPr="00E018E7">
              <w:rPr>
                <w:color w:val="000000"/>
                <w:sz w:val="22"/>
              </w:rPr>
              <w:t>1</w:t>
            </w:r>
          </w:p>
        </w:tc>
      </w:tr>
      <w:tr w:rsidR="00B17BCE" w:rsidRPr="00E018E7" w14:paraId="7AF6F3D3"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39ADC357" w14:textId="77777777" w:rsidR="00B17BCE" w:rsidRPr="00E018E7" w:rsidRDefault="00B17BCE" w:rsidP="00E52836">
            <w:pPr>
              <w:spacing w:after="0" w:line="240" w:lineRule="auto"/>
              <w:rPr>
                <w:color w:val="000000"/>
                <w:sz w:val="22"/>
              </w:rPr>
            </w:pPr>
            <w:r w:rsidRPr="00E018E7">
              <w:rPr>
                <w:color w:val="000000"/>
                <w:sz w:val="22"/>
              </w:rPr>
              <w:t>Nombre de structures judiciaires et des droits humains dont les archives sont organisées</w:t>
            </w:r>
          </w:p>
        </w:tc>
        <w:tc>
          <w:tcPr>
            <w:tcW w:w="699" w:type="pct"/>
          </w:tcPr>
          <w:p w14:paraId="5A2BAA2F" w14:textId="77777777" w:rsidR="00B17BCE" w:rsidRPr="00E018E7" w:rsidRDefault="00B17BCE" w:rsidP="00E52836">
            <w:pPr>
              <w:spacing w:after="0" w:line="240" w:lineRule="auto"/>
              <w:jc w:val="center"/>
              <w:rPr>
                <w:color w:val="000000"/>
                <w:sz w:val="22"/>
              </w:rPr>
            </w:pPr>
            <w:r w:rsidRPr="00E018E7">
              <w:rPr>
                <w:color w:val="000000"/>
                <w:sz w:val="22"/>
              </w:rPr>
              <w:t>2</w:t>
            </w:r>
          </w:p>
        </w:tc>
        <w:tc>
          <w:tcPr>
            <w:tcW w:w="699" w:type="pct"/>
          </w:tcPr>
          <w:p w14:paraId="582CB526" w14:textId="77777777" w:rsidR="00B17BCE" w:rsidRPr="00E018E7" w:rsidRDefault="00B17BCE" w:rsidP="00E52836">
            <w:pPr>
              <w:spacing w:after="0" w:line="240" w:lineRule="auto"/>
              <w:jc w:val="center"/>
              <w:rPr>
                <w:color w:val="000000"/>
                <w:sz w:val="22"/>
              </w:rPr>
            </w:pPr>
            <w:r w:rsidRPr="00E018E7">
              <w:rPr>
                <w:color w:val="000000"/>
                <w:sz w:val="22"/>
              </w:rPr>
              <w:t>3</w:t>
            </w:r>
          </w:p>
        </w:tc>
        <w:tc>
          <w:tcPr>
            <w:tcW w:w="760" w:type="pct"/>
          </w:tcPr>
          <w:p w14:paraId="462E581C" w14:textId="77777777" w:rsidR="00B17BCE" w:rsidRPr="00E018E7" w:rsidRDefault="00B17BCE" w:rsidP="00E52836">
            <w:pPr>
              <w:spacing w:after="0" w:line="240" w:lineRule="auto"/>
              <w:jc w:val="center"/>
              <w:rPr>
                <w:color w:val="000000"/>
                <w:sz w:val="22"/>
              </w:rPr>
            </w:pPr>
            <w:r w:rsidRPr="00E018E7">
              <w:rPr>
                <w:color w:val="000000"/>
                <w:sz w:val="22"/>
              </w:rPr>
              <w:t>2</w:t>
            </w:r>
          </w:p>
        </w:tc>
      </w:tr>
      <w:tr w:rsidR="00B17BCE" w:rsidRPr="00E018E7" w14:paraId="769D7649" w14:textId="77777777" w:rsidTr="00F175A7">
        <w:trPr>
          <w:trHeight w:val="20"/>
        </w:trPr>
        <w:tc>
          <w:tcPr>
            <w:tcW w:w="2842" w:type="pct"/>
          </w:tcPr>
          <w:p w14:paraId="6EF4D4B2" w14:textId="77777777" w:rsidR="00B17BCE" w:rsidRPr="00E018E7" w:rsidRDefault="00B17BCE" w:rsidP="00E52836">
            <w:pPr>
              <w:spacing w:after="0" w:line="240" w:lineRule="auto"/>
              <w:rPr>
                <w:color w:val="000000"/>
                <w:sz w:val="22"/>
              </w:rPr>
            </w:pPr>
            <w:r w:rsidRPr="00E018E7">
              <w:rPr>
                <w:color w:val="000000"/>
                <w:sz w:val="22"/>
              </w:rPr>
              <w:t>Taux de recouvrement des amendes</w:t>
            </w:r>
          </w:p>
        </w:tc>
        <w:tc>
          <w:tcPr>
            <w:tcW w:w="699" w:type="pct"/>
          </w:tcPr>
          <w:p w14:paraId="419091FF" w14:textId="77777777" w:rsidR="00B17BCE" w:rsidRPr="00E018E7" w:rsidRDefault="00B17BCE" w:rsidP="00E52836">
            <w:pPr>
              <w:spacing w:after="0" w:line="240" w:lineRule="auto"/>
              <w:jc w:val="center"/>
              <w:rPr>
                <w:color w:val="000000"/>
                <w:sz w:val="22"/>
              </w:rPr>
            </w:pPr>
            <w:r w:rsidRPr="00E018E7">
              <w:rPr>
                <w:color w:val="000000"/>
                <w:sz w:val="22"/>
              </w:rPr>
              <w:t>35%</w:t>
            </w:r>
          </w:p>
        </w:tc>
        <w:tc>
          <w:tcPr>
            <w:tcW w:w="699" w:type="pct"/>
          </w:tcPr>
          <w:p w14:paraId="623DBBAD" w14:textId="77777777" w:rsidR="00B17BCE" w:rsidRPr="00E018E7" w:rsidRDefault="00B17BCE" w:rsidP="00E52836">
            <w:pPr>
              <w:spacing w:after="0" w:line="240" w:lineRule="auto"/>
              <w:jc w:val="center"/>
              <w:rPr>
                <w:color w:val="000000"/>
                <w:sz w:val="22"/>
              </w:rPr>
            </w:pPr>
            <w:r w:rsidRPr="00E018E7">
              <w:rPr>
                <w:color w:val="000000"/>
                <w:sz w:val="22"/>
              </w:rPr>
              <w:t>84,5%</w:t>
            </w:r>
          </w:p>
        </w:tc>
        <w:tc>
          <w:tcPr>
            <w:tcW w:w="760" w:type="pct"/>
          </w:tcPr>
          <w:p w14:paraId="7555C618" w14:textId="77777777" w:rsidR="00B17BCE" w:rsidRPr="00E018E7" w:rsidRDefault="00B17BCE" w:rsidP="00E52836">
            <w:pPr>
              <w:spacing w:after="0" w:line="240" w:lineRule="auto"/>
              <w:jc w:val="center"/>
              <w:rPr>
                <w:color w:val="000000"/>
                <w:sz w:val="22"/>
              </w:rPr>
            </w:pPr>
            <w:r w:rsidRPr="00E018E7">
              <w:rPr>
                <w:color w:val="000000"/>
                <w:sz w:val="22"/>
              </w:rPr>
              <w:t>100%</w:t>
            </w:r>
          </w:p>
        </w:tc>
      </w:tr>
      <w:tr w:rsidR="00B17BCE" w:rsidRPr="00E018E7" w14:paraId="3DEE4FD5"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842" w:type="pct"/>
          </w:tcPr>
          <w:p w14:paraId="11CFBA32" w14:textId="77777777" w:rsidR="00B17BCE" w:rsidRPr="00E018E7" w:rsidRDefault="00B17BCE" w:rsidP="00E52836">
            <w:pPr>
              <w:spacing w:after="0" w:line="240" w:lineRule="auto"/>
              <w:rPr>
                <w:color w:val="000000"/>
                <w:sz w:val="22"/>
              </w:rPr>
            </w:pPr>
            <w:r w:rsidRPr="00E018E7">
              <w:rPr>
                <w:color w:val="000000"/>
                <w:sz w:val="22"/>
              </w:rPr>
              <w:t>Fonctionnalité de l'ANAGRASC</w:t>
            </w:r>
          </w:p>
        </w:tc>
        <w:tc>
          <w:tcPr>
            <w:tcW w:w="699" w:type="pct"/>
          </w:tcPr>
          <w:p w14:paraId="6926C463" w14:textId="77777777" w:rsidR="00B17BCE" w:rsidRPr="00E018E7" w:rsidRDefault="00B17BCE" w:rsidP="00E52836">
            <w:pPr>
              <w:spacing w:after="0" w:line="240" w:lineRule="auto"/>
              <w:jc w:val="center"/>
              <w:rPr>
                <w:color w:val="000000"/>
                <w:sz w:val="22"/>
              </w:rPr>
            </w:pPr>
            <w:r w:rsidRPr="00E018E7">
              <w:rPr>
                <w:color w:val="000000"/>
                <w:sz w:val="22"/>
              </w:rPr>
              <w:t>-</w:t>
            </w:r>
          </w:p>
        </w:tc>
        <w:tc>
          <w:tcPr>
            <w:tcW w:w="699" w:type="pct"/>
          </w:tcPr>
          <w:p w14:paraId="0F48FAF6" w14:textId="77777777" w:rsidR="00B17BCE" w:rsidRPr="00E018E7" w:rsidRDefault="00B17BCE" w:rsidP="00E52836">
            <w:pPr>
              <w:spacing w:after="0" w:line="240" w:lineRule="auto"/>
              <w:jc w:val="center"/>
              <w:rPr>
                <w:color w:val="000000"/>
                <w:sz w:val="22"/>
              </w:rPr>
            </w:pPr>
            <w:r w:rsidRPr="00E018E7">
              <w:rPr>
                <w:color w:val="000000"/>
                <w:sz w:val="22"/>
              </w:rPr>
              <w:t>Oui</w:t>
            </w:r>
          </w:p>
        </w:tc>
        <w:tc>
          <w:tcPr>
            <w:tcW w:w="760" w:type="pct"/>
          </w:tcPr>
          <w:p w14:paraId="7DD05F8B" w14:textId="77777777" w:rsidR="00B17BCE" w:rsidRPr="00E018E7" w:rsidRDefault="00B17BCE" w:rsidP="00E52836">
            <w:pPr>
              <w:spacing w:after="0" w:line="240" w:lineRule="auto"/>
              <w:jc w:val="center"/>
              <w:rPr>
                <w:color w:val="000000"/>
                <w:sz w:val="22"/>
              </w:rPr>
            </w:pPr>
            <w:r w:rsidRPr="00E018E7">
              <w:rPr>
                <w:color w:val="000000"/>
                <w:sz w:val="22"/>
              </w:rPr>
              <w:t>Oui</w:t>
            </w:r>
          </w:p>
        </w:tc>
      </w:tr>
      <w:tr w:rsidR="00B17BCE" w:rsidRPr="00E018E7" w14:paraId="01F1AB37" w14:textId="77777777" w:rsidTr="00F175A7">
        <w:trPr>
          <w:trHeight w:val="20"/>
        </w:trPr>
        <w:tc>
          <w:tcPr>
            <w:tcW w:w="2842" w:type="pct"/>
          </w:tcPr>
          <w:p w14:paraId="7A796D6D" w14:textId="2A667CDA" w:rsidR="00B17BCE" w:rsidRPr="00E018E7" w:rsidRDefault="00B17BCE" w:rsidP="00E52836">
            <w:pPr>
              <w:spacing w:after="0" w:line="240" w:lineRule="auto"/>
              <w:rPr>
                <w:color w:val="000000"/>
                <w:sz w:val="22"/>
              </w:rPr>
            </w:pPr>
            <w:r w:rsidRPr="00E018E7">
              <w:rPr>
                <w:color w:val="000000"/>
                <w:sz w:val="22"/>
              </w:rPr>
              <w:t xml:space="preserve">Nombre d'acteurs acteurs judiciaires et pénitentiaires sensibilisés </w:t>
            </w:r>
            <w:r w:rsidR="00D2658D">
              <w:rPr>
                <w:color w:val="000000"/>
                <w:sz w:val="22"/>
              </w:rPr>
              <w:t>à</w:t>
            </w:r>
            <w:r w:rsidRPr="00E018E7">
              <w:rPr>
                <w:color w:val="000000"/>
                <w:sz w:val="22"/>
              </w:rPr>
              <w:t xml:space="preserve"> la corruption</w:t>
            </w:r>
          </w:p>
        </w:tc>
        <w:tc>
          <w:tcPr>
            <w:tcW w:w="699" w:type="pct"/>
          </w:tcPr>
          <w:p w14:paraId="1F67E0A4" w14:textId="77777777" w:rsidR="00B17BCE" w:rsidRPr="00E018E7" w:rsidRDefault="00B17BCE" w:rsidP="00E52836">
            <w:pPr>
              <w:spacing w:after="0" w:line="240" w:lineRule="auto"/>
              <w:jc w:val="center"/>
              <w:rPr>
                <w:color w:val="000000"/>
                <w:sz w:val="22"/>
              </w:rPr>
            </w:pPr>
            <w:r w:rsidRPr="00E018E7">
              <w:rPr>
                <w:color w:val="000000"/>
                <w:sz w:val="22"/>
              </w:rPr>
              <w:t>168</w:t>
            </w:r>
          </w:p>
        </w:tc>
        <w:tc>
          <w:tcPr>
            <w:tcW w:w="699" w:type="pct"/>
          </w:tcPr>
          <w:p w14:paraId="6F21B8BC" w14:textId="77777777" w:rsidR="00B17BCE" w:rsidRPr="00E018E7" w:rsidRDefault="00B17BCE" w:rsidP="00E52836">
            <w:pPr>
              <w:spacing w:after="0" w:line="240" w:lineRule="auto"/>
              <w:jc w:val="center"/>
              <w:rPr>
                <w:color w:val="000000"/>
                <w:sz w:val="22"/>
              </w:rPr>
            </w:pPr>
            <w:r w:rsidRPr="00E018E7">
              <w:rPr>
                <w:color w:val="000000"/>
                <w:sz w:val="22"/>
              </w:rPr>
              <w:t>500</w:t>
            </w:r>
          </w:p>
        </w:tc>
        <w:tc>
          <w:tcPr>
            <w:tcW w:w="760" w:type="pct"/>
          </w:tcPr>
          <w:p w14:paraId="7BB8F73C" w14:textId="77777777" w:rsidR="00B17BCE" w:rsidRPr="00E018E7" w:rsidRDefault="00B17BCE" w:rsidP="00E52836">
            <w:pPr>
              <w:spacing w:after="0" w:line="240" w:lineRule="auto"/>
              <w:jc w:val="center"/>
              <w:rPr>
                <w:color w:val="000000"/>
                <w:sz w:val="22"/>
              </w:rPr>
            </w:pPr>
            <w:r w:rsidRPr="00E018E7">
              <w:rPr>
                <w:color w:val="000000"/>
                <w:sz w:val="22"/>
              </w:rPr>
              <w:t>150</w:t>
            </w:r>
          </w:p>
        </w:tc>
      </w:tr>
    </w:tbl>
    <w:p w14:paraId="2F421E8B" w14:textId="0124A193" w:rsidR="00B17BCE" w:rsidRPr="00E31E23" w:rsidRDefault="00B17BCE" w:rsidP="00B17BCE">
      <w:pPr>
        <w:widowControl w:val="0"/>
        <w:rPr>
          <w:sz w:val="20"/>
          <w:szCs w:val="20"/>
        </w:rPr>
      </w:pPr>
      <w:bookmarkStart w:id="74" w:name="_heading=h.2iq8gzs" w:colFirst="0" w:colLast="0"/>
      <w:bookmarkEnd w:id="74"/>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 xml:space="preserve">de performance 2023 du CSD-JDH, février 2024 </w:t>
      </w:r>
    </w:p>
    <w:p w14:paraId="169A91DE" w14:textId="5B43A351"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En termes d’engagement</w:t>
      </w:r>
      <w:r w:rsidR="00D2658D">
        <w:rPr>
          <w:rFonts w:eastAsia="Calibri"/>
          <w:szCs w:val="24"/>
        </w:rPr>
        <w:t>s</w:t>
      </w:r>
      <w:r w:rsidRPr="00B17BCE">
        <w:rPr>
          <w:rFonts w:eastAsia="Calibri"/>
          <w:szCs w:val="24"/>
        </w:rPr>
        <w:t xml:space="preserve"> financiers, au 31 décembre 2023, sur un budget prévisionnel de 804 570 000 FCFA au titre de cette action, 420 839 000 FCFA ont été consommés, soit un taux d’exécution financière de 52,31%.</w:t>
      </w:r>
    </w:p>
    <w:p w14:paraId="42DAB42F" w14:textId="2D298E45"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Pour ce qui est de la deuxième action portant sur </w:t>
      </w:r>
      <w:r w:rsidR="00F20278" w:rsidRPr="008139E1">
        <w:rPr>
          <w:rFonts w:eastAsia="Calibri"/>
          <w:b/>
          <w:szCs w:val="24"/>
        </w:rPr>
        <w:t>« </w:t>
      </w:r>
      <w:r w:rsidRPr="008139E1">
        <w:rPr>
          <w:rFonts w:eastAsia="Calibri"/>
          <w:b/>
          <w:szCs w:val="24"/>
        </w:rPr>
        <w:t>l’amélioration de l’accès à la justice</w:t>
      </w:r>
      <w:r w:rsidR="00F20278" w:rsidRPr="008139E1">
        <w:rPr>
          <w:rFonts w:eastAsia="Calibri"/>
          <w:b/>
          <w:szCs w:val="24"/>
        </w:rPr>
        <w:t> »</w:t>
      </w:r>
      <w:r w:rsidRPr="008139E1">
        <w:rPr>
          <w:rFonts w:eastAsia="Calibri"/>
          <w:b/>
          <w:szCs w:val="24"/>
        </w:rPr>
        <w:t xml:space="preserve"> (03035)</w:t>
      </w:r>
      <w:r w:rsidRPr="00B17BCE">
        <w:rPr>
          <w:rFonts w:eastAsia="Calibri"/>
          <w:szCs w:val="24"/>
        </w:rPr>
        <w:t xml:space="preserve">, </w:t>
      </w:r>
      <w:r w:rsidR="00F20278" w:rsidRPr="00B17BCE">
        <w:rPr>
          <w:rFonts w:eastAsia="Calibri"/>
          <w:szCs w:val="24"/>
        </w:rPr>
        <w:t>l</w:t>
      </w:r>
      <w:r w:rsidR="00F20278">
        <w:rPr>
          <w:rFonts w:eastAsia="Calibri"/>
          <w:szCs w:val="24"/>
        </w:rPr>
        <w:t>e</w:t>
      </w:r>
      <w:r w:rsidR="00F20278" w:rsidRPr="00B17BCE">
        <w:rPr>
          <w:rFonts w:eastAsia="Calibri"/>
          <w:szCs w:val="24"/>
        </w:rPr>
        <w:t xml:space="preserve"> rayon moyen d’accès à un TGI </w:t>
      </w:r>
      <w:r w:rsidR="00F20278">
        <w:rPr>
          <w:rFonts w:eastAsia="Calibri"/>
          <w:szCs w:val="24"/>
        </w:rPr>
        <w:t>a été réduit passant de</w:t>
      </w:r>
      <w:r w:rsidR="00F20278" w:rsidRPr="00B17BCE">
        <w:rPr>
          <w:rFonts w:eastAsia="Calibri"/>
          <w:szCs w:val="24"/>
        </w:rPr>
        <w:t xml:space="preserve"> </w:t>
      </w:r>
      <w:r w:rsidRPr="00B17BCE">
        <w:rPr>
          <w:rFonts w:eastAsia="Calibri"/>
          <w:szCs w:val="24"/>
        </w:rPr>
        <w:t xml:space="preserve">66,05 km à 62,98 km avec la réouverture des TGI de </w:t>
      </w:r>
      <w:proofErr w:type="spellStart"/>
      <w:r w:rsidRPr="00B17BCE">
        <w:rPr>
          <w:rFonts w:eastAsia="Calibri"/>
          <w:szCs w:val="24"/>
        </w:rPr>
        <w:t>Dori</w:t>
      </w:r>
      <w:proofErr w:type="spellEnd"/>
      <w:r w:rsidRPr="00B17BCE">
        <w:rPr>
          <w:rFonts w:eastAsia="Calibri"/>
          <w:szCs w:val="24"/>
        </w:rPr>
        <w:t xml:space="preserve"> et </w:t>
      </w:r>
      <w:proofErr w:type="spellStart"/>
      <w:r w:rsidRPr="00B17BCE">
        <w:rPr>
          <w:rFonts w:eastAsia="Calibri"/>
          <w:szCs w:val="24"/>
        </w:rPr>
        <w:t>Kongoussi</w:t>
      </w:r>
      <w:proofErr w:type="spellEnd"/>
      <w:r w:rsidRPr="00B17BCE">
        <w:rPr>
          <w:rFonts w:eastAsia="Calibri"/>
          <w:szCs w:val="24"/>
        </w:rPr>
        <w:t xml:space="preserve">. La proportion de la population qui </w:t>
      </w:r>
      <w:r w:rsidR="00F20278">
        <w:rPr>
          <w:rFonts w:eastAsia="Calibri"/>
          <w:szCs w:val="24"/>
        </w:rPr>
        <w:t>estime que</w:t>
      </w:r>
      <w:r w:rsidR="00F20278" w:rsidRPr="00B17BCE">
        <w:rPr>
          <w:rFonts w:eastAsia="Calibri"/>
          <w:szCs w:val="24"/>
        </w:rPr>
        <w:t xml:space="preserve"> </w:t>
      </w:r>
      <w:r w:rsidRPr="00B17BCE">
        <w:rPr>
          <w:rFonts w:eastAsia="Calibri"/>
          <w:szCs w:val="24"/>
        </w:rPr>
        <w:t xml:space="preserve">la justice </w:t>
      </w:r>
      <w:r w:rsidR="00F20278">
        <w:rPr>
          <w:rFonts w:eastAsia="Calibri"/>
          <w:szCs w:val="24"/>
        </w:rPr>
        <w:t xml:space="preserve">est </w:t>
      </w:r>
      <w:r w:rsidRPr="00B17BCE">
        <w:rPr>
          <w:rFonts w:eastAsia="Calibri"/>
          <w:szCs w:val="24"/>
        </w:rPr>
        <w:t>accessible est de 60,9% contre 51,6% en 2019</w:t>
      </w:r>
      <w:r w:rsidR="00D2658D">
        <w:rPr>
          <w:rFonts w:eastAsia="Calibri"/>
          <w:szCs w:val="24"/>
        </w:rPr>
        <w:t>,</w:t>
      </w:r>
      <w:r w:rsidRPr="00B17BCE">
        <w:rPr>
          <w:rFonts w:eastAsia="Calibri"/>
          <w:szCs w:val="24"/>
        </w:rPr>
        <w:t xml:space="preserve"> soit une progression de plus de 9 points de pourcentage</w:t>
      </w:r>
      <w:r w:rsidR="00F20278">
        <w:rPr>
          <w:rFonts w:eastAsia="Calibri"/>
          <w:szCs w:val="24"/>
        </w:rPr>
        <w:t>.</w:t>
      </w:r>
    </w:p>
    <w:p w14:paraId="5B3F544D"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Pour la mise en œuvre de cette action, huit (08) produits ont été planifiés dont la situation d’exécution à fin décembre 2023 est consignée dans le tableau ci-dessous.</w:t>
      </w:r>
    </w:p>
    <w:p w14:paraId="2791F706" w14:textId="06A86375"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lastRenderedPageBreak/>
        <w:t xml:space="preserve">Sept (07) indicateurs de produits ont atteint leur cible sur les huit (08). Les acquis obtenus sont entre autres : (i) l’octroi de l’assistance judiciaire </w:t>
      </w:r>
      <w:r w:rsidR="00F20278">
        <w:rPr>
          <w:rFonts w:eastAsia="Calibri"/>
          <w:szCs w:val="24"/>
        </w:rPr>
        <w:t xml:space="preserve">accordée </w:t>
      </w:r>
      <w:r w:rsidRPr="00B17BCE">
        <w:rPr>
          <w:rFonts w:eastAsia="Calibri"/>
          <w:szCs w:val="24"/>
        </w:rPr>
        <w:t xml:space="preserve">à 1 </w:t>
      </w:r>
      <w:r w:rsidR="00F20278" w:rsidRPr="00B17BCE">
        <w:rPr>
          <w:rFonts w:eastAsia="Calibri"/>
          <w:szCs w:val="24"/>
        </w:rPr>
        <w:t>2</w:t>
      </w:r>
      <w:r w:rsidR="00F20278">
        <w:rPr>
          <w:rFonts w:eastAsia="Calibri"/>
          <w:szCs w:val="24"/>
        </w:rPr>
        <w:t>33</w:t>
      </w:r>
      <w:r w:rsidR="00F20278" w:rsidRPr="00B17BCE">
        <w:rPr>
          <w:rFonts w:eastAsia="Calibri"/>
          <w:szCs w:val="24"/>
        </w:rPr>
        <w:t xml:space="preserve"> </w:t>
      </w:r>
      <w:r w:rsidRPr="00B17BCE">
        <w:rPr>
          <w:rFonts w:eastAsia="Calibri"/>
          <w:szCs w:val="24"/>
        </w:rPr>
        <w:t>personnes dont 357 femmes et 58 mineurs au 31 décembre 2023 ; (ii) la disponibilité d’un rapport de l’étude sur la prise en charge des victimes et témoins ; (iii) la disponibilité d’un rapport de l’étude sur les mécanismes de justice traditionnelle et les modes alternatifs de règlement des conflits ; (iv) la réhabilitation du palais de justice de Bobo-Dioulasso à 98% et (v) la dynamisation du fonctionnement  du tribunal du travail de Fada N'Gourma, par la dotation en matériel informatique.</w:t>
      </w:r>
    </w:p>
    <w:p w14:paraId="25BE6DFC" w14:textId="65DDE8A6" w:rsidR="00B17BCE" w:rsidRPr="00B51145" w:rsidRDefault="00B51145" w:rsidP="00B17BCE">
      <w:pPr>
        <w:pBdr>
          <w:top w:val="nil"/>
          <w:left w:val="nil"/>
          <w:bottom w:val="nil"/>
          <w:right w:val="nil"/>
          <w:between w:val="nil"/>
        </w:pBdr>
        <w:spacing w:after="200" w:line="240" w:lineRule="auto"/>
        <w:rPr>
          <w:rFonts w:cs="Merriweather"/>
          <w:color w:val="000000"/>
          <w:sz w:val="22"/>
        </w:rPr>
      </w:pPr>
      <w:bookmarkStart w:id="75" w:name="_Hlk161739782"/>
      <w:bookmarkStart w:id="76" w:name="_Toc164503613"/>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26</w:t>
      </w:r>
      <w:r w:rsidRPr="00B51145">
        <w:rPr>
          <w:b/>
          <w:bCs/>
          <w:sz w:val="22"/>
          <w:u w:val="single"/>
        </w:rPr>
        <w:fldChar w:fldCharType="end"/>
      </w:r>
      <w:r w:rsidR="00B17BCE" w:rsidRPr="00B51145">
        <w:rPr>
          <w:rFonts w:cs="Merriweather"/>
          <w:color w:val="44546A"/>
          <w:sz w:val="22"/>
        </w:rPr>
        <w:t>:</w:t>
      </w:r>
      <w:r w:rsidR="00B17BCE" w:rsidRPr="00B51145">
        <w:rPr>
          <w:rFonts w:cs="Merriweather"/>
          <w:color w:val="000000"/>
          <w:sz w:val="22"/>
        </w:rPr>
        <w:t xml:space="preserve"> </w:t>
      </w:r>
      <w:bookmarkEnd w:id="75"/>
      <w:r w:rsidR="00751F8E">
        <w:rPr>
          <w:rFonts w:cs="Merriweather"/>
          <w:color w:val="000000"/>
          <w:sz w:val="22"/>
        </w:rPr>
        <w:t>s</w:t>
      </w:r>
      <w:r w:rsidR="00B17BCE" w:rsidRPr="00B51145">
        <w:rPr>
          <w:rFonts w:cs="Merriweather"/>
          <w:color w:val="000000"/>
          <w:sz w:val="22"/>
        </w:rPr>
        <w:t>ituation des indicateurs de produits au 31 décembre 2023 de l’action :</w:t>
      </w:r>
      <w:r w:rsidR="00B17BCE" w:rsidRPr="00B51145">
        <w:rPr>
          <w:rFonts w:cs="Merriweather"/>
          <w:color w:val="44546A"/>
          <w:sz w:val="22"/>
        </w:rPr>
        <w:t xml:space="preserve"> </w:t>
      </w:r>
      <w:r w:rsidR="00D2658D">
        <w:rPr>
          <w:rFonts w:cs="Merriweather"/>
          <w:color w:val="000000"/>
          <w:sz w:val="22"/>
        </w:rPr>
        <w:t>« a</w:t>
      </w:r>
      <w:r w:rsidR="00B17BCE" w:rsidRPr="00B51145">
        <w:rPr>
          <w:rFonts w:cs="Merriweather"/>
          <w:color w:val="000000"/>
          <w:sz w:val="22"/>
        </w:rPr>
        <w:t>mélioration de l’accès à la justice</w:t>
      </w:r>
      <w:r w:rsidR="00D2658D">
        <w:rPr>
          <w:rFonts w:cs="Merriweather"/>
          <w:color w:val="000000"/>
          <w:sz w:val="22"/>
        </w:rPr>
        <w:t> »</w:t>
      </w:r>
      <w:bookmarkEnd w:id="76"/>
      <w:r w:rsidR="00B17BCE" w:rsidRPr="00B51145">
        <w:rPr>
          <w:rFonts w:cs="Merriweather"/>
          <w:color w:val="000000"/>
          <w:sz w:val="22"/>
        </w:rPr>
        <w:t xml:space="preserve"> </w:t>
      </w:r>
    </w:p>
    <w:tbl>
      <w:tblPr>
        <w:tblStyle w:val="TableauGrille7Couleur-Accentuation1"/>
        <w:tblW w:w="5000" w:type="pct"/>
        <w:tblLook w:val="0400" w:firstRow="0" w:lastRow="0" w:firstColumn="0" w:lastColumn="0" w:noHBand="0" w:noVBand="1"/>
      </w:tblPr>
      <w:tblGrid>
        <w:gridCol w:w="5098"/>
        <w:gridCol w:w="1277"/>
        <w:gridCol w:w="1390"/>
        <w:gridCol w:w="1251"/>
      </w:tblGrid>
      <w:tr w:rsidR="00133200" w:rsidRPr="00E018E7" w14:paraId="5DF00AE9" w14:textId="3FC94D18" w:rsidTr="009A288B">
        <w:trPr>
          <w:cnfStyle w:val="000000100000" w:firstRow="0" w:lastRow="0" w:firstColumn="0" w:lastColumn="0" w:oddVBand="0" w:evenVBand="0" w:oddHBand="1" w:evenHBand="0" w:firstRowFirstColumn="0" w:firstRowLastColumn="0" w:lastRowFirstColumn="0" w:lastRowLastColumn="0"/>
          <w:trHeight w:val="20"/>
        </w:trPr>
        <w:tc>
          <w:tcPr>
            <w:tcW w:w="2827" w:type="pct"/>
            <w:shd w:val="clear" w:color="auto" w:fill="4472C4" w:themeFill="accent1"/>
          </w:tcPr>
          <w:p w14:paraId="158E16FE" w14:textId="2BBC2B9A" w:rsidR="00133200" w:rsidRPr="00F175A7" w:rsidRDefault="00133200" w:rsidP="00F175A7">
            <w:pPr>
              <w:spacing w:after="0" w:line="240" w:lineRule="auto"/>
              <w:jc w:val="left"/>
              <w:rPr>
                <w:b/>
                <w:color w:val="FFFFFF"/>
                <w:sz w:val="22"/>
              </w:rPr>
            </w:pPr>
            <w:r w:rsidRPr="00F175A7">
              <w:rPr>
                <w:b/>
                <w:color w:val="FFFFFF"/>
                <w:sz w:val="22"/>
              </w:rPr>
              <w:t>Indicateur</w:t>
            </w:r>
            <w:r>
              <w:rPr>
                <w:b/>
                <w:color w:val="FFFFFF"/>
                <w:sz w:val="22"/>
              </w:rPr>
              <w:t>s</w:t>
            </w:r>
          </w:p>
        </w:tc>
        <w:tc>
          <w:tcPr>
            <w:tcW w:w="708" w:type="pct"/>
            <w:shd w:val="clear" w:color="auto" w:fill="4472C4" w:themeFill="accent1"/>
          </w:tcPr>
          <w:p w14:paraId="0714DBD4" w14:textId="77777777" w:rsidR="00133200" w:rsidRPr="00F175A7" w:rsidRDefault="00133200" w:rsidP="00F175A7">
            <w:pPr>
              <w:spacing w:after="0" w:line="240" w:lineRule="auto"/>
              <w:jc w:val="left"/>
              <w:rPr>
                <w:b/>
                <w:color w:val="FFFFFF"/>
                <w:sz w:val="22"/>
              </w:rPr>
            </w:pPr>
            <w:r w:rsidRPr="00F175A7">
              <w:rPr>
                <w:b/>
                <w:color w:val="FFFFFF"/>
                <w:sz w:val="22"/>
              </w:rPr>
              <w:t>Réal. 2022</w:t>
            </w:r>
          </w:p>
        </w:tc>
        <w:tc>
          <w:tcPr>
            <w:tcW w:w="771" w:type="pct"/>
            <w:shd w:val="clear" w:color="auto" w:fill="4472C4" w:themeFill="accent1"/>
          </w:tcPr>
          <w:p w14:paraId="4642076B" w14:textId="6038C3FE" w:rsidR="00133200" w:rsidRPr="00F175A7" w:rsidRDefault="00133200" w:rsidP="00F175A7">
            <w:pPr>
              <w:spacing w:after="0" w:line="240" w:lineRule="auto"/>
              <w:jc w:val="left"/>
              <w:rPr>
                <w:b/>
                <w:color w:val="FFFFFF"/>
                <w:sz w:val="22"/>
              </w:rPr>
            </w:pPr>
            <w:r>
              <w:rPr>
                <w:b/>
                <w:color w:val="FFFFFF"/>
                <w:sz w:val="22"/>
              </w:rPr>
              <w:t>Réal</w:t>
            </w:r>
            <w:r w:rsidRPr="00F175A7">
              <w:rPr>
                <w:b/>
                <w:color w:val="FFFFFF"/>
                <w:sz w:val="22"/>
              </w:rPr>
              <w:t xml:space="preserve"> 2023</w:t>
            </w:r>
          </w:p>
        </w:tc>
        <w:tc>
          <w:tcPr>
            <w:tcW w:w="694" w:type="pct"/>
            <w:shd w:val="clear" w:color="auto" w:fill="4472C4" w:themeFill="accent1"/>
          </w:tcPr>
          <w:p w14:paraId="6E235E92" w14:textId="7CC3D51D" w:rsidR="00133200" w:rsidRPr="00F175A7" w:rsidRDefault="00133200" w:rsidP="00F175A7">
            <w:pPr>
              <w:spacing w:after="0" w:line="240" w:lineRule="auto"/>
              <w:jc w:val="left"/>
              <w:rPr>
                <w:b/>
                <w:color w:val="FFFFFF"/>
                <w:sz w:val="22"/>
              </w:rPr>
            </w:pPr>
            <w:r w:rsidRPr="00F175A7">
              <w:rPr>
                <w:b/>
                <w:color w:val="FFFFFF"/>
                <w:sz w:val="22"/>
              </w:rPr>
              <w:t>Cible 2023</w:t>
            </w:r>
          </w:p>
        </w:tc>
      </w:tr>
      <w:tr w:rsidR="00133200" w:rsidRPr="00E018E7" w14:paraId="1F9AFFD2" w14:textId="053EF206" w:rsidTr="009A288B">
        <w:trPr>
          <w:trHeight w:val="20"/>
        </w:trPr>
        <w:tc>
          <w:tcPr>
            <w:tcW w:w="2827" w:type="pct"/>
          </w:tcPr>
          <w:p w14:paraId="5CDF80DB" w14:textId="77777777" w:rsidR="00133200" w:rsidRPr="00E018E7" w:rsidRDefault="00133200" w:rsidP="00133200">
            <w:pPr>
              <w:spacing w:after="0" w:line="240" w:lineRule="auto"/>
              <w:rPr>
                <w:color w:val="000000"/>
                <w:sz w:val="22"/>
              </w:rPr>
            </w:pPr>
            <w:r w:rsidRPr="00E018E7">
              <w:rPr>
                <w:color w:val="000000"/>
                <w:sz w:val="22"/>
              </w:rPr>
              <w:t>Nombre de personnes assistées par le FAJ</w:t>
            </w:r>
          </w:p>
        </w:tc>
        <w:tc>
          <w:tcPr>
            <w:tcW w:w="708" w:type="pct"/>
          </w:tcPr>
          <w:p w14:paraId="055F4733" w14:textId="77777777" w:rsidR="00133200" w:rsidRPr="00E018E7" w:rsidRDefault="00133200" w:rsidP="00133200">
            <w:pPr>
              <w:spacing w:after="0" w:line="240" w:lineRule="auto"/>
              <w:jc w:val="center"/>
              <w:rPr>
                <w:color w:val="000000"/>
                <w:sz w:val="22"/>
              </w:rPr>
            </w:pPr>
            <w:r w:rsidRPr="00E018E7">
              <w:rPr>
                <w:color w:val="000000"/>
                <w:sz w:val="22"/>
              </w:rPr>
              <w:t>787</w:t>
            </w:r>
          </w:p>
        </w:tc>
        <w:tc>
          <w:tcPr>
            <w:tcW w:w="771" w:type="pct"/>
          </w:tcPr>
          <w:p w14:paraId="333B29BF" w14:textId="7FD3C4AC" w:rsidR="00133200" w:rsidRPr="00E018E7" w:rsidRDefault="00133200" w:rsidP="00133200">
            <w:pPr>
              <w:spacing w:after="0" w:line="240" w:lineRule="auto"/>
              <w:jc w:val="center"/>
              <w:rPr>
                <w:color w:val="000000"/>
                <w:sz w:val="22"/>
              </w:rPr>
            </w:pPr>
            <w:r w:rsidRPr="00E018E7">
              <w:rPr>
                <w:color w:val="000000"/>
                <w:sz w:val="22"/>
              </w:rPr>
              <w:t>1 2</w:t>
            </w:r>
            <w:r>
              <w:rPr>
                <w:color w:val="000000"/>
                <w:sz w:val="22"/>
              </w:rPr>
              <w:t>33</w:t>
            </w:r>
          </w:p>
        </w:tc>
        <w:tc>
          <w:tcPr>
            <w:tcW w:w="694" w:type="pct"/>
          </w:tcPr>
          <w:p w14:paraId="7FBD6364" w14:textId="2C602F41" w:rsidR="00133200" w:rsidRPr="00E018E7" w:rsidRDefault="00133200" w:rsidP="00133200">
            <w:pPr>
              <w:spacing w:after="0" w:line="240" w:lineRule="auto"/>
              <w:jc w:val="center"/>
              <w:rPr>
                <w:color w:val="000000"/>
                <w:sz w:val="22"/>
              </w:rPr>
            </w:pPr>
            <w:r w:rsidRPr="00E018E7">
              <w:rPr>
                <w:color w:val="000000"/>
                <w:sz w:val="22"/>
              </w:rPr>
              <w:t>750</w:t>
            </w:r>
          </w:p>
        </w:tc>
      </w:tr>
      <w:tr w:rsidR="00133200" w:rsidRPr="00E018E7" w14:paraId="613AFDEF" w14:textId="19780EFB" w:rsidTr="009A288B">
        <w:trPr>
          <w:cnfStyle w:val="000000100000" w:firstRow="0" w:lastRow="0" w:firstColumn="0" w:lastColumn="0" w:oddVBand="0" w:evenVBand="0" w:oddHBand="1" w:evenHBand="0" w:firstRowFirstColumn="0" w:firstRowLastColumn="0" w:lastRowFirstColumn="0" w:lastRowLastColumn="0"/>
          <w:trHeight w:val="20"/>
        </w:trPr>
        <w:tc>
          <w:tcPr>
            <w:tcW w:w="2827" w:type="pct"/>
          </w:tcPr>
          <w:p w14:paraId="1854E4F2" w14:textId="77777777" w:rsidR="00133200" w:rsidRPr="00E018E7" w:rsidRDefault="00133200" w:rsidP="00133200">
            <w:pPr>
              <w:spacing w:after="0" w:line="240" w:lineRule="auto"/>
              <w:rPr>
                <w:color w:val="000000"/>
                <w:sz w:val="22"/>
              </w:rPr>
            </w:pPr>
            <w:r w:rsidRPr="00E018E7">
              <w:rPr>
                <w:color w:val="000000"/>
                <w:sz w:val="22"/>
              </w:rPr>
              <w:t>Disponibilité du rapport d'étude</w:t>
            </w:r>
            <w:r w:rsidRPr="00E018E7">
              <w:rPr>
                <w:sz w:val="22"/>
              </w:rPr>
              <w:t xml:space="preserve"> </w:t>
            </w:r>
            <w:r w:rsidRPr="00E018E7">
              <w:rPr>
                <w:color w:val="000000"/>
                <w:sz w:val="22"/>
              </w:rPr>
              <w:t>sur la prise en charge des victimes et témoins</w:t>
            </w:r>
          </w:p>
        </w:tc>
        <w:tc>
          <w:tcPr>
            <w:tcW w:w="708" w:type="pct"/>
          </w:tcPr>
          <w:p w14:paraId="0BDFE099" w14:textId="77777777" w:rsidR="00133200" w:rsidRPr="00E018E7" w:rsidRDefault="00133200" w:rsidP="00133200">
            <w:pPr>
              <w:spacing w:after="0" w:line="240" w:lineRule="auto"/>
              <w:jc w:val="center"/>
              <w:rPr>
                <w:color w:val="000000"/>
                <w:sz w:val="22"/>
              </w:rPr>
            </w:pPr>
            <w:r w:rsidRPr="00E018E7">
              <w:rPr>
                <w:color w:val="000000"/>
                <w:sz w:val="22"/>
              </w:rPr>
              <w:t>0</w:t>
            </w:r>
          </w:p>
        </w:tc>
        <w:tc>
          <w:tcPr>
            <w:tcW w:w="771" w:type="pct"/>
          </w:tcPr>
          <w:p w14:paraId="26B80867" w14:textId="01018BBC" w:rsidR="00133200" w:rsidRPr="00E018E7" w:rsidRDefault="00133200" w:rsidP="00133200">
            <w:pPr>
              <w:spacing w:after="0" w:line="240" w:lineRule="auto"/>
              <w:jc w:val="center"/>
              <w:rPr>
                <w:color w:val="000000"/>
                <w:sz w:val="22"/>
              </w:rPr>
            </w:pPr>
            <w:r w:rsidRPr="00E018E7">
              <w:rPr>
                <w:color w:val="000000"/>
                <w:sz w:val="22"/>
              </w:rPr>
              <w:t>1</w:t>
            </w:r>
          </w:p>
        </w:tc>
        <w:tc>
          <w:tcPr>
            <w:tcW w:w="694" w:type="pct"/>
          </w:tcPr>
          <w:p w14:paraId="7D272172" w14:textId="335A6AD6" w:rsidR="00133200" w:rsidRPr="00E018E7" w:rsidRDefault="00133200" w:rsidP="00133200">
            <w:pPr>
              <w:spacing w:after="0" w:line="240" w:lineRule="auto"/>
              <w:jc w:val="center"/>
              <w:rPr>
                <w:color w:val="000000"/>
                <w:sz w:val="22"/>
              </w:rPr>
            </w:pPr>
            <w:r w:rsidRPr="00E018E7">
              <w:rPr>
                <w:color w:val="000000"/>
                <w:sz w:val="22"/>
              </w:rPr>
              <w:t>1</w:t>
            </w:r>
          </w:p>
        </w:tc>
      </w:tr>
      <w:tr w:rsidR="00133200" w:rsidRPr="00E018E7" w14:paraId="007CEE7A" w14:textId="0A36586E" w:rsidTr="009A288B">
        <w:trPr>
          <w:trHeight w:val="20"/>
        </w:trPr>
        <w:tc>
          <w:tcPr>
            <w:tcW w:w="2827" w:type="pct"/>
          </w:tcPr>
          <w:p w14:paraId="2F2CACD7" w14:textId="77777777" w:rsidR="00133200" w:rsidRPr="00E018E7" w:rsidRDefault="00133200" w:rsidP="00133200">
            <w:pPr>
              <w:spacing w:after="0" w:line="240" w:lineRule="auto"/>
              <w:rPr>
                <w:color w:val="000000"/>
                <w:sz w:val="22"/>
              </w:rPr>
            </w:pPr>
            <w:r w:rsidRPr="00E018E7">
              <w:rPr>
                <w:color w:val="000000"/>
                <w:sz w:val="22"/>
              </w:rPr>
              <w:t>Disponibilité du rapport d’étude</w:t>
            </w:r>
            <w:r w:rsidRPr="00E018E7">
              <w:rPr>
                <w:sz w:val="22"/>
              </w:rPr>
              <w:t xml:space="preserve"> </w:t>
            </w:r>
            <w:r w:rsidRPr="00E018E7">
              <w:rPr>
                <w:color w:val="000000"/>
                <w:sz w:val="22"/>
              </w:rPr>
              <w:t>sur les mécanismes de justice traditionnelle et les modes alternatifs de règlement des conflits</w:t>
            </w:r>
          </w:p>
        </w:tc>
        <w:tc>
          <w:tcPr>
            <w:tcW w:w="708" w:type="pct"/>
          </w:tcPr>
          <w:p w14:paraId="5FEF86F9" w14:textId="77777777" w:rsidR="00133200" w:rsidRPr="00E018E7" w:rsidRDefault="00133200" w:rsidP="00133200">
            <w:pPr>
              <w:spacing w:after="0" w:line="240" w:lineRule="auto"/>
              <w:jc w:val="center"/>
              <w:rPr>
                <w:color w:val="000000"/>
                <w:sz w:val="22"/>
              </w:rPr>
            </w:pPr>
            <w:r w:rsidRPr="00E018E7">
              <w:rPr>
                <w:color w:val="000000"/>
                <w:sz w:val="22"/>
              </w:rPr>
              <w:t>0</w:t>
            </w:r>
          </w:p>
        </w:tc>
        <w:tc>
          <w:tcPr>
            <w:tcW w:w="771" w:type="pct"/>
          </w:tcPr>
          <w:p w14:paraId="0319FA9E" w14:textId="2EC16EC8" w:rsidR="00133200" w:rsidRPr="00E018E7" w:rsidRDefault="00133200" w:rsidP="00133200">
            <w:pPr>
              <w:spacing w:after="0" w:line="240" w:lineRule="auto"/>
              <w:jc w:val="center"/>
              <w:rPr>
                <w:color w:val="000000"/>
                <w:sz w:val="22"/>
              </w:rPr>
            </w:pPr>
            <w:r w:rsidRPr="00E018E7">
              <w:rPr>
                <w:color w:val="000000"/>
                <w:sz w:val="22"/>
              </w:rPr>
              <w:t>1</w:t>
            </w:r>
          </w:p>
        </w:tc>
        <w:tc>
          <w:tcPr>
            <w:tcW w:w="694" w:type="pct"/>
          </w:tcPr>
          <w:p w14:paraId="16B0320E" w14:textId="4DC3C83C" w:rsidR="00133200" w:rsidRPr="00E018E7" w:rsidRDefault="00133200" w:rsidP="00133200">
            <w:pPr>
              <w:spacing w:after="0" w:line="240" w:lineRule="auto"/>
              <w:jc w:val="center"/>
              <w:rPr>
                <w:color w:val="000000"/>
                <w:sz w:val="22"/>
              </w:rPr>
            </w:pPr>
            <w:r w:rsidRPr="00E018E7">
              <w:rPr>
                <w:color w:val="000000"/>
                <w:sz w:val="22"/>
              </w:rPr>
              <w:t>1</w:t>
            </w:r>
          </w:p>
        </w:tc>
      </w:tr>
      <w:tr w:rsidR="00133200" w:rsidRPr="00E018E7" w14:paraId="0BD14DFA" w14:textId="1485CEAC" w:rsidTr="009A288B">
        <w:trPr>
          <w:cnfStyle w:val="000000100000" w:firstRow="0" w:lastRow="0" w:firstColumn="0" w:lastColumn="0" w:oddVBand="0" w:evenVBand="0" w:oddHBand="1" w:evenHBand="0" w:firstRowFirstColumn="0" w:firstRowLastColumn="0" w:lastRowFirstColumn="0" w:lastRowLastColumn="0"/>
          <w:trHeight w:val="20"/>
        </w:trPr>
        <w:tc>
          <w:tcPr>
            <w:tcW w:w="2827" w:type="pct"/>
          </w:tcPr>
          <w:p w14:paraId="53D568F4" w14:textId="44E1D5A6" w:rsidR="00133200" w:rsidRPr="00E018E7" w:rsidRDefault="00133200" w:rsidP="00133200">
            <w:pPr>
              <w:spacing w:after="0" w:line="240" w:lineRule="auto"/>
              <w:rPr>
                <w:color w:val="000000"/>
                <w:sz w:val="22"/>
              </w:rPr>
            </w:pPr>
            <w:r w:rsidRPr="00E018E7">
              <w:rPr>
                <w:color w:val="000000"/>
                <w:sz w:val="22"/>
              </w:rPr>
              <w:t>Nombre d'acteurs (OSC et autorités coutumières et religieuses) sensibilisés</w:t>
            </w:r>
            <w:r w:rsidRPr="00E018E7">
              <w:rPr>
                <w:sz w:val="22"/>
              </w:rPr>
              <w:t xml:space="preserve"> </w:t>
            </w:r>
            <w:r>
              <w:rPr>
                <w:color w:val="000000"/>
                <w:sz w:val="22"/>
              </w:rPr>
              <w:t xml:space="preserve">à </w:t>
            </w:r>
            <w:r w:rsidRPr="00E018E7">
              <w:rPr>
                <w:color w:val="000000"/>
                <w:sz w:val="22"/>
              </w:rPr>
              <w:t xml:space="preserve">l'organisation et </w:t>
            </w:r>
            <w:r>
              <w:rPr>
                <w:color w:val="000000"/>
                <w:sz w:val="22"/>
              </w:rPr>
              <w:t>aux</w:t>
            </w:r>
            <w:r w:rsidRPr="00E018E7">
              <w:rPr>
                <w:color w:val="000000"/>
                <w:sz w:val="22"/>
              </w:rPr>
              <w:t xml:space="preserve"> procédures judiciaires</w:t>
            </w:r>
          </w:p>
        </w:tc>
        <w:tc>
          <w:tcPr>
            <w:tcW w:w="708" w:type="pct"/>
          </w:tcPr>
          <w:p w14:paraId="3D28400B" w14:textId="77777777" w:rsidR="00133200" w:rsidRPr="00E018E7" w:rsidRDefault="00133200" w:rsidP="00133200">
            <w:pPr>
              <w:spacing w:after="0" w:line="240" w:lineRule="auto"/>
              <w:jc w:val="center"/>
              <w:rPr>
                <w:color w:val="000000"/>
                <w:sz w:val="22"/>
              </w:rPr>
            </w:pPr>
            <w:r w:rsidRPr="00E018E7">
              <w:rPr>
                <w:color w:val="000000"/>
                <w:sz w:val="22"/>
              </w:rPr>
              <w:t>-</w:t>
            </w:r>
          </w:p>
        </w:tc>
        <w:tc>
          <w:tcPr>
            <w:tcW w:w="771" w:type="pct"/>
          </w:tcPr>
          <w:p w14:paraId="4C2DBE69" w14:textId="6AE57242" w:rsidR="00133200" w:rsidRPr="00E018E7" w:rsidRDefault="00133200" w:rsidP="00133200">
            <w:pPr>
              <w:spacing w:after="0" w:line="240" w:lineRule="auto"/>
              <w:jc w:val="center"/>
              <w:rPr>
                <w:color w:val="000000"/>
                <w:sz w:val="22"/>
              </w:rPr>
            </w:pPr>
            <w:r w:rsidRPr="00E018E7">
              <w:rPr>
                <w:color w:val="000000"/>
                <w:sz w:val="22"/>
              </w:rPr>
              <w:t>600</w:t>
            </w:r>
          </w:p>
        </w:tc>
        <w:tc>
          <w:tcPr>
            <w:tcW w:w="694" w:type="pct"/>
          </w:tcPr>
          <w:p w14:paraId="11EEA8E0" w14:textId="7F5D4901" w:rsidR="00133200" w:rsidRPr="00E018E7" w:rsidRDefault="00133200" w:rsidP="00133200">
            <w:pPr>
              <w:spacing w:after="0" w:line="240" w:lineRule="auto"/>
              <w:jc w:val="center"/>
              <w:rPr>
                <w:color w:val="000000"/>
                <w:sz w:val="22"/>
              </w:rPr>
            </w:pPr>
            <w:r w:rsidRPr="00E018E7">
              <w:rPr>
                <w:color w:val="000000"/>
                <w:sz w:val="22"/>
              </w:rPr>
              <w:t>150</w:t>
            </w:r>
          </w:p>
        </w:tc>
      </w:tr>
      <w:tr w:rsidR="00133200" w:rsidRPr="00E018E7" w14:paraId="56BA1E6C" w14:textId="4A6DF230" w:rsidTr="009A288B">
        <w:trPr>
          <w:trHeight w:val="20"/>
        </w:trPr>
        <w:tc>
          <w:tcPr>
            <w:tcW w:w="2827" w:type="pct"/>
          </w:tcPr>
          <w:p w14:paraId="77A936ED" w14:textId="26CE1227" w:rsidR="00133200" w:rsidRPr="00E018E7" w:rsidRDefault="00133200" w:rsidP="00133200">
            <w:pPr>
              <w:spacing w:after="0" w:line="240" w:lineRule="auto"/>
              <w:rPr>
                <w:color w:val="000000"/>
                <w:sz w:val="22"/>
              </w:rPr>
            </w:pPr>
            <w:r w:rsidRPr="00E018E7">
              <w:rPr>
                <w:color w:val="000000"/>
                <w:sz w:val="22"/>
              </w:rPr>
              <w:t xml:space="preserve">Taux d'exécution des travaux de la </w:t>
            </w:r>
            <w:r>
              <w:rPr>
                <w:color w:val="000000"/>
                <w:sz w:val="22"/>
              </w:rPr>
              <w:t>C</w:t>
            </w:r>
            <w:r w:rsidRPr="00E018E7">
              <w:rPr>
                <w:color w:val="000000"/>
                <w:sz w:val="22"/>
              </w:rPr>
              <w:t>our d'appel de Ouagadougou</w:t>
            </w:r>
          </w:p>
        </w:tc>
        <w:tc>
          <w:tcPr>
            <w:tcW w:w="708" w:type="pct"/>
          </w:tcPr>
          <w:p w14:paraId="31AD0A66" w14:textId="77777777" w:rsidR="00133200" w:rsidRPr="00E018E7" w:rsidRDefault="00133200" w:rsidP="00133200">
            <w:pPr>
              <w:spacing w:after="0" w:line="240" w:lineRule="auto"/>
              <w:jc w:val="center"/>
              <w:rPr>
                <w:color w:val="000000"/>
                <w:sz w:val="22"/>
              </w:rPr>
            </w:pPr>
            <w:r w:rsidRPr="00E018E7">
              <w:rPr>
                <w:color w:val="000000"/>
                <w:sz w:val="22"/>
              </w:rPr>
              <w:t>-</w:t>
            </w:r>
          </w:p>
        </w:tc>
        <w:tc>
          <w:tcPr>
            <w:tcW w:w="771" w:type="pct"/>
          </w:tcPr>
          <w:p w14:paraId="5674BEE6" w14:textId="38C6B575" w:rsidR="00133200" w:rsidRPr="00E018E7" w:rsidRDefault="00133200" w:rsidP="00133200">
            <w:pPr>
              <w:spacing w:after="0" w:line="240" w:lineRule="auto"/>
              <w:jc w:val="center"/>
              <w:rPr>
                <w:color w:val="000000"/>
                <w:sz w:val="22"/>
              </w:rPr>
            </w:pPr>
            <w:r w:rsidRPr="00E018E7">
              <w:rPr>
                <w:color w:val="000000"/>
                <w:sz w:val="22"/>
              </w:rPr>
              <w:t>36%</w:t>
            </w:r>
          </w:p>
        </w:tc>
        <w:tc>
          <w:tcPr>
            <w:tcW w:w="694" w:type="pct"/>
          </w:tcPr>
          <w:p w14:paraId="57CC6135" w14:textId="3A2C1A5A" w:rsidR="00133200" w:rsidRPr="00E018E7" w:rsidRDefault="00133200" w:rsidP="00133200">
            <w:pPr>
              <w:spacing w:after="0" w:line="240" w:lineRule="auto"/>
              <w:jc w:val="center"/>
              <w:rPr>
                <w:color w:val="000000"/>
                <w:sz w:val="22"/>
              </w:rPr>
            </w:pPr>
            <w:r w:rsidRPr="00E018E7">
              <w:rPr>
                <w:color w:val="000000"/>
                <w:sz w:val="22"/>
              </w:rPr>
              <w:t>20%</w:t>
            </w:r>
          </w:p>
        </w:tc>
      </w:tr>
      <w:tr w:rsidR="00133200" w:rsidRPr="00E018E7" w14:paraId="24E0F559" w14:textId="1662E66E" w:rsidTr="009A288B">
        <w:trPr>
          <w:cnfStyle w:val="000000100000" w:firstRow="0" w:lastRow="0" w:firstColumn="0" w:lastColumn="0" w:oddVBand="0" w:evenVBand="0" w:oddHBand="1" w:evenHBand="0" w:firstRowFirstColumn="0" w:firstRowLastColumn="0" w:lastRowFirstColumn="0" w:lastRowLastColumn="0"/>
          <w:trHeight w:val="20"/>
        </w:trPr>
        <w:tc>
          <w:tcPr>
            <w:tcW w:w="2827" w:type="pct"/>
          </w:tcPr>
          <w:p w14:paraId="3D2DEBDA" w14:textId="77777777" w:rsidR="00133200" w:rsidRPr="00E018E7" w:rsidRDefault="00133200" w:rsidP="00133200">
            <w:pPr>
              <w:spacing w:after="0" w:line="240" w:lineRule="auto"/>
              <w:rPr>
                <w:color w:val="000000"/>
                <w:sz w:val="22"/>
              </w:rPr>
            </w:pPr>
            <w:r w:rsidRPr="00E018E7">
              <w:rPr>
                <w:color w:val="000000"/>
                <w:sz w:val="22"/>
              </w:rPr>
              <w:t xml:space="preserve">Taux d'exécution des </w:t>
            </w:r>
            <w:r w:rsidRPr="00F175A7">
              <w:rPr>
                <w:color w:val="auto"/>
                <w:sz w:val="22"/>
              </w:rPr>
              <w:t>travaux de réhabilitation du palais de justice de Bobo-Dioulasso</w:t>
            </w:r>
          </w:p>
        </w:tc>
        <w:tc>
          <w:tcPr>
            <w:tcW w:w="708" w:type="pct"/>
          </w:tcPr>
          <w:p w14:paraId="25BDE323" w14:textId="77777777" w:rsidR="00133200" w:rsidRPr="00E018E7" w:rsidRDefault="00133200" w:rsidP="00133200">
            <w:pPr>
              <w:spacing w:after="0" w:line="240" w:lineRule="auto"/>
              <w:jc w:val="center"/>
              <w:rPr>
                <w:color w:val="000000"/>
                <w:sz w:val="22"/>
              </w:rPr>
            </w:pPr>
            <w:r w:rsidRPr="00E018E7">
              <w:rPr>
                <w:color w:val="000000"/>
                <w:sz w:val="22"/>
              </w:rPr>
              <w:t>20%</w:t>
            </w:r>
          </w:p>
        </w:tc>
        <w:tc>
          <w:tcPr>
            <w:tcW w:w="771" w:type="pct"/>
          </w:tcPr>
          <w:p w14:paraId="00BF807F" w14:textId="48FBC829" w:rsidR="00133200" w:rsidRPr="00E018E7" w:rsidRDefault="00133200" w:rsidP="00133200">
            <w:pPr>
              <w:spacing w:after="0" w:line="240" w:lineRule="auto"/>
              <w:jc w:val="center"/>
              <w:rPr>
                <w:color w:val="000000"/>
                <w:sz w:val="22"/>
              </w:rPr>
            </w:pPr>
            <w:r w:rsidRPr="00E018E7">
              <w:rPr>
                <w:color w:val="000000"/>
                <w:sz w:val="22"/>
              </w:rPr>
              <w:t>98%</w:t>
            </w:r>
          </w:p>
        </w:tc>
        <w:tc>
          <w:tcPr>
            <w:tcW w:w="694" w:type="pct"/>
          </w:tcPr>
          <w:p w14:paraId="4DB14640" w14:textId="7E3AA216" w:rsidR="00133200" w:rsidRPr="00E018E7" w:rsidRDefault="00133200" w:rsidP="00133200">
            <w:pPr>
              <w:spacing w:after="0" w:line="240" w:lineRule="auto"/>
              <w:jc w:val="center"/>
              <w:rPr>
                <w:color w:val="000000"/>
                <w:sz w:val="22"/>
              </w:rPr>
            </w:pPr>
            <w:r w:rsidRPr="00E018E7">
              <w:rPr>
                <w:color w:val="000000"/>
                <w:sz w:val="22"/>
              </w:rPr>
              <w:t>80%</w:t>
            </w:r>
          </w:p>
        </w:tc>
      </w:tr>
      <w:tr w:rsidR="00133200" w:rsidRPr="00E018E7" w14:paraId="12C5B80B" w14:textId="7F0316DE" w:rsidTr="009A288B">
        <w:trPr>
          <w:trHeight w:val="20"/>
        </w:trPr>
        <w:tc>
          <w:tcPr>
            <w:tcW w:w="2827" w:type="pct"/>
          </w:tcPr>
          <w:p w14:paraId="65310C14" w14:textId="77777777" w:rsidR="00133200" w:rsidRPr="00E018E7" w:rsidRDefault="00133200" w:rsidP="00133200">
            <w:pPr>
              <w:spacing w:after="0" w:line="240" w:lineRule="auto"/>
              <w:rPr>
                <w:color w:val="000000"/>
                <w:sz w:val="22"/>
              </w:rPr>
            </w:pPr>
            <w:r w:rsidRPr="00E018E7">
              <w:rPr>
                <w:color w:val="000000"/>
                <w:sz w:val="22"/>
              </w:rPr>
              <w:t>Fonctionnalité du tribunal</w:t>
            </w:r>
            <w:r w:rsidRPr="00E018E7">
              <w:rPr>
                <w:sz w:val="22"/>
              </w:rPr>
              <w:t xml:space="preserve"> </w:t>
            </w:r>
            <w:r w:rsidRPr="00E018E7">
              <w:rPr>
                <w:color w:val="000000"/>
                <w:sz w:val="22"/>
              </w:rPr>
              <w:t>du travail de Fada N'Gourma</w:t>
            </w:r>
          </w:p>
        </w:tc>
        <w:tc>
          <w:tcPr>
            <w:tcW w:w="708" w:type="pct"/>
          </w:tcPr>
          <w:p w14:paraId="25A956AD" w14:textId="77777777" w:rsidR="00133200" w:rsidRPr="00E018E7" w:rsidRDefault="00133200" w:rsidP="00133200">
            <w:pPr>
              <w:spacing w:after="0" w:line="240" w:lineRule="auto"/>
              <w:jc w:val="center"/>
              <w:rPr>
                <w:color w:val="000000"/>
                <w:sz w:val="22"/>
              </w:rPr>
            </w:pPr>
            <w:r w:rsidRPr="00E018E7">
              <w:rPr>
                <w:color w:val="000000"/>
                <w:sz w:val="22"/>
              </w:rPr>
              <w:t>-</w:t>
            </w:r>
          </w:p>
        </w:tc>
        <w:tc>
          <w:tcPr>
            <w:tcW w:w="771" w:type="pct"/>
          </w:tcPr>
          <w:p w14:paraId="6C6EE48A" w14:textId="2A6913FD" w:rsidR="00133200" w:rsidRPr="00E018E7" w:rsidRDefault="00133200" w:rsidP="00133200">
            <w:pPr>
              <w:spacing w:after="0" w:line="240" w:lineRule="auto"/>
              <w:jc w:val="center"/>
              <w:rPr>
                <w:color w:val="000000"/>
                <w:sz w:val="22"/>
              </w:rPr>
            </w:pPr>
            <w:r w:rsidRPr="00E018E7">
              <w:rPr>
                <w:color w:val="000000"/>
                <w:sz w:val="22"/>
              </w:rPr>
              <w:t>Oui</w:t>
            </w:r>
          </w:p>
        </w:tc>
        <w:tc>
          <w:tcPr>
            <w:tcW w:w="694" w:type="pct"/>
          </w:tcPr>
          <w:p w14:paraId="75427D16" w14:textId="1C309D44" w:rsidR="00133200" w:rsidRPr="00E018E7" w:rsidRDefault="00133200" w:rsidP="00133200">
            <w:pPr>
              <w:spacing w:after="0" w:line="240" w:lineRule="auto"/>
              <w:jc w:val="center"/>
              <w:rPr>
                <w:color w:val="000000"/>
                <w:sz w:val="22"/>
              </w:rPr>
            </w:pPr>
            <w:r w:rsidRPr="00E018E7">
              <w:rPr>
                <w:color w:val="000000"/>
                <w:sz w:val="22"/>
              </w:rPr>
              <w:t>Oui</w:t>
            </w:r>
          </w:p>
        </w:tc>
      </w:tr>
      <w:tr w:rsidR="00133200" w:rsidRPr="00E018E7" w14:paraId="0F40321C" w14:textId="43F7F45B" w:rsidTr="009A288B">
        <w:trPr>
          <w:cnfStyle w:val="000000100000" w:firstRow="0" w:lastRow="0" w:firstColumn="0" w:lastColumn="0" w:oddVBand="0" w:evenVBand="0" w:oddHBand="1" w:evenHBand="0" w:firstRowFirstColumn="0" w:firstRowLastColumn="0" w:lastRowFirstColumn="0" w:lastRowLastColumn="0"/>
          <w:trHeight w:val="20"/>
        </w:trPr>
        <w:tc>
          <w:tcPr>
            <w:tcW w:w="2827" w:type="pct"/>
          </w:tcPr>
          <w:p w14:paraId="46324BFF" w14:textId="77777777" w:rsidR="00133200" w:rsidRPr="00E018E7" w:rsidRDefault="00133200" w:rsidP="00133200">
            <w:pPr>
              <w:spacing w:after="0" w:line="240" w:lineRule="auto"/>
              <w:rPr>
                <w:color w:val="000000"/>
                <w:sz w:val="22"/>
              </w:rPr>
            </w:pPr>
            <w:r w:rsidRPr="00E018E7">
              <w:rPr>
                <w:color w:val="000000"/>
                <w:sz w:val="22"/>
              </w:rPr>
              <w:t xml:space="preserve">Nombre d'actions de communication sur la justice </w:t>
            </w:r>
          </w:p>
        </w:tc>
        <w:tc>
          <w:tcPr>
            <w:tcW w:w="708" w:type="pct"/>
          </w:tcPr>
          <w:p w14:paraId="129A52DA" w14:textId="77777777" w:rsidR="00133200" w:rsidRPr="00E018E7" w:rsidRDefault="00133200" w:rsidP="00133200">
            <w:pPr>
              <w:spacing w:after="0" w:line="240" w:lineRule="auto"/>
              <w:jc w:val="center"/>
              <w:rPr>
                <w:color w:val="000000"/>
                <w:sz w:val="22"/>
              </w:rPr>
            </w:pPr>
            <w:r w:rsidRPr="00E018E7">
              <w:rPr>
                <w:color w:val="000000"/>
                <w:sz w:val="22"/>
              </w:rPr>
              <w:t>4</w:t>
            </w:r>
          </w:p>
        </w:tc>
        <w:tc>
          <w:tcPr>
            <w:tcW w:w="771" w:type="pct"/>
          </w:tcPr>
          <w:p w14:paraId="4569272C" w14:textId="100DF0B4" w:rsidR="00133200" w:rsidRPr="00E018E7" w:rsidRDefault="00133200" w:rsidP="00133200">
            <w:pPr>
              <w:spacing w:after="0" w:line="240" w:lineRule="auto"/>
              <w:jc w:val="center"/>
              <w:rPr>
                <w:color w:val="000000"/>
                <w:sz w:val="22"/>
              </w:rPr>
            </w:pPr>
            <w:r w:rsidRPr="00E018E7">
              <w:rPr>
                <w:color w:val="000000"/>
                <w:sz w:val="22"/>
              </w:rPr>
              <w:t>1</w:t>
            </w:r>
          </w:p>
        </w:tc>
        <w:tc>
          <w:tcPr>
            <w:tcW w:w="694" w:type="pct"/>
          </w:tcPr>
          <w:p w14:paraId="6E10A2BE" w14:textId="01D7E94F" w:rsidR="00133200" w:rsidRPr="00E018E7" w:rsidRDefault="00133200" w:rsidP="00133200">
            <w:pPr>
              <w:spacing w:after="0" w:line="240" w:lineRule="auto"/>
              <w:jc w:val="center"/>
              <w:rPr>
                <w:color w:val="000000"/>
                <w:sz w:val="22"/>
              </w:rPr>
            </w:pPr>
            <w:r w:rsidRPr="00E018E7">
              <w:rPr>
                <w:color w:val="000000"/>
                <w:sz w:val="22"/>
              </w:rPr>
              <w:t>2</w:t>
            </w:r>
          </w:p>
        </w:tc>
      </w:tr>
    </w:tbl>
    <w:p w14:paraId="2CCF22FB" w14:textId="3F2659C8" w:rsidR="00B17BCE" w:rsidRPr="00E31E23" w:rsidRDefault="00B17BCE" w:rsidP="00B17BCE">
      <w:pPr>
        <w:widowControl w:val="0"/>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 2023 du CSD-JDH, février 2024</w:t>
      </w:r>
    </w:p>
    <w:p w14:paraId="217DC39D"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Le taux d’exécution financière de cette action est de 77,37% car sur une prévision financière de 1 767 350 000 FCFA, 1 367 327 116 FCFA ont été consommés</w:t>
      </w:r>
    </w:p>
    <w:p w14:paraId="70C61C00" w14:textId="4A9B3BA2"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Pour ce qui est de l’action relative au </w:t>
      </w:r>
      <w:r w:rsidRPr="008139E1">
        <w:rPr>
          <w:rFonts w:eastAsia="Calibri"/>
          <w:b/>
          <w:szCs w:val="24"/>
        </w:rPr>
        <w:t>renforcement de l’indépendance de la justice (03036)</w:t>
      </w:r>
      <w:r w:rsidRPr="00B17BCE">
        <w:rPr>
          <w:rFonts w:eastAsia="Calibri"/>
          <w:szCs w:val="24"/>
        </w:rPr>
        <w:t xml:space="preserve">, elle vise essentiellement à poursuivre les efforts d’amélioration du cadre juridique et réglementaire. Au 31 décembre 2023, l’indicateur d’action relatif à l’adoption de deux textes a été réalisé. En effet, la loi constitutionnelle n°045/ALT du 30 décembre 2023 portant révision de la </w:t>
      </w:r>
      <w:r w:rsidR="00D2658D">
        <w:rPr>
          <w:rFonts w:eastAsia="Calibri"/>
          <w:szCs w:val="24"/>
        </w:rPr>
        <w:t>C</w:t>
      </w:r>
      <w:r w:rsidRPr="00B17BCE">
        <w:rPr>
          <w:rFonts w:eastAsia="Calibri"/>
          <w:szCs w:val="24"/>
        </w:rPr>
        <w:t xml:space="preserve">onstitution a prévu l’ouverture du </w:t>
      </w:r>
      <w:r w:rsidR="00685385">
        <w:rPr>
          <w:rFonts w:eastAsia="Calibri"/>
          <w:szCs w:val="24"/>
        </w:rPr>
        <w:t>C</w:t>
      </w:r>
      <w:r w:rsidRPr="00B17BCE">
        <w:rPr>
          <w:rFonts w:eastAsia="Calibri"/>
          <w:szCs w:val="24"/>
        </w:rPr>
        <w:t xml:space="preserve">onseil supérieur de la magistrature </w:t>
      </w:r>
      <w:r w:rsidR="00685385">
        <w:rPr>
          <w:rFonts w:eastAsia="Calibri"/>
          <w:szCs w:val="24"/>
        </w:rPr>
        <w:t xml:space="preserve">(CSM) </w:t>
      </w:r>
      <w:r w:rsidRPr="00B17BCE">
        <w:rPr>
          <w:rFonts w:eastAsia="Calibri"/>
          <w:szCs w:val="24"/>
        </w:rPr>
        <w:t>au personnel non magistrat. Sa mise en œuvre se réalisera par la révision de la loi organique portant organisation, composition, attributions et fonctionnement du CSM.</w:t>
      </w:r>
    </w:p>
    <w:p w14:paraId="7B2D0E27"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Pour la mise en œuvre de cette action, trois (03) produits ont été planifiés dont l’état d’exécution au 31 décembre 2023 est présenté dans le tableau ci-dessous. </w:t>
      </w:r>
    </w:p>
    <w:p w14:paraId="0A84EC93" w14:textId="1D4F64C2"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Deux (02) indicateurs de produits sur trois (03) ont atteint leur cible. Les avancées concernent entre autres : (i) la tenue </w:t>
      </w:r>
      <w:r w:rsidR="00685385">
        <w:rPr>
          <w:rFonts w:eastAsia="Calibri"/>
          <w:szCs w:val="24"/>
        </w:rPr>
        <w:t>de toutes les</w:t>
      </w:r>
      <w:r w:rsidRPr="00B17BCE">
        <w:rPr>
          <w:rFonts w:eastAsia="Calibri"/>
          <w:szCs w:val="24"/>
        </w:rPr>
        <w:t xml:space="preserve"> sessions statutaires du CSM et (ii) la </w:t>
      </w:r>
      <w:r w:rsidRPr="00B17BCE">
        <w:rPr>
          <w:rFonts w:eastAsia="Calibri"/>
          <w:szCs w:val="24"/>
        </w:rPr>
        <w:lastRenderedPageBreak/>
        <w:t xml:space="preserve">promotion de tous les postes </w:t>
      </w:r>
      <w:r w:rsidR="00685385">
        <w:rPr>
          <w:rFonts w:eastAsia="Calibri"/>
          <w:szCs w:val="24"/>
        </w:rPr>
        <w:t xml:space="preserve">vacants </w:t>
      </w:r>
      <w:r w:rsidRPr="00B17BCE">
        <w:rPr>
          <w:rFonts w:eastAsia="Calibri"/>
          <w:szCs w:val="24"/>
        </w:rPr>
        <w:t xml:space="preserve">de responsabilité dans la magistrature par appel à candidature. </w:t>
      </w:r>
    </w:p>
    <w:p w14:paraId="2874875D"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Quant à l’activité relative à la sensibilisation des magistrats sur la déontologie de la justice, elle n’a pas pu être menée car le partenaire a décidé de réorienter ses financements d’un montant de 45 000 000 FCFA vers d’autres priorités.</w:t>
      </w:r>
    </w:p>
    <w:p w14:paraId="1979CAF6" w14:textId="073746C5" w:rsidR="00B17BCE" w:rsidRDefault="00E57769" w:rsidP="00B17BCE">
      <w:pPr>
        <w:pBdr>
          <w:top w:val="nil"/>
          <w:left w:val="nil"/>
          <w:bottom w:val="nil"/>
          <w:right w:val="nil"/>
          <w:between w:val="nil"/>
        </w:pBdr>
        <w:spacing w:after="200" w:line="240" w:lineRule="auto"/>
        <w:rPr>
          <w:rFonts w:cs="Merriweather"/>
          <w:color w:val="000000"/>
          <w:sz w:val="22"/>
        </w:rPr>
      </w:pPr>
      <w:bookmarkStart w:id="77" w:name="_Toc164503614"/>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27</w:t>
      </w:r>
      <w:r w:rsidRPr="00B51145">
        <w:rPr>
          <w:b/>
          <w:bCs/>
          <w:sz w:val="22"/>
          <w:u w:val="single"/>
        </w:rPr>
        <w:fldChar w:fldCharType="end"/>
      </w:r>
      <w:r w:rsidRPr="00B51145">
        <w:rPr>
          <w:rFonts w:cs="Merriweather"/>
          <w:color w:val="44546A"/>
          <w:sz w:val="22"/>
        </w:rPr>
        <w:t>:</w:t>
      </w:r>
      <w:r w:rsidR="00B17BCE" w:rsidRPr="008D20C6">
        <w:rPr>
          <w:rFonts w:cs="Merriweather"/>
          <w:color w:val="44546A"/>
          <w:sz w:val="22"/>
        </w:rPr>
        <w:t xml:space="preserve"> : </w:t>
      </w:r>
      <w:r w:rsidR="00751F8E">
        <w:rPr>
          <w:rFonts w:cs="Merriweather"/>
          <w:color w:val="000000"/>
          <w:sz w:val="22"/>
        </w:rPr>
        <w:t>s</w:t>
      </w:r>
      <w:r w:rsidR="00B17BCE" w:rsidRPr="008D20C6">
        <w:rPr>
          <w:rFonts w:cs="Merriweather"/>
          <w:color w:val="000000"/>
          <w:sz w:val="22"/>
        </w:rPr>
        <w:t>ituation des indicateurs de produits au 31 décembre 2023 de l’action </w:t>
      </w:r>
      <w:r w:rsidR="00D2658D">
        <w:rPr>
          <w:rFonts w:cs="Merriweather"/>
          <w:color w:val="000000"/>
          <w:sz w:val="22"/>
        </w:rPr>
        <w:t>« r</w:t>
      </w:r>
      <w:r w:rsidR="00B17BCE" w:rsidRPr="008D20C6">
        <w:rPr>
          <w:rFonts w:cs="Merriweather"/>
          <w:color w:val="000000"/>
          <w:sz w:val="22"/>
        </w:rPr>
        <w:t>enforcement de l’indépendance de la justice</w:t>
      </w:r>
      <w:r w:rsidR="00D2658D">
        <w:rPr>
          <w:rFonts w:cs="Merriweather"/>
          <w:color w:val="000000"/>
          <w:sz w:val="22"/>
        </w:rPr>
        <w:t> »</w:t>
      </w:r>
      <w:bookmarkEnd w:id="77"/>
      <w:r w:rsidR="00B17BCE" w:rsidRPr="008D20C6">
        <w:rPr>
          <w:rFonts w:cs="Merriweather"/>
          <w:color w:val="000000"/>
          <w:sz w:val="22"/>
        </w:rPr>
        <w:t xml:space="preserve"> </w:t>
      </w:r>
    </w:p>
    <w:tbl>
      <w:tblPr>
        <w:tblStyle w:val="TableauGrille4-Accentuation12"/>
        <w:tblW w:w="5000" w:type="pct"/>
        <w:tblLook w:val="04A0" w:firstRow="1" w:lastRow="0" w:firstColumn="1" w:lastColumn="0" w:noHBand="0" w:noVBand="1"/>
      </w:tblPr>
      <w:tblGrid>
        <w:gridCol w:w="5035"/>
        <w:gridCol w:w="1260"/>
        <w:gridCol w:w="1351"/>
        <w:gridCol w:w="1370"/>
      </w:tblGrid>
      <w:tr w:rsidR="00B17BCE" w:rsidRPr="00E018E7" w14:paraId="14867613" w14:textId="77777777" w:rsidTr="00E5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vAlign w:val="center"/>
          </w:tcPr>
          <w:p w14:paraId="706C007A" w14:textId="23531EA9" w:rsidR="00B17BCE" w:rsidRPr="00E018E7" w:rsidRDefault="00B17BCE" w:rsidP="00F175A7">
            <w:pPr>
              <w:spacing w:after="120" w:line="240" w:lineRule="auto"/>
              <w:rPr>
                <w:rFonts w:cs="Merriweather"/>
                <w:color w:val="000000"/>
              </w:rPr>
            </w:pPr>
            <w:r w:rsidRPr="00E018E7">
              <w:rPr>
                <w:color w:val="FFFFFF"/>
              </w:rPr>
              <w:t>Indicateur</w:t>
            </w:r>
            <w:r w:rsidR="008F33DB">
              <w:rPr>
                <w:color w:val="FFFFFF"/>
              </w:rPr>
              <w:t>s</w:t>
            </w:r>
            <w:r w:rsidRPr="00E018E7">
              <w:rPr>
                <w:color w:val="FFFFFF"/>
              </w:rPr>
              <w:t xml:space="preserve"> </w:t>
            </w:r>
          </w:p>
        </w:tc>
        <w:tc>
          <w:tcPr>
            <w:tcW w:w="699" w:type="pct"/>
            <w:vAlign w:val="center"/>
          </w:tcPr>
          <w:p w14:paraId="7A5B429A" w14:textId="77777777" w:rsidR="00B17BCE" w:rsidRPr="00E018E7" w:rsidRDefault="00B17BCE" w:rsidP="00F175A7">
            <w:pPr>
              <w:spacing w:after="120" w:line="240" w:lineRule="auto"/>
              <w:cnfStyle w:val="100000000000" w:firstRow="1" w:lastRow="0" w:firstColumn="0" w:lastColumn="0" w:oddVBand="0" w:evenVBand="0" w:oddHBand="0" w:evenHBand="0" w:firstRowFirstColumn="0" w:firstRowLastColumn="0" w:lastRowFirstColumn="0" w:lastRowLastColumn="0"/>
              <w:rPr>
                <w:rFonts w:cs="Merriweather"/>
                <w:color w:val="000000"/>
              </w:rPr>
            </w:pPr>
            <w:r w:rsidRPr="00E018E7">
              <w:rPr>
                <w:color w:val="FFFFFF"/>
              </w:rPr>
              <w:t>Réal. 2022</w:t>
            </w:r>
          </w:p>
        </w:tc>
        <w:tc>
          <w:tcPr>
            <w:tcW w:w="749" w:type="pct"/>
            <w:vAlign w:val="center"/>
          </w:tcPr>
          <w:p w14:paraId="1A16F892" w14:textId="77777777" w:rsidR="00B17BCE" w:rsidRPr="00E018E7" w:rsidRDefault="00B17BCE" w:rsidP="00F175A7">
            <w:pPr>
              <w:spacing w:after="120" w:line="240" w:lineRule="auto"/>
              <w:cnfStyle w:val="100000000000" w:firstRow="1" w:lastRow="0" w:firstColumn="0" w:lastColumn="0" w:oddVBand="0" w:evenVBand="0" w:oddHBand="0" w:evenHBand="0" w:firstRowFirstColumn="0" w:firstRowLastColumn="0" w:lastRowFirstColumn="0" w:lastRowLastColumn="0"/>
              <w:rPr>
                <w:rFonts w:cs="Merriweather"/>
                <w:color w:val="000000"/>
              </w:rPr>
            </w:pPr>
            <w:r w:rsidRPr="00E018E7">
              <w:rPr>
                <w:color w:val="FFFFFF"/>
              </w:rPr>
              <w:t>Réal. 2023</w:t>
            </w:r>
          </w:p>
        </w:tc>
        <w:tc>
          <w:tcPr>
            <w:tcW w:w="760" w:type="pct"/>
            <w:vAlign w:val="center"/>
          </w:tcPr>
          <w:p w14:paraId="7E4ABECB" w14:textId="77777777" w:rsidR="00B17BCE" w:rsidRPr="00E018E7" w:rsidRDefault="00B17BCE" w:rsidP="00F175A7">
            <w:pPr>
              <w:spacing w:after="120" w:line="240" w:lineRule="auto"/>
              <w:cnfStyle w:val="100000000000" w:firstRow="1" w:lastRow="0" w:firstColumn="0" w:lastColumn="0" w:oddVBand="0" w:evenVBand="0" w:oddHBand="0" w:evenHBand="0" w:firstRowFirstColumn="0" w:firstRowLastColumn="0" w:lastRowFirstColumn="0" w:lastRowLastColumn="0"/>
              <w:rPr>
                <w:color w:val="FFFFFF"/>
              </w:rPr>
            </w:pPr>
            <w:r w:rsidRPr="00E018E7">
              <w:rPr>
                <w:color w:val="FFFFFF"/>
              </w:rPr>
              <w:t>Cible 2023</w:t>
            </w:r>
          </w:p>
        </w:tc>
      </w:tr>
      <w:tr w:rsidR="00B17BCE" w:rsidRPr="00E018E7" w14:paraId="5AE5F58F"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vAlign w:val="center"/>
          </w:tcPr>
          <w:p w14:paraId="056C61FD" w14:textId="0E50E57D" w:rsidR="00B17BCE" w:rsidRPr="00E018E7" w:rsidRDefault="00B17BCE" w:rsidP="00F175A7">
            <w:pPr>
              <w:spacing w:after="120" w:line="240" w:lineRule="auto"/>
              <w:rPr>
                <w:rFonts w:cs="Merriweather"/>
                <w:color w:val="000000"/>
              </w:rPr>
            </w:pPr>
            <w:r w:rsidRPr="00E018E7">
              <w:rPr>
                <w:color w:val="000000"/>
              </w:rPr>
              <w:t xml:space="preserve">Nombre de magistrats sensibilisés </w:t>
            </w:r>
            <w:r w:rsidR="00D2658D">
              <w:rPr>
                <w:color w:val="000000"/>
              </w:rPr>
              <w:t>à</w:t>
            </w:r>
            <w:r w:rsidRPr="00E018E7">
              <w:rPr>
                <w:color w:val="000000"/>
              </w:rPr>
              <w:t xml:space="preserve"> la déontologie </w:t>
            </w:r>
          </w:p>
        </w:tc>
        <w:tc>
          <w:tcPr>
            <w:tcW w:w="699" w:type="pct"/>
            <w:vAlign w:val="center"/>
          </w:tcPr>
          <w:p w14:paraId="29F7EB65" w14:textId="77777777" w:rsidR="00B17BCE" w:rsidRPr="00E018E7" w:rsidRDefault="00B17BCE" w:rsidP="00F175A7">
            <w:pPr>
              <w:spacing w:after="120" w:line="240" w:lineRule="auto"/>
              <w:cnfStyle w:val="000000100000" w:firstRow="0" w:lastRow="0" w:firstColumn="0" w:lastColumn="0" w:oddVBand="0" w:evenVBand="0" w:oddHBand="1" w:evenHBand="0" w:firstRowFirstColumn="0" w:firstRowLastColumn="0" w:lastRowFirstColumn="0" w:lastRowLastColumn="0"/>
              <w:rPr>
                <w:rFonts w:cs="Merriweather"/>
                <w:color w:val="000000"/>
              </w:rPr>
            </w:pPr>
            <w:r w:rsidRPr="00E018E7">
              <w:rPr>
                <w:color w:val="000000"/>
              </w:rPr>
              <w:t>91</w:t>
            </w:r>
          </w:p>
        </w:tc>
        <w:tc>
          <w:tcPr>
            <w:tcW w:w="749" w:type="pct"/>
            <w:vAlign w:val="center"/>
          </w:tcPr>
          <w:p w14:paraId="270E5C48" w14:textId="77777777" w:rsidR="00B17BCE" w:rsidRPr="00E018E7" w:rsidRDefault="00B17BCE" w:rsidP="00F175A7">
            <w:pPr>
              <w:spacing w:after="120" w:line="240" w:lineRule="auto"/>
              <w:cnfStyle w:val="000000100000" w:firstRow="0" w:lastRow="0" w:firstColumn="0" w:lastColumn="0" w:oddVBand="0" w:evenVBand="0" w:oddHBand="1" w:evenHBand="0" w:firstRowFirstColumn="0" w:firstRowLastColumn="0" w:lastRowFirstColumn="0" w:lastRowLastColumn="0"/>
              <w:rPr>
                <w:rFonts w:cs="Merriweather"/>
                <w:color w:val="000000"/>
              </w:rPr>
            </w:pPr>
            <w:r w:rsidRPr="00E018E7">
              <w:rPr>
                <w:color w:val="000000"/>
              </w:rPr>
              <w:t>0</w:t>
            </w:r>
          </w:p>
        </w:tc>
        <w:tc>
          <w:tcPr>
            <w:tcW w:w="760" w:type="pct"/>
            <w:vAlign w:val="center"/>
          </w:tcPr>
          <w:p w14:paraId="6CF700C8" w14:textId="77777777" w:rsidR="00B17BCE" w:rsidRPr="00E018E7" w:rsidRDefault="00B17BCE" w:rsidP="00F175A7">
            <w:pPr>
              <w:spacing w:after="120" w:line="240" w:lineRule="auto"/>
              <w:cnfStyle w:val="000000100000" w:firstRow="0" w:lastRow="0" w:firstColumn="0" w:lastColumn="0" w:oddVBand="0" w:evenVBand="0" w:oddHBand="1" w:evenHBand="0" w:firstRowFirstColumn="0" w:firstRowLastColumn="0" w:lastRowFirstColumn="0" w:lastRowLastColumn="0"/>
              <w:rPr>
                <w:color w:val="000000"/>
              </w:rPr>
            </w:pPr>
            <w:r w:rsidRPr="00E018E7">
              <w:rPr>
                <w:color w:val="000000"/>
              </w:rPr>
              <w:t>55</w:t>
            </w:r>
          </w:p>
        </w:tc>
      </w:tr>
      <w:tr w:rsidR="00B17BCE" w:rsidRPr="00E018E7" w14:paraId="7D9A4BA9" w14:textId="77777777" w:rsidTr="00E52836">
        <w:tc>
          <w:tcPr>
            <w:cnfStyle w:val="001000000000" w:firstRow="0" w:lastRow="0" w:firstColumn="1" w:lastColumn="0" w:oddVBand="0" w:evenVBand="0" w:oddHBand="0" w:evenHBand="0" w:firstRowFirstColumn="0" w:firstRowLastColumn="0" w:lastRowFirstColumn="0" w:lastRowLastColumn="0"/>
            <w:tcW w:w="2792" w:type="pct"/>
            <w:vAlign w:val="center"/>
          </w:tcPr>
          <w:p w14:paraId="430A675C" w14:textId="77777777" w:rsidR="00B17BCE" w:rsidRPr="00E018E7" w:rsidRDefault="00B17BCE" w:rsidP="00F175A7">
            <w:pPr>
              <w:spacing w:after="120" w:line="240" w:lineRule="auto"/>
              <w:rPr>
                <w:rFonts w:cs="Merriweather"/>
                <w:color w:val="000000"/>
              </w:rPr>
            </w:pPr>
            <w:r w:rsidRPr="00E018E7">
              <w:rPr>
                <w:color w:val="000000"/>
              </w:rPr>
              <w:t>Nombre de sessions du CSM tenues</w:t>
            </w:r>
          </w:p>
        </w:tc>
        <w:tc>
          <w:tcPr>
            <w:tcW w:w="699" w:type="pct"/>
            <w:vAlign w:val="center"/>
          </w:tcPr>
          <w:p w14:paraId="012C0A4B" w14:textId="77777777" w:rsidR="00B17BCE" w:rsidRPr="00E018E7" w:rsidRDefault="00B17BCE" w:rsidP="00F175A7">
            <w:pPr>
              <w:spacing w:after="120" w:line="240" w:lineRule="auto"/>
              <w:cnfStyle w:val="000000000000" w:firstRow="0" w:lastRow="0" w:firstColumn="0" w:lastColumn="0" w:oddVBand="0" w:evenVBand="0" w:oddHBand="0" w:evenHBand="0" w:firstRowFirstColumn="0" w:firstRowLastColumn="0" w:lastRowFirstColumn="0" w:lastRowLastColumn="0"/>
              <w:rPr>
                <w:rFonts w:cs="Merriweather"/>
                <w:color w:val="000000"/>
              </w:rPr>
            </w:pPr>
            <w:r w:rsidRPr="00E018E7">
              <w:rPr>
                <w:color w:val="000000"/>
              </w:rPr>
              <w:t>7</w:t>
            </w:r>
          </w:p>
        </w:tc>
        <w:tc>
          <w:tcPr>
            <w:tcW w:w="749" w:type="pct"/>
            <w:vAlign w:val="center"/>
          </w:tcPr>
          <w:p w14:paraId="119398DE" w14:textId="77777777" w:rsidR="00B17BCE" w:rsidRPr="00E018E7" w:rsidRDefault="00B17BCE" w:rsidP="00F175A7">
            <w:pPr>
              <w:spacing w:after="120" w:line="240" w:lineRule="auto"/>
              <w:cnfStyle w:val="000000000000" w:firstRow="0" w:lastRow="0" w:firstColumn="0" w:lastColumn="0" w:oddVBand="0" w:evenVBand="0" w:oddHBand="0" w:evenHBand="0" w:firstRowFirstColumn="0" w:firstRowLastColumn="0" w:lastRowFirstColumn="0" w:lastRowLastColumn="0"/>
              <w:rPr>
                <w:rFonts w:cs="Merriweather"/>
                <w:color w:val="000000"/>
              </w:rPr>
            </w:pPr>
            <w:r w:rsidRPr="00E018E7">
              <w:rPr>
                <w:color w:val="000000"/>
              </w:rPr>
              <w:t>8</w:t>
            </w:r>
          </w:p>
        </w:tc>
        <w:tc>
          <w:tcPr>
            <w:tcW w:w="760" w:type="pct"/>
            <w:vAlign w:val="center"/>
          </w:tcPr>
          <w:p w14:paraId="665C4A46" w14:textId="77777777" w:rsidR="00B17BCE" w:rsidRPr="00E018E7" w:rsidRDefault="00B17BCE" w:rsidP="00F175A7">
            <w:pPr>
              <w:spacing w:after="120" w:line="240" w:lineRule="auto"/>
              <w:cnfStyle w:val="000000000000" w:firstRow="0" w:lastRow="0" w:firstColumn="0" w:lastColumn="0" w:oddVBand="0" w:evenVBand="0" w:oddHBand="0" w:evenHBand="0" w:firstRowFirstColumn="0" w:firstRowLastColumn="0" w:lastRowFirstColumn="0" w:lastRowLastColumn="0"/>
              <w:rPr>
                <w:color w:val="000000"/>
              </w:rPr>
            </w:pPr>
            <w:r w:rsidRPr="00E018E7">
              <w:rPr>
                <w:color w:val="000000"/>
              </w:rPr>
              <w:t>8</w:t>
            </w:r>
          </w:p>
        </w:tc>
      </w:tr>
      <w:tr w:rsidR="00B17BCE" w:rsidRPr="00E018E7" w14:paraId="5111DB81"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pct"/>
            <w:vAlign w:val="center"/>
          </w:tcPr>
          <w:p w14:paraId="23558E07" w14:textId="77777777" w:rsidR="00B17BCE" w:rsidRPr="00E018E7" w:rsidRDefault="00B17BCE" w:rsidP="00F175A7">
            <w:pPr>
              <w:spacing w:after="120" w:line="240" w:lineRule="auto"/>
              <w:rPr>
                <w:rFonts w:cs="Merriweather"/>
                <w:color w:val="000000"/>
              </w:rPr>
            </w:pPr>
            <w:r w:rsidRPr="00E018E7">
              <w:rPr>
                <w:color w:val="000000"/>
              </w:rPr>
              <w:t>Proportion de postes</w:t>
            </w:r>
            <w:r w:rsidRPr="00E018E7">
              <w:t xml:space="preserve"> </w:t>
            </w:r>
            <w:r w:rsidRPr="00E018E7">
              <w:rPr>
                <w:color w:val="000000"/>
              </w:rPr>
              <w:t>de responsabilité dans la magistrature pourvus par appel à candidature</w:t>
            </w:r>
          </w:p>
        </w:tc>
        <w:tc>
          <w:tcPr>
            <w:tcW w:w="699" w:type="pct"/>
            <w:vAlign w:val="center"/>
          </w:tcPr>
          <w:p w14:paraId="2436714B" w14:textId="77777777" w:rsidR="00B17BCE" w:rsidRPr="00E018E7" w:rsidRDefault="00B17BCE" w:rsidP="00F175A7">
            <w:pPr>
              <w:spacing w:after="120" w:line="240" w:lineRule="auto"/>
              <w:cnfStyle w:val="000000100000" w:firstRow="0" w:lastRow="0" w:firstColumn="0" w:lastColumn="0" w:oddVBand="0" w:evenVBand="0" w:oddHBand="1" w:evenHBand="0" w:firstRowFirstColumn="0" w:firstRowLastColumn="0" w:lastRowFirstColumn="0" w:lastRowLastColumn="0"/>
              <w:rPr>
                <w:rFonts w:cs="Merriweather"/>
                <w:color w:val="000000"/>
              </w:rPr>
            </w:pPr>
            <w:r w:rsidRPr="00E018E7">
              <w:rPr>
                <w:color w:val="000000"/>
              </w:rPr>
              <w:t>100%</w:t>
            </w:r>
          </w:p>
        </w:tc>
        <w:tc>
          <w:tcPr>
            <w:tcW w:w="749" w:type="pct"/>
            <w:vAlign w:val="center"/>
          </w:tcPr>
          <w:p w14:paraId="57A5206A" w14:textId="77777777" w:rsidR="00B17BCE" w:rsidRPr="00E018E7" w:rsidRDefault="00B17BCE" w:rsidP="00F175A7">
            <w:pPr>
              <w:spacing w:after="120" w:line="240" w:lineRule="auto"/>
              <w:cnfStyle w:val="000000100000" w:firstRow="0" w:lastRow="0" w:firstColumn="0" w:lastColumn="0" w:oddVBand="0" w:evenVBand="0" w:oddHBand="1" w:evenHBand="0" w:firstRowFirstColumn="0" w:firstRowLastColumn="0" w:lastRowFirstColumn="0" w:lastRowLastColumn="0"/>
              <w:rPr>
                <w:rFonts w:cs="Merriweather"/>
                <w:color w:val="000000"/>
              </w:rPr>
            </w:pPr>
            <w:r w:rsidRPr="00E018E7">
              <w:rPr>
                <w:color w:val="000000"/>
              </w:rPr>
              <w:t>100%</w:t>
            </w:r>
          </w:p>
        </w:tc>
        <w:tc>
          <w:tcPr>
            <w:tcW w:w="760" w:type="pct"/>
            <w:vAlign w:val="center"/>
          </w:tcPr>
          <w:p w14:paraId="74D95800" w14:textId="77777777" w:rsidR="00B17BCE" w:rsidRPr="00E018E7" w:rsidRDefault="00B17BCE" w:rsidP="00F175A7">
            <w:pPr>
              <w:spacing w:after="120" w:line="240" w:lineRule="auto"/>
              <w:cnfStyle w:val="000000100000" w:firstRow="0" w:lastRow="0" w:firstColumn="0" w:lastColumn="0" w:oddVBand="0" w:evenVBand="0" w:oddHBand="1" w:evenHBand="0" w:firstRowFirstColumn="0" w:firstRowLastColumn="0" w:lastRowFirstColumn="0" w:lastRowLastColumn="0"/>
              <w:rPr>
                <w:color w:val="000000"/>
              </w:rPr>
            </w:pPr>
            <w:r w:rsidRPr="00E018E7">
              <w:rPr>
                <w:color w:val="000000"/>
              </w:rPr>
              <w:t>100%</w:t>
            </w:r>
          </w:p>
        </w:tc>
      </w:tr>
    </w:tbl>
    <w:p w14:paraId="351EC618" w14:textId="589C7720" w:rsidR="00B17BCE" w:rsidRPr="00E31E23" w:rsidRDefault="00B17BCE" w:rsidP="00B17BCE">
      <w:pPr>
        <w:rPr>
          <w:sz w:val="20"/>
          <w:szCs w:val="20"/>
        </w:rPr>
      </w:pPr>
      <w:bookmarkStart w:id="78" w:name="_heading=h.1x0gk37" w:colFirst="0" w:colLast="0"/>
      <w:bookmarkEnd w:id="78"/>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 xml:space="preserve">de performance </w:t>
      </w:r>
      <w:r w:rsidR="00547F92">
        <w:rPr>
          <w:sz w:val="20"/>
          <w:szCs w:val="20"/>
        </w:rPr>
        <w:t>2023</w:t>
      </w:r>
      <w:r w:rsidRPr="00E31E23">
        <w:rPr>
          <w:sz w:val="20"/>
          <w:szCs w:val="20"/>
        </w:rPr>
        <w:t xml:space="preserve"> du CSD-JDH, février 2024</w:t>
      </w:r>
    </w:p>
    <w:p w14:paraId="78A26593"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Le taux d’exécution financière de l’action est de 52% car sur un budget prévisionnel de 171 000 000 FCFA, un montant de 88 929 240 FCFA a été dépensé.</w:t>
      </w:r>
    </w:p>
    <w:p w14:paraId="091FB6F6" w14:textId="5080AC53"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Quant à la quatrième action portant sur </w:t>
      </w:r>
      <w:r w:rsidRPr="008139E1">
        <w:rPr>
          <w:rFonts w:eastAsia="Calibri"/>
          <w:b/>
          <w:szCs w:val="24"/>
        </w:rPr>
        <w:t>le renforcement de l'effectivité des droits humains (03037)</w:t>
      </w:r>
      <w:r w:rsidRPr="00B17BCE">
        <w:rPr>
          <w:rFonts w:eastAsia="Calibri"/>
          <w:szCs w:val="24"/>
        </w:rPr>
        <w:t>, elle vise à améliorer le taux de mise en œuvre des recommandations de l'</w:t>
      </w:r>
      <w:r w:rsidR="00D2658D">
        <w:rPr>
          <w:rFonts w:eastAsia="Calibri"/>
          <w:szCs w:val="24"/>
        </w:rPr>
        <w:t>E</w:t>
      </w:r>
      <w:r w:rsidRPr="00B17BCE">
        <w:rPr>
          <w:rFonts w:eastAsia="Calibri"/>
          <w:szCs w:val="24"/>
        </w:rPr>
        <w:t>xamen périodique universel troisième cycle (EPU). A fin décembre 2023, la valeur de l’indicateur est ressortie à 88,04% pour une cible de 85%.</w:t>
      </w:r>
    </w:p>
    <w:p w14:paraId="20BAA6E7"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Huit (08) produits ont été identifiés pour la mise en œuvre de cette action. Le tableau suivant présente les niveaux d’atteinte des indicateurs de produits de l’action au 31 décembre 2023.</w:t>
      </w:r>
    </w:p>
    <w:p w14:paraId="33A1B3DA" w14:textId="5E885861"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L’analyse du tableau montre que s</w:t>
      </w:r>
      <w:r w:rsidR="00685385">
        <w:rPr>
          <w:rFonts w:eastAsia="Calibri"/>
          <w:szCs w:val="24"/>
        </w:rPr>
        <w:t>ept</w:t>
      </w:r>
      <w:r w:rsidRPr="00B17BCE">
        <w:rPr>
          <w:rFonts w:eastAsia="Calibri"/>
          <w:szCs w:val="24"/>
        </w:rPr>
        <w:t xml:space="preserve"> (0</w:t>
      </w:r>
      <w:r w:rsidR="00685385">
        <w:rPr>
          <w:rFonts w:eastAsia="Calibri"/>
          <w:szCs w:val="24"/>
        </w:rPr>
        <w:t>7</w:t>
      </w:r>
      <w:r w:rsidRPr="00B17BCE">
        <w:rPr>
          <w:rFonts w:eastAsia="Calibri"/>
          <w:szCs w:val="24"/>
        </w:rPr>
        <w:t xml:space="preserve">) indicateurs de produits ont atteint leur cible sur les huit (08) programmés. </w:t>
      </w:r>
    </w:p>
    <w:p w14:paraId="569F3CB0" w14:textId="77777777" w:rsidR="0042139C" w:rsidRPr="00B17BCE" w:rsidRDefault="00B17BCE" w:rsidP="0042139C">
      <w:pPr>
        <w:numPr>
          <w:ilvl w:val="0"/>
          <w:numId w:val="8"/>
        </w:numPr>
        <w:shd w:val="clear" w:color="auto" w:fill="FFFFFF"/>
        <w:spacing w:before="120" w:after="120" w:line="240" w:lineRule="auto"/>
        <w:ind w:left="0"/>
        <w:rPr>
          <w:rFonts w:eastAsia="Calibri"/>
          <w:szCs w:val="24"/>
        </w:rPr>
      </w:pPr>
      <w:r w:rsidRPr="00B17BCE">
        <w:rPr>
          <w:rFonts w:eastAsia="Calibri"/>
          <w:szCs w:val="24"/>
        </w:rPr>
        <w:t>Les avancées majeures obtenues concernent entre autres : (i) la visite de 14 sites de regroupement des PDI pour s’assurer de l’effectivité du respect des droits humains ; (ii) l’élaboration et la transmission de 3 rapports dus aux organes de traités ; (iii) la sensibilisation de 15 302 acteurs sur le Droit international humanitaire (DIH)</w:t>
      </w:r>
      <w:r w:rsidR="0042139C">
        <w:rPr>
          <w:rFonts w:eastAsia="Calibri"/>
          <w:szCs w:val="24"/>
        </w:rPr>
        <w:t xml:space="preserve">, (iv) la </w:t>
      </w:r>
      <w:r w:rsidR="0042139C" w:rsidRPr="00B17BCE">
        <w:rPr>
          <w:rFonts w:eastAsia="Calibri"/>
          <w:szCs w:val="24"/>
        </w:rPr>
        <w:t>formation de</w:t>
      </w:r>
      <w:r w:rsidR="0042139C">
        <w:rPr>
          <w:rFonts w:eastAsia="Calibri"/>
          <w:szCs w:val="24"/>
        </w:rPr>
        <w:t xml:space="preserve"> 797</w:t>
      </w:r>
      <w:r w:rsidR="0042139C" w:rsidRPr="00B17BCE">
        <w:rPr>
          <w:rFonts w:eastAsia="Calibri"/>
          <w:szCs w:val="24"/>
        </w:rPr>
        <w:t xml:space="preserve"> FDS en droits humains et en droit international humanitaire</w:t>
      </w:r>
      <w:r w:rsidR="0042139C">
        <w:rPr>
          <w:rFonts w:eastAsia="Calibri"/>
          <w:szCs w:val="24"/>
        </w:rPr>
        <w:t>,</w:t>
      </w:r>
      <w:r w:rsidR="0042139C" w:rsidRPr="00B17BCE">
        <w:rPr>
          <w:rFonts w:eastAsia="Calibri"/>
          <w:szCs w:val="24"/>
        </w:rPr>
        <w:t xml:space="preserve"> (v) le traitement de l’ensemble des plaintes des victimes de violation des droits humains</w:t>
      </w:r>
      <w:r w:rsidR="0042139C">
        <w:rPr>
          <w:rFonts w:eastAsia="Calibri"/>
          <w:szCs w:val="24"/>
        </w:rPr>
        <w:t xml:space="preserve"> et (vi) la visite de 50 lieux de détention pour s’assurer du respect des droits humains</w:t>
      </w:r>
      <w:r w:rsidR="0042139C" w:rsidRPr="00B17BCE">
        <w:rPr>
          <w:rFonts w:eastAsia="Calibri"/>
          <w:szCs w:val="24"/>
        </w:rPr>
        <w:t>.</w:t>
      </w:r>
    </w:p>
    <w:p w14:paraId="30DA3054" w14:textId="13B0ECD9" w:rsidR="00CA6AFC" w:rsidRDefault="00B17BCE" w:rsidP="0042139C">
      <w:pPr>
        <w:numPr>
          <w:ilvl w:val="0"/>
          <w:numId w:val="8"/>
        </w:numPr>
        <w:shd w:val="clear" w:color="auto" w:fill="FFFFFF"/>
        <w:spacing w:before="120" w:after="120" w:line="240" w:lineRule="auto"/>
        <w:ind w:left="0"/>
        <w:rPr>
          <w:rFonts w:eastAsia="Calibri"/>
          <w:szCs w:val="24"/>
        </w:rPr>
      </w:pPr>
      <w:r w:rsidRPr="0042139C">
        <w:rPr>
          <w:rFonts w:eastAsia="Calibri"/>
          <w:szCs w:val="24"/>
        </w:rPr>
        <w:t>La proportion de cas de violations ayant fait l'objet d’investigation n’</w:t>
      </w:r>
      <w:r w:rsidR="0042139C">
        <w:rPr>
          <w:rFonts w:eastAsia="Calibri"/>
          <w:szCs w:val="24"/>
        </w:rPr>
        <w:t>a</w:t>
      </w:r>
      <w:r w:rsidRPr="0042139C">
        <w:rPr>
          <w:rFonts w:eastAsia="Calibri"/>
          <w:szCs w:val="24"/>
        </w:rPr>
        <w:t xml:space="preserve"> pas atteint </w:t>
      </w:r>
      <w:r w:rsidR="0042139C">
        <w:rPr>
          <w:rFonts w:eastAsia="Calibri"/>
          <w:szCs w:val="24"/>
        </w:rPr>
        <w:t>sa</w:t>
      </w:r>
      <w:r w:rsidRPr="0042139C">
        <w:rPr>
          <w:rFonts w:eastAsia="Calibri"/>
          <w:szCs w:val="24"/>
        </w:rPr>
        <w:t xml:space="preserve"> cible en raison de l’insuffisance des ressources financières.</w:t>
      </w:r>
    </w:p>
    <w:p w14:paraId="057AF30A" w14:textId="77777777" w:rsidR="00CA6AFC" w:rsidRDefault="00CA6AFC">
      <w:pPr>
        <w:spacing w:after="0" w:line="240" w:lineRule="auto"/>
        <w:jc w:val="left"/>
        <w:rPr>
          <w:rFonts w:eastAsia="Calibri"/>
          <w:szCs w:val="24"/>
        </w:rPr>
      </w:pPr>
      <w:r>
        <w:rPr>
          <w:rFonts w:eastAsia="Calibri"/>
          <w:szCs w:val="24"/>
        </w:rPr>
        <w:br w:type="page"/>
      </w:r>
    </w:p>
    <w:p w14:paraId="3D7CC7EE" w14:textId="39417574" w:rsidR="00B17BCE" w:rsidRPr="00210DD3" w:rsidRDefault="00E57769" w:rsidP="00B17BCE">
      <w:pPr>
        <w:pBdr>
          <w:top w:val="nil"/>
          <w:left w:val="nil"/>
          <w:bottom w:val="nil"/>
          <w:right w:val="nil"/>
          <w:between w:val="nil"/>
        </w:pBdr>
        <w:spacing w:after="200" w:line="240" w:lineRule="auto"/>
        <w:rPr>
          <w:b/>
          <w:sz w:val="20"/>
          <w:szCs w:val="20"/>
          <w:u w:val="single"/>
        </w:rPr>
      </w:pPr>
      <w:bookmarkStart w:id="79" w:name="_Toc164503615"/>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28</w:t>
      </w:r>
      <w:r w:rsidRPr="00B51145">
        <w:rPr>
          <w:b/>
          <w:bCs/>
          <w:sz w:val="22"/>
          <w:u w:val="single"/>
        </w:rPr>
        <w:fldChar w:fldCharType="end"/>
      </w:r>
      <w:r w:rsidRPr="00B51145">
        <w:rPr>
          <w:rFonts w:cs="Merriweather"/>
          <w:color w:val="44546A"/>
          <w:sz w:val="22"/>
        </w:rPr>
        <w:t>:</w:t>
      </w:r>
      <w:r w:rsidR="00B17BCE" w:rsidRPr="00E31E23">
        <w:rPr>
          <w:rFonts w:cs="Merriweather"/>
          <w:color w:val="44546A"/>
          <w:sz w:val="22"/>
        </w:rPr>
        <w:t xml:space="preserve"> :</w:t>
      </w:r>
      <w:r w:rsidR="00B17BCE" w:rsidRPr="008D20C6">
        <w:rPr>
          <w:rFonts w:cs="Merriweather"/>
          <w:color w:val="44546A"/>
          <w:sz w:val="22"/>
        </w:rPr>
        <w:t xml:space="preserve"> </w:t>
      </w:r>
      <w:r w:rsidR="00B17BCE" w:rsidRPr="00F175A7">
        <w:rPr>
          <w:rFonts w:cs="Merriweather"/>
          <w:sz w:val="22"/>
        </w:rPr>
        <w:t>situation des indicateurs de produits au 31 décembre 2023 de l’action </w:t>
      </w:r>
      <w:r w:rsidR="00D2658D">
        <w:rPr>
          <w:rFonts w:cs="Merriweather"/>
          <w:sz w:val="22"/>
        </w:rPr>
        <w:t>« r</w:t>
      </w:r>
      <w:r w:rsidR="00B17BCE" w:rsidRPr="00F175A7">
        <w:rPr>
          <w:rFonts w:cs="Merriweather"/>
          <w:sz w:val="22"/>
        </w:rPr>
        <w:t>enforcement de l'effectivité des droits humains</w:t>
      </w:r>
      <w:r w:rsidR="00D2658D">
        <w:rPr>
          <w:rFonts w:cs="Merriweather"/>
          <w:sz w:val="22"/>
        </w:rPr>
        <w:t> »</w:t>
      </w:r>
      <w:bookmarkEnd w:id="79"/>
      <w:r w:rsidR="00B17BCE" w:rsidRPr="00F175A7">
        <w:rPr>
          <w:rFonts w:cs="Merriweather"/>
          <w:sz w:val="22"/>
        </w:rPr>
        <w:t xml:space="preserve"> </w:t>
      </w:r>
    </w:p>
    <w:tbl>
      <w:tblPr>
        <w:tblStyle w:val="GridTable4-Accent111"/>
        <w:tblW w:w="5000" w:type="pct"/>
        <w:tblLayout w:type="fixed"/>
        <w:tblLook w:val="04A0" w:firstRow="1" w:lastRow="0" w:firstColumn="1" w:lastColumn="0" w:noHBand="0" w:noVBand="1"/>
      </w:tblPr>
      <w:tblGrid>
        <w:gridCol w:w="5403"/>
        <w:gridCol w:w="1251"/>
        <w:gridCol w:w="1168"/>
        <w:gridCol w:w="1194"/>
      </w:tblGrid>
      <w:tr w:rsidR="00B17BCE" w:rsidRPr="00E018E7" w14:paraId="53A1B3A4" w14:textId="77777777" w:rsidTr="00E018E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996" w:type="pct"/>
          </w:tcPr>
          <w:p w14:paraId="770EBEE3" w14:textId="32FD1D66" w:rsidR="00B17BCE" w:rsidRPr="00E018E7" w:rsidRDefault="00B17BCE" w:rsidP="00F175A7">
            <w:pPr>
              <w:spacing w:after="0" w:line="240" w:lineRule="auto"/>
              <w:jc w:val="left"/>
              <w:rPr>
                <w:sz w:val="22"/>
              </w:rPr>
            </w:pPr>
            <w:r w:rsidRPr="00E018E7">
              <w:rPr>
                <w:sz w:val="22"/>
              </w:rPr>
              <w:t>Indicateurs</w:t>
            </w:r>
            <w:r w:rsidR="008F33DB">
              <w:rPr>
                <w:sz w:val="22"/>
              </w:rPr>
              <w:t xml:space="preserve"> </w:t>
            </w:r>
          </w:p>
        </w:tc>
        <w:tc>
          <w:tcPr>
            <w:tcW w:w="694" w:type="pct"/>
          </w:tcPr>
          <w:p w14:paraId="0BBE0AF8" w14:textId="77777777" w:rsidR="00B17BCE" w:rsidRPr="00E018E7" w:rsidRDefault="00B17BCE"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2022</w:t>
            </w:r>
          </w:p>
        </w:tc>
        <w:tc>
          <w:tcPr>
            <w:tcW w:w="648" w:type="pct"/>
          </w:tcPr>
          <w:p w14:paraId="14B7935B" w14:textId="77777777" w:rsidR="00B17BCE" w:rsidRPr="00E018E7" w:rsidRDefault="00B17BCE"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2023</w:t>
            </w:r>
          </w:p>
        </w:tc>
        <w:tc>
          <w:tcPr>
            <w:tcW w:w="662" w:type="pct"/>
          </w:tcPr>
          <w:p w14:paraId="619CB391" w14:textId="77777777" w:rsidR="00B17BCE" w:rsidRPr="00E018E7" w:rsidRDefault="00B17BCE"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Cible 2023</w:t>
            </w:r>
          </w:p>
        </w:tc>
      </w:tr>
      <w:tr w:rsidR="00B17BCE" w:rsidRPr="00E018E7" w14:paraId="2ECC6FF9" w14:textId="77777777" w:rsidTr="00E577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6" w:type="pct"/>
          </w:tcPr>
          <w:p w14:paraId="7D757EFB" w14:textId="77777777" w:rsidR="00B17BCE" w:rsidRPr="00E018E7" w:rsidRDefault="00B17BCE" w:rsidP="00E52836">
            <w:pPr>
              <w:spacing w:after="0" w:line="240" w:lineRule="auto"/>
              <w:rPr>
                <w:color w:val="000000"/>
                <w:sz w:val="22"/>
              </w:rPr>
            </w:pPr>
            <w:r w:rsidRPr="00E018E7">
              <w:rPr>
                <w:color w:val="000000"/>
                <w:sz w:val="22"/>
              </w:rPr>
              <w:t>Nombre de sites /regroupements de déplacés internes visités</w:t>
            </w:r>
          </w:p>
        </w:tc>
        <w:tc>
          <w:tcPr>
            <w:tcW w:w="694" w:type="pct"/>
          </w:tcPr>
          <w:p w14:paraId="1F954C4F"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6</w:t>
            </w:r>
          </w:p>
        </w:tc>
        <w:tc>
          <w:tcPr>
            <w:tcW w:w="648" w:type="pct"/>
          </w:tcPr>
          <w:p w14:paraId="3D9D468B"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14</w:t>
            </w:r>
          </w:p>
        </w:tc>
        <w:tc>
          <w:tcPr>
            <w:tcW w:w="662" w:type="pct"/>
          </w:tcPr>
          <w:p w14:paraId="55A82626"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w:t>
            </w:r>
          </w:p>
        </w:tc>
      </w:tr>
      <w:tr w:rsidR="00B17BCE" w:rsidRPr="00E018E7" w14:paraId="4AD94AA4" w14:textId="77777777" w:rsidTr="00E57769">
        <w:trPr>
          <w:trHeight w:val="20"/>
        </w:trPr>
        <w:tc>
          <w:tcPr>
            <w:cnfStyle w:val="001000000000" w:firstRow="0" w:lastRow="0" w:firstColumn="1" w:lastColumn="0" w:oddVBand="0" w:evenVBand="0" w:oddHBand="0" w:evenHBand="0" w:firstRowFirstColumn="0" w:firstRowLastColumn="0" w:lastRowFirstColumn="0" w:lastRowLastColumn="0"/>
            <w:tcW w:w="2996" w:type="pct"/>
          </w:tcPr>
          <w:p w14:paraId="73F07A12" w14:textId="752EB4C4" w:rsidR="00B17BCE" w:rsidRPr="00E018E7" w:rsidRDefault="00B17BCE" w:rsidP="00D2658D">
            <w:pPr>
              <w:spacing w:after="0" w:line="240" w:lineRule="auto"/>
              <w:rPr>
                <w:color w:val="000000"/>
                <w:sz w:val="22"/>
              </w:rPr>
            </w:pPr>
            <w:r w:rsidRPr="00E018E7">
              <w:rPr>
                <w:color w:val="000000"/>
                <w:sz w:val="22"/>
              </w:rPr>
              <w:t>Nombre de FDS formé</w:t>
            </w:r>
            <w:r w:rsidR="00D2658D">
              <w:rPr>
                <w:color w:val="000000"/>
                <w:sz w:val="22"/>
              </w:rPr>
              <w:t>e</w:t>
            </w:r>
            <w:r w:rsidRPr="00E018E7">
              <w:rPr>
                <w:color w:val="000000"/>
                <w:sz w:val="22"/>
              </w:rPr>
              <w:t xml:space="preserve">s </w:t>
            </w:r>
            <w:r w:rsidR="00D2658D">
              <w:rPr>
                <w:color w:val="000000"/>
                <w:sz w:val="22"/>
              </w:rPr>
              <w:t xml:space="preserve">aux </w:t>
            </w:r>
            <w:r w:rsidRPr="00E018E7">
              <w:rPr>
                <w:color w:val="000000"/>
                <w:sz w:val="22"/>
              </w:rPr>
              <w:t xml:space="preserve">droits humains et </w:t>
            </w:r>
            <w:r w:rsidR="00D2658D">
              <w:rPr>
                <w:color w:val="000000"/>
                <w:sz w:val="22"/>
              </w:rPr>
              <w:t>au</w:t>
            </w:r>
            <w:r w:rsidRPr="00E018E7">
              <w:rPr>
                <w:color w:val="000000"/>
                <w:sz w:val="22"/>
              </w:rPr>
              <w:t xml:space="preserve"> droit international humanitaire</w:t>
            </w:r>
          </w:p>
        </w:tc>
        <w:tc>
          <w:tcPr>
            <w:tcW w:w="694" w:type="pct"/>
          </w:tcPr>
          <w:p w14:paraId="6B8803D7"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230</w:t>
            </w:r>
          </w:p>
        </w:tc>
        <w:tc>
          <w:tcPr>
            <w:tcW w:w="648" w:type="pct"/>
          </w:tcPr>
          <w:p w14:paraId="5C084052" w14:textId="73DF5E37" w:rsidR="00B17BCE" w:rsidRPr="00E018E7" w:rsidRDefault="0042139C"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Pr>
                <w:color w:val="000000"/>
                <w:sz w:val="22"/>
              </w:rPr>
              <w:t>7</w:t>
            </w:r>
            <w:r w:rsidR="00B17BCE" w:rsidRPr="00E018E7">
              <w:rPr>
                <w:color w:val="000000"/>
                <w:sz w:val="22"/>
              </w:rPr>
              <w:t>97</w:t>
            </w:r>
          </w:p>
        </w:tc>
        <w:tc>
          <w:tcPr>
            <w:tcW w:w="662" w:type="pct"/>
          </w:tcPr>
          <w:p w14:paraId="43987550"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492</w:t>
            </w:r>
          </w:p>
        </w:tc>
      </w:tr>
      <w:tr w:rsidR="00B17BCE" w:rsidRPr="00E018E7" w14:paraId="1C6DB76C" w14:textId="77777777" w:rsidTr="00E577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6" w:type="pct"/>
          </w:tcPr>
          <w:p w14:paraId="0D11417C" w14:textId="77777777" w:rsidR="00B17BCE" w:rsidRPr="00E018E7" w:rsidRDefault="00B17BCE" w:rsidP="00E52836">
            <w:pPr>
              <w:spacing w:after="0" w:line="240" w:lineRule="auto"/>
              <w:rPr>
                <w:color w:val="000000"/>
                <w:sz w:val="22"/>
              </w:rPr>
            </w:pPr>
            <w:r w:rsidRPr="00E018E7">
              <w:rPr>
                <w:color w:val="000000"/>
                <w:sz w:val="22"/>
              </w:rPr>
              <w:t>Nombre de rapports transmis</w:t>
            </w:r>
          </w:p>
        </w:tc>
        <w:tc>
          <w:tcPr>
            <w:tcW w:w="694" w:type="pct"/>
          </w:tcPr>
          <w:p w14:paraId="6A09E598"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3</w:t>
            </w:r>
          </w:p>
        </w:tc>
        <w:tc>
          <w:tcPr>
            <w:tcW w:w="648" w:type="pct"/>
          </w:tcPr>
          <w:p w14:paraId="18B9F73A"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3</w:t>
            </w:r>
          </w:p>
        </w:tc>
        <w:tc>
          <w:tcPr>
            <w:tcW w:w="662" w:type="pct"/>
          </w:tcPr>
          <w:p w14:paraId="314E1AFA"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3</w:t>
            </w:r>
          </w:p>
        </w:tc>
      </w:tr>
      <w:tr w:rsidR="00B17BCE" w:rsidRPr="00E018E7" w14:paraId="15E01380" w14:textId="77777777" w:rsidTr="00E57769">
        <w:trPr>
          <w:trHeight w:val="20"/>
        </w:trPr>
        <w:tc>
          <w:tcPr>
            <w:cnfStyle w:val="001000000000" w:firstRow="0" w:lastRow="0" w:firstColumn="1" w:lastColumn="0" w:oddVBand="0" w:evenVBand="0" w:oddHBand="0" w:evenHBand="0" w:firstRowFirstColumn="0" w:firstRowLastColumn="0" w:lastRowFirstColumn="0" w:lastRowLastColumn="0"/>
            <w:tcW w:w="2996" w:type="pct"/>
          </w:tcPr>
          <w:p w14:paraId="38227277" w14:textId="09BA7AAC" w:rsidR="00B17BCE" w:rsidRPr="00E018E7" w:rsidRDefault="00B17BCE" w:rsidP="00D2658D">
            <w:pPr>
              <w:spacing w:after="0" w:line="240" w:lineRule="auto"/>
              <w:rPr>
                <w:color w:val="000000"/>
                <w:sz w:val="22"/>
              </w:rPr>
            </w:pPr>
            <w:r w:rsidRPr="00E018E7">
              <w:rPr>
                <w:color w:val="000000"/>
                <w:sz w:val="22"/>
              </w:rPr>
              <w:t xml:space="preserve">Nombre d'acteurs (groupes socio-professionnels) sensibilisés </w:t>
            </w:r>
            <w:r w:rsidR="00D2658D">
              <w:rPr>
                <w:color w:val="000000"/>
                <w:sz w:val="22"/>
              </w:rPr>
              <w:t>au</w:t>
            </w:r>
            <w:r w:rsidRPr="00E018E7">
              <w:rPr>
                <w:color w:val="000000"/>
                <w:sz w:val="22"/>
              </w:rPr>
              <w:t xml:space="preserve"> DIH et </w:t>
            </w:r>
            <w:r w:rsidR="00D2658D">
              <w:rPr>
                <w:color w:val="000000"/>
                <w:sz w:val="22"/>
              </w:rPr>
              <w:t>aux</w:t>
            </w:r>
            <w:r w:rsidRPr="00E018E7">
              <w:rPr>
                <w:color w:val="000000"/>
                <w:sz w:val="22"/>
              </w:rPr>
              <w:t xml:space="preserve"> droits humains sensibilisés</w:t>
            </w:r>
          </w:p>
        </w:tc>
        <w:tc>
          <w:tcPr>
            <w:tcW w:w="694" w:type="pct"/>
          </w:tcPr>
          <w:p w14:paraId="1C8E1CF8"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2 438</w:t>
            </w:r>
          </w:p>
        </w:tc>
        <w:tc>
          <w:tcPr>
            <w:tcW w:w="648" w:type="pct"/>
          </w:tcPr>
          <w:p w14:paraId="12FA127D"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15 302</w:t>
            </w:r>
          </w:p>
        </w:tc>
        <w:tc>
          <w:tcPr>
            <w:tcW w:w="662" w:type="pct"/>
          </w:tcPr>
          <w:p w14:paraId="1EA40853"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540</w:t>
            </w:r>
          </w:p>
        </w:tc>
      </w:tr>
      <w:tr w:rsidR="00B17BCE" w:rsidRPr="00E018E7" w14:paraId="20B3461B" w14:textId="77777777" w:rsidTr="00E577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6" w:type="pct"/>
          </w:tcPr>
          <w:p w14:paraId="5058C395" w14:textId="77777777" w:rsidR="00B17BCE" w:rsidRPr="00E018E7" w:rsidRDefault="00B17BCE" w:rsidP="00E52836">
            <w:pPr>
              <w:spacing w:after="0" w:line="240" w:lineRule="auto"/>
              <w:rPr>
                <w:color w:val="000000"/>
                <w:sz w:val="22"/>
              </w:rPr>
            </w:pPr>
            <w:r w:rsidRPr="00E018E7">
              <w:rPr>
                <w:color w:val="000000"/>
                <w:sz w:val="22"/>
              </w:rPr>
              <w:t>Proportion de plaintes de victimes de violation et d'atteintes aux droits humains traitées</w:t>
            </w:r>
          </w:p>
        </w:tc>
        <w:tc>
          <w:tcPr>
            <w:tcW w:w="694" w:type="pct"/>
          </w:tcPr>
          <w:p w14:paraId="7853F9CD"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100%</w:t>
            </w:r>
          </w:p>
        </w:tc>
        <w:tc>
          <w:tcPr>
            <w:tcW w:w="648" w:type="pct"/>
          </w:tcPr>
          <w:p w14:paraId="48A32309"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100%</w:t>
            </w:r>
          </w:p>
        </w:tc>
        <w:tc>
          <w:tcPr>
            <w:tcW w:w="662" w:type="pct"/>
          </w:tcPr>
          <w:p w14:paraId="3583E9F6"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100%</w:t>
            </w:r>
          </w:p>
        </w:tc>
      </w:tr>
      <w:tr w:rsidR="00B17BCE" w:rsidRPr="00E018E7" w14:paraId="0E4E24AD" w14:textId="77777777" w:rsidTr="00E57769">
        <w:trPr>
          <w:trHeight w:val="20"/>
        </w:trPr>
        <w:tc>
          <w:tcPr>
            <w:cnfStyle w:val="001000000000" w:firstRow="0" w:lastRow="0" w:firstColumn="1" w:lastColumn="0" w:oddVBand="0" w:evenVBand="0" w:oddHBand="0" w:evenHBand="0" w:firstRowFirstColumn="0" w:firstRowLastColumn="0" w:lastRowFirstColumn="0" w:lastRowLastColumn="0"/>
            <w:tcW w:w="2996" w:type="pct"/>
          </w:tcPr>
          <w:p w14:paraId="18953514" w14:textId="77777777" w:rsidR="00B17BCE" w:rsidRPr="00E018E7" w:rsidRDefault="00B17BCE" w:rsidP="00E52836">
            <w:pPr>
              <w:spacing w:after="0" w:line="240" w:lineRule="auto"/>
              <w:rPr>
                <w:color w:val="000000"/>
                <w:sz w:val="22"/>
              </w:rPr>
            </w:pPr>
            <w:r w:rsidRPr="00E018E7">
              <w:rPr>
                <w:color w:val="000000"/>
                <w:sz w:val="22"/>
              </w:rPr>
              <w:t>Proportion des cas de violations et d'atteintes aux droits humains traités et suivis</w:t>
            </w:r>
          </w:p>
        </w:tc>
        <w:tc>
          <w:tcPr>
            <w:tcW w:w="694" w:type="pct"/>
          </w:tcPr>
          <w:p w14:paraId="2F220DBE"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100%</w:t>
            </w:r>
          </w:p>
        </w:tc>
        <w:tc>
          <w:tcPr>
            <w:tcW w:w="648" w:type="pct"/>
          </w:tcPr>
          <w:p w14:paraId="487604D2"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100%</w:t>
            </w:r>
          </w:p>
        </w:tc>
        <w:tc>
          <w:tcPr>
            <w:tcW w:w="662" w:type="pct"/>
          </w:tcPr>
          <w:p w14:paraId="72A3BB1C"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100%</w:t>
            </w:r>
          </w:p>
        </w:tc>
      </w:tr>
      <w:tr w:rsidR="00B17BCE" w:rsidRPr="00E018E7" w14:paraId="03AA9202" w14:textId="77777777" w:rsidTr="00E577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6" w:type="pct"/>
          </w:tcPr>
          <w:p w14:paraId="66E1ABEE" w14:textId="77777777" w:rsidR="00B17BCE" w:rsidRPr="00E018E7" w:rsidRDefault="00B17BCE" w:rsidP="00E52836">
            <w:pPr>
              <w:spacing w:after="0" w:line="240" w:lineRule="auto"/>
              <w:rPr>
                <w:color w:val="000000"/>
                <w:sz w:val="22"/>
              </w:rPr>
            </w:pPr>
            <w:r w:rsidRPr="00E018E7">
              <w:rPr>
                <w:color w:val="000000"/>
                <w:sz w:val="22"/>
              </w:rPr>
              <w:t>Proportion de cas de violations et d'atteintes aux droits humains ayant fait l'objet d'investigation</w:t>
            </w:r>
          </w:p>
        </w:tc>
        <w:tc>
          <w:tcPr>
            <w:tcW w:w="694" w:type="pct"/>
          </w:tcPr>
          <w:p w14:paraId="7A8DB44E"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100%</w:t>
            </w:r>
          </w:p>
        </w:tc>
        <w:tc>
          <w:tcPr>
            <w:tcW w:w="648" w:type="pct"/>
          </w:tcPr>
          <w:p w14:paraId="294B154A"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5,40%</w:t>
            </w:r>
          </w:p>
        </w:tc>
        <w:tc>
          <w:tcPr>
            <w:tcW w:w="662" w:type="pct"/>
          </w:tcPr>
          <w:p w14:paraId="407C8296" w14:textId="77777777" w:rsidR="00B17BCE" w:rsidRPr="00E018E7" w:rsidRDefault="00B17BCE"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100%</w:t>
            </w:r>
          </w:p>
        </w:tc>
      </w:tr>
      <w:tr w:rsidR="00B17BCE" w:rsidRPr="00E018E7" w14:paraId="3120F41D" w14:textId="77777777" w:rsidTr="00E57769">
        <w:trPr>
          <w:trHeight w:val="20"/>
        </w:trPr>
        <w:tc>
          <w:tcPr>
            <w:cnfStyle w:val="001000000000" w:firstRow="0" w:lastRow="0" w:firstColumn="1" w:lastColumn="0" w:oddVBand="0" w:evenVBand="0" w:oddHBand="0" w:evenHBand="0" w:firstRowFirstColumn="0" w:firstRowLastColumn="0" w:lastRowFirstColumn="0" w:lastRowLastColumn="0"/>
            <w:tcW w:w="2996" w:type="pct"/>
          </w:tcPr>
          <w:p w14:paraId="41AFFE37" w14:textId="0F48B31D" w:rsidR="00B17BCE" w:rsidRPr="00E018E7" w:rsidRDefault="00B17BCE" w:rsidP="00E52836">
            <w:pPr>
              <w:spacing w:after="0" w:line="240" w:lineRule="auto"/>
              <w:rPr>
                <w:color w:val="000000"/>
                <w:sz w:val="22"/>
              </w:rPr>
            </w:pPr>
            <w:r w:rsidRPr="00E018E7">
              <w:rPr>
                <w:color w:val="000000"/>
                <w:sz w:val="22"/>
              </w:rPr>
              <w:t>Nombre de lieux de détention visités</w:t>
            </w:r>
            <w:r w:rsidR="0042139C">
              <w:rPr>
                <w:color w:val="000000"/>
                <w:sz w:val="22"/>
              </w:rPr>
              <w:t xml:space="preserve"> </w:t>
            </w:r>
            <w:r w:rsidR="0042139C" w:rsidRPr="00BD22E2">
              <w:rPr>
                <w:color w:val="000000"/>
                <w:sz w:val="22"/>
              </w:rPr>
              <w:t>pour s'assurer du respect des droits humains</w:t>
            </w:r>
          </w:p>
        </w:tc>
        <w:tc>
          <w:tcPr>
            <w:tcW w:w="694" w:type="pct"/>
          </w:tcPr>
          <w:p w14:paraId="17B85342"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61</w:t>
            </w:r>
          </w:p>
        </w:tc>
        <w:tc>
          <w:tcPr>
            <w:tcW w:w="648" w:type="pct"/>
          </w:tcPr>
          <w:p w14:paraId="155EC533"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50</w:t>
            </w:r>
          </w:p>
        </w:tc>
        <w:tc>
          <w:tcPr>
            <w:tcW w:w="662" w:type="pct"/>
          </w:tcPr>
          <w:p w14:paraId="6FBFEE2C" w14:textId="77777777" w:rsidR="00B17BCE" w:rsidRPr="00E018E7" w:rsidRDefault="00B17BCE"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45</w:t>
            </w:r>
          </w:p>
        </w:tc>
      </w:tr>
    </w:tbl>
    <w:p w14:paraId="5841C630" w14:textId="1F5B6C78" w:rsidR="00B17BCE" w:rsidRPr="00E31E23" w:rsidRDefault="00B17BCE" w:rsidP="00B17BCE">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w:t>
      </w:r>
      <w:r w:rsidR="00603CB3">
        <w:rPr>
          <w:sz w:val="20"/>
          <w:szCs w:val="20"/>
        </w:rPr>
        <w:t xml:space="preserve"> </w:t>
      </w:r>
      <w:r w:rsidR="008F33DB">
        <w:rPr>
          <w:sz w:val="20"/>
          <w:szCs w:val="20"/>
        </w:rPr>
        <w:t>2023</w:t>
      </w:r>
      <w:r w:rsidRPr="00E31E23">
        <w:rPr>
          <w:sz w:val="20"/>
          <w:szCs w:val="20"/>
        </w:rPr>
        <w:t xml:space="preserve"> du CSD-JDH, février 2024</w:t>
      </w:r>
    </w:p>
    <w:p w14:paraId="6E5D0E7B"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Le taux de réalisation financière des produits de l’action au 31 décembre 2023 est de 79,24% pour une prévision annuelle de 252 797 000 FCFA.</w:t>
      </w:r>
    </w:p>
    <w:p w14:paraId="030165DF"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Dans le domaine de la promotion de la démocratie, des huit (08) actions déclinées dans le PA-SD, seules deux ont connu un début de mise en œuvre. </w:t>
      </w:r>
    </w:p>
    <w:p w14:paraId="67ADBFC0" w14:textId="01AC246B"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Pour ce qui est de la première action portant sur </w:t>
      </w:r>
      <w:r w:rsidRPr="008139E1">
        <w:rPr>
          <w:rFonts w:eastAsia="Calibri"/>
          <w:b/>
          <w:szCs w:val="24"/>
        </w:rPr>
        <w:t xml:space="preserve">l’adoption d’une nouvelle </w:t>
      </w:r>
      <w:r w:rsidR="00781AED">
        <w:rPr>
          <w:rFonts w:eastAsia="Calibri"/>
          <w:b/>
          <w:szCs w:val="24"/>
        </w:rPr>
        <w:t>C</w:t>
      </w:r>
      <w:r w:rsidRPr="008139E1">
        <w:rPr>
          <w:rFonts w:eastAsia="Calibri"/>
          <w:b/>
          <w:szCs w:val="24"/>
        </w:rPr>
        <w:t>onstitution (03009)</w:t>
      </w:r>
      <w:r w:rsidRPr="00B17BCE">
        <w:rPr>
          <w:rFonts w:eastAsia="Calibri"/>
          <w:szCs w:val="24"/>
        </w:rPr>
        <w:t xml:space="preserve">, le principal extrant planifié pour 2023 à savoir la disponibilité d’un avant-projet de la nouvelle Constitution n’a pu être effectif au 31 décembre 2023. Cependant, </w:t>
      </w:r>
      <w:r w:rsidR="0042139C">
        <w:rPr>
          <w:szCs w:val="24"/>
        </w:rPr>
        <w:t xml:space="preserve">une loi constitutionnelle portant révision de la </w:t>
      </w:r>
      <w:r w:rsidR="00781AED">
        <w:rPr>
          <w:szCs w:val="24"/>
        </w:rPr>
        <w:t>C</w:t>
      </w:r>
      <w:r w:rsidR="0042139C">
        <w:rPr>
          <w:szCs w:val="24"/>
        </w:rPr>
        <w:t>onstitution a été adoptée le 30 décembre 2023.</w:t>
      </w:r>
      <w:r w:rsidRPr="00B17BCE">
        <w:rPr>
          <w:rFonts w:eastAsia="Calibri"/>
          <w:szCs w:val="24"/>
        </w:rPr>
        <w:t xml:space="preserve"> </w:t>
      </w:r>
    </w:p>
    <w:p w14:paraId="0FA21B3F" w14:textId="78B93453"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Pour ce qui concerne </w:t>
      </w:r>
      <w:r w:rsidRPr="008139E1">
        <w:rPr>
          <w:rFonts w:eastAsia="Calibri"/>
          <w:b/>
          <w:szCs w:val="24"/>
        </w:rPr>
        <w:t>la stabilisation du nombre et de la nomenclature des ministères dans une loi organique et à terme</w:t>
      </w:r>
      <w:r w:rsidR="00781AED">
        <w:rPr>
          <w:rFonts w:eastAsia="Calibri"/>
          <w:b/>
          <w:szCs w:val="24"/>
        </w:rPr>
        <w:t xml:space="preserve"> </w:t>
      </w:r>
      <w:r w:rsidRPr="008139E1">
        <w:rPr>
          <w:rFonts w:eastAsia="Calibri"/>
          <w:b/>
          <w:szCs w:val="24"/>
        </w:rPr>
        <w:t>dans la Constitution (03013)</w:t>
      </w:r>
      <w:r w:rsidRPr="00B17BCE">
        <w:rPr>
          <w:rFonts w:eastAsia="Calibri"/>
          <w:szCs w:val="24"/>
        </w:rPr>
        <w:t xml:space="preserve">, la disponibilité d'un avant-projet de la loi organique sur le nombre et la nomenclature des ministères n’a pu être effective en raison entre autres de l’insuffisance des ressources financières. </w:t>
      </w:r>
    </w:p>
    <w:p w14:paraId="58FBF8FB" w14:textId="2D6DEAE5" w:rsidR="00CA6AFC"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En matière d’accès à l’information, </w:t>
      </w:r>
      <w:r w:rsidRPr="008139E1">
        <w:rPr>
          <w:rFonts w:eastAsia="Calibri"/>
          <w:b/>
          <w:szCs w:val="24"/>
        </w:rPr>
        <w:t>le « renforcement et sécurisation des infrastructures de communication » (03082)</w:t>
      </w:r>
      <w:r w:rsidRPr="00B17BCE">
        <w:rPr>
          <w:rFonts w:eastAsia="Calibri"/>
          <w:szCs w:val="24"/>
        </w:rPr>
        <w:t xml:space="preserve"> a pour ambition de faire passer respectivement en 2023, le taux de couverture du territoire par la télévision, la radio et la presse écrite à 98%, 95,8% et 85%. De même, il s’est agi de maintenir l’indicateur sectoriel « taux de déconcentration des médias publics » à 69,23%. La situation de ces indicateurs est traduite dans le tableau ci-après.</w:t>
      </w:r>
    </w:p>
    <w:p w14:paraId="6CD92310" w14:textId="77777777" w:rsidR="00CA6AFC" w:rsidRDefault="00CA6AFC">
      <w:pPr>
        <w:spacing w:after="0" w:line="240" w:lineRule="auto"/>
        <w:jc w:val="left"/>
        <w:rPr>
          <w:rFonts w:eastAsia="Calibri"/>
          <w:szCs w:val="24"/>
        </w:rPr>
      </w:pPr>
      <w:r>
        <w:rPr>
          <w:rFonts w:eastAsia="Calibri"/>
          <w:szCs w:val="24"/>
        </w:rPr>
        <w:br w:type="page"/>
      </w:r>
    </w:p>
    <w:p w14:paraId="558B9EC2" w14:textId="10104FCF" w:rsidR="00B17BCE" w:rsidRPr="00F175A7" w:rsidRDefault="00E57769" w:rsidP="00B17BCE">
      <w:pPr>
        <w:shd w:val="clear" w:color="auto" w:fill="FFFFFF"/>
        <w:spacing w:before="120" w:after="0" w:line="240" w:lineRule="auto"/>
        <w:rPr>
          <w:sz w:val="22"/>
        </w:rPr>
      </w:pPr>
      <w:bookmarkStart w:id="80" w:name="_Toc164503616"/>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29</w:t>
      </w:r>
      <w:r w:rsidRPr="00B51145">
        <w:rPr>
          <w:b/>
          <w:bCs/>
          <w:sz w:val="22"/>
          <w:u w:val="single"/>
        </w:rPr>
        <w:fldChar w:fldCharType="end"/>
      </w:r>
      <w:r w:rsidR="00B17BCE" w:rsidRPr="00E31E23">
        <w:rPr>
          <w:b/>
          <w:color w:val="44546A"/>
          <w:sz w:val="22"/>
        </w:rPr>
        <w:t xml:space="preserve">: </w:t>
      </w:r>
      <w:r w:rsidR="00B17BCE" w:rsidRPr="00F175A7">
        <w:rPr>
          <w:sz w:val="22"/>
        </w:rPr>
        <w:t>situation des indicateurs de l’action 03082 du PA-SD du secteur ITCH</w:t>
      </w:r>
      <w:bookmarkEnd w:id="80"/>
    </w:p>
    <w:tbl>
      <w:tblPr>
        <w:tblStyle w:val="GridTable4-Accent111"/>
        <w:tblW w:w="9016" w:type="dxa"/>
        <w:tblLayout w:type="fixed"/>
        <w:tblLook w:val="04A0" w:firstRow="1" w:lastRow="0" w:firstColumn="1" w:lastColumn="0" w:noHBand="0" w:noVBand="1"/>
      </w:tblPr>
      <w:tblGrid>
        <w:gridCol w:w="5305"/>
        <w:gridCol w:w="1212"/>
        <w:gridCol w:w="1308"/>
        <w:gridCol w:w="1191"/>
      </w:tblGrid>
      <w:tr w:rsidR="00E018E7" w:rsidRPr="00E018E7" w14:paraId="2C8EA7EA" w14:textId="77777777" w:rsidTr="00E018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5" w:type="dxa"/>
          </w:tcPr>
          <w:p w14:paraId="68564FB1" w14:textId="77777777" w:rsidR="00B17BCE" w:rsidRPr="00E018E7" w:rsidRDefault="00B17BCE" w:rsidP="00E52836">
            <w:pPr>
              <w:spacing w:after="0" w:line="240" w:lineRule="auto"/>
              <w:rPr>
                <w:sz w:val="22"/>
              </w:rPr>
            </w:pPr>
            <w:r w:rsidRPr="00E018E7">
              <w:rPr>
                <w:sz w:val="22"/>
              </w:rPr>
              <w:t>Indicateurs</w:t>
            </w:r>
          </w:p>
        </w:tc>
        <w:tc>
          <w:tcPr>
            <w:tcW w:w="1212" w:type="dxa"/>
          </w:tcPr>
          <w:p w14:paraId="523C23A0" w14:textId="77777777" w:rsidR="00B17BCE" w:rsidRPr="00E018E7" w:rsidRDefault="00B17BCE"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2022</w:t>
            </w:r>
          </w:p>
        </w:tc>
        <w:tc>
          <w:tcPr>
            <w:tcW w:w="1308" w:type="dxa"/>
          </w:tcPr>
          <w:p w14:paraId="682F814C" w14:textId="77777777" w:rsidR="00B17BCE" w:rsidRPr="00E018E7" w:rsidRDefault="00B17BCE"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2023</w:t>
            </w:r>
          </w:p>
        </w:tc>
        <w:tc>
          <w:tcPr>
            <w:tcW w:w="1191" w:type="dxa"/>
          </w:tcPr>
          <w:p w14:paraId="01802817" w14:textId="77777777" w:rsidR="00B17BCE" w:rsidRPr="00E018E7" w:rsidRDefault="00B17BCE"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Cible 2023</w:t>
            </w:r>
          </w:p>
        </w:tc>
      </w:tr>
      <w:tr w:rsidR="00E018E7" w:rsidRPr="00E018E7" w14:paraId="3ABAD59A" w14:textId="77777777" w:rsidTr="008139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5" w:type="dxa"/>
          </w:tcPr>
          <w:p w14:paraId="77CC8044" w14:textId="77777777" w:rsidR="00B17BCE" w:rsidRPr="00E018E7" w:rsidRDefault="00B17BCE" w:rsidP="00E52836">
            <w:pPr>
              <w:spacing w:after="0" w:line="240" w:lineRule="auto"/>
              <w:rPr>
                <w:color w:val="000000"/>
                <w:sz w:val="22"/>
              </w:rPr>
            </w:pPr>
            <w:r w:rsidRPr="00E018E7">
              <w:rPr>
                <w:b w:val="0"/>
                <w:sz w:val="22"/>
              </w:rPr>
              <w:t>Taux de couverture du territoire par la télévision</w:t>
            </w:r>
          </w:p>
        </w:tc>
        <w:tc>
          <w:tcPr>
            <w:tcW w:w="1212" w:type="dxa"/>
            <w:vAlign w:val="center"/>
          </w:tcPr>
          <w:p w14:paraId="7B61A83F" w14:textId="77777777" w:rsidR="00B17BCE" w:rsidRPr="00E018E7" w:rsidRDefault="00B17BCE" w:rsidP="0042139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sz w:val="22"/>
              </w:rPr>
              <w:t>98</w:t>
            </w:r>
          </w:p>
        </w:tc>
        <w:tc>
          <w:tcPr>
            <w:tcW w:w="1308" w:type="dxa"/>
            <w:vAlign w:val="center"/>
          </w:tcPr>
          <w:p w14:paraId="6C8084ED" w14:textId="77777777" w:rsidR="00B17BCE" w:rsidRPr="00E018E7" w:rsidRDefault="00B17BCE" w:rsidP="0042139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95</w:t>
            </w:r>
          </w:p>
        </w:tc>
        <w:tc>
          <w:tcPr>
            <w:tcW w:w="1191" w:type="dxa"/>
            <w:vAlign w:val="center"/>
          </w:tcPr>
          <w:p w14:paraId="197864AC" w14:textId="77777777" w:rsidR="00B17BCE" w:rsidRPr="00E018E7" w:rsidRDefault="00B17BCE" w:rsidP="0042139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98</w:t>
            </w:r>
          </w:p>
        </w:tc>
      </w:tr>
      <w:tr w:rsidR="00B17BCE" w:rsidRPr="00E018E7" w14:paraId="377FF234" w14:textId="77777777" w:rsidTr="008139E1">
        <w:trPr>
          <w:trHeight w:val="320"/>
        </w:trPr>
        <w:tc>
          <w:tcPr>
            <w:cnfStyle w:val="001000000000" w:firstRow="0" w:lastRow="0" w:firstColumn="1" w:lastColumn="0" w:oddVBand="0" w:evenVBand="0" w:oddHBand="0" w:evenHBand="0" w:firstRowFirstColumn="0" w:firstRowLastColumn="0" w:lastRowFirstColumn="0" w:lastRowLastColumn="0"/>
            <w:tcW w:w="5305" w:type="dxa"/>
          </w:tcPr>
          <w:p w14:paraId="2CA15AD9" w14:textId="77777777" w:rsidR="00B17BCE" w:rsidRPr="00E018E7" w:rsidRDefault="00B17BCE" w:rsidP="00E52836">
            <w:pPr>
              <w:spacing w:after="0" w:line="240" w:lineRule="auto"/>
              <w:rPr>
                <w:color w:val="000000"/>
                <w:sz w:val="22"/>
              </w:rPr>
            </w:pPr>
            <w:r w:rsidRPr="00E018E7">
              <w:rPr>
                <w:b w:val="0"/>
                <w:sz w:val="22"/>
              </w:rPr>
              <w:t>Taux de couverture du territoire par la radio</w:t>
            </w:r>
          </w:p>
        </w:tc>
        <w:tc>
          <w:tcPr>
            <w:tcW w:w="1212" w:type="dxa"/>
            <w:vAlign w:val="center"/>
          </w:tcPr>
          <w:p w14:paraId="452711DF" w14:textId="77777777" w:rsidR="00B17BCE" w:rsidRPr="00E018E7" w:rsidRDefault="00B17BCE" w:rsidP="0042139C">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sz w:val="22"/>
              </w:rPr>
              <w:t>95,8</w:t>
            </w:r>
          </w:p>
        </w:tc>
        <w:tc>
          <w:tcPr>
            <w:tcW w:w="1308" w:type="dxa"/>
            <w:vAlign w:val="center"/>
          </w:tcPr>
          <w:p w14:paraId="06E56617" w14:textId="77777777" w:rsidR="00B17BCE" w:rsidRPr="00E018E7" w:rsidRDefault="00B17BCE" w:rsidP="0042139C">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95,8</w:t>
            </w:r>
          </w:p>
        </w:tc>
        <w:tc>
          <w:tcPr>
            <w:tcW w:w="1191" w:type="dxa"/>
            <w:vAlign w:val="center"/>
          </w:tcPr>
          <w:p w14:paraId="298A3E2C" w14:textId="77777777" w:rsidR="00B17BCE" w:rsidRPr="00E018E7" w:rsidRDefault="00B17BCE" w:rsidP="0042139C">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95,8</w:t>
            </w:r>
          </w:p>
        </w:tc>
      </w:tr>
      <w:tr w:rsidR="00B17BCE" w:rsidRPr="00E018E7" w14:paraId="0747BD5D" w14:textId="77777777" w:rsidTr="008139E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305" w:type="dxa"/>
          </w:tcPr>
          <w:p w14:paraId="427B9506" w14:textId="77777777" w:rsidR="00B17BCE" w:rsidRPr="00E018E7" w:rsidRDefault="00B17BCE" w:rsidP="00E52836">
            <w:pPr>
              <w:spacing w:after="0" w:line="240" w:lineRule="auto"/>
              <w:rPr>
                <w:color w:val="000000"/>
                <w:sz w:val="22"/>
              </w:rPr>
            </w:pPr>
            <w:r w:rsidRPr="00E018E7">
              <w:rPr>
                <w:b w:val="0"/>
                <w:sz w:val="22"/>
              </w:rPr>
              <w:t>Taux de couverture du territoire par la presse écrite</w:t>
            </w:r>
          </w:p>
        </w:tc>
        <w:tc>
          <w:tcPr>
            <w:tcW w:w="1212" w:type="dxa"/>
            <w:vAlign w:val="center"/>
          </w:tcPr>
          <w:p w14:paraId="1A10E2BF" w14:textId="77777777" w:rsidR="00B17BCE" w:rsidRPr="00E018E7" w:rsidRDefault="00B17BCE" w:rsidP="0042139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75</w:t>
            </w:r>
          </w:p>
        </w:tc>
        <w:tc>
          <w:tcPr>
            <w:tcW w:w="1308" w:type="dxa"/>
            <w:vAlign w:val="center"/>
          </w:tcPr>
          <w:p w14:paraId="14D76B84" w14:textId="77777777" w:rsidR="00B17BCE" w:rsidRPr="00E018E7" w:rsidRDefault="00B17BCE" w:rsidP="0042139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75</w:t>
            </w:r>
          </w:p>
        </w:tc>
        <w:tc>
          <w:tcPr>
            <w:tcW w:w="1191" w:type="dxa"/>
            <w:vAlign w:val="center"/>
          </w:tcPr>
          <w:p w14:paraId="27446E49" w14:textId="77777777" w:rsidR="00B17BCE" w:rsidRPr="00E018E7" w:rsidRDefault="00B17BCE" w:rsidP="0042139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85</w:t>
            </w:r>
          </w:p>
        </w:tc>
      </w:tr>
      <w:tr w:rsidR="00B17BCE" w:rsidRPr="00E018E7" w14:paraId="169A25EC" w14:textId="77777777" w:rsidTr="008139E1">
        <w:trPr>
          <w:trHeight w:val="252"/>
        </w:trPr>
        <w:tc>
          <w:tcPr>
            <w:cnfStyle w:val="001000000000" w:firstRow="0" w:lastRow="0" w:firstColumn="1" w:lastColumn="0" w:oddVBand="0" w:evenVBand="0" w:oddHBand="0" w:evenHBand="0" w:firstRowFirstColumn="0" w:firstRowLastColumn="0" w:lastRowFirstColumn="0" w:lastRowLastColumn="0"/>
            <w:tcW w:w="5305" w:type="dxa"/>
          </w:tcPr>
          <w:p w14:paraId="66386044" w14:textId="77777777" w:rsidR="00B17BCE" w:rsidRPr="00E018E7" w:rsidRDefault="00B17BCE" w:rsidP="00E52836">
            <w:pPr>
              <w:spacing w:line="240" w:lineRule="auto"/>
              <w:rPr>
                <w:sz w:val="22"/>
              </w:rPr>
            </w:pPr>
            <w:r w:rsidRPr="00E018E7">
              <w:rPr>
                <w:b w:val="0"/>
                <w:sz w:val="22"/>
              </w:rPr>
              <w:t>Taux de déconcentration des médias publics</w:t>
            </w:r>
          </w:p>
        </w:tc>
        <w:tc>
          <w:tcPr>
            <w:tcW w:w="1212" w:type="dxa"/>
            <w:vAlign w:val="center"/>
          </w:tcPr>
          <w:p w14:paraId="1BD1F57C" w14:textId="77777777" w:rsidR="00B17BCE" w:rsidRPr="00E018E7" w:rsidRDefault="00B17BCE" w:rsidP="0042139C">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69,23</w:t>
            </w:r>
          </w:p>
        </w:tc>
        <w:tc>
          <w:tcPr>
            <w:tcW w:w="1308" w:type="dxa"/>
            <w:vAlign w:val="center"/>
          </w:tcPr>
          <w:p w14:paraId="60C35549" w14:textId="77777777" w:rsidR="00B17BCE" w:rsidRPr="00E018E7" w:rsidRDefault="00B17BCE" w:rsidP="0042139C">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69,23</w:t>
            </w:r>
          </w:p>
        </w:tc>
        <w:tc>
          <w:tcPr>
            <w:tcW w:w="1191" w:type="dxa"/>
            <w:vAlign w:val="center"/>
          </w:tcPr>
          <w:p w14:paraId="40ABB70C" w14:textId="77777777" w:rsidR="00B17BCE" w:rsidRPr="00E018E7" w:rsidRDefault="00B17BCE" w:rsidP="0042139C">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69,23</w:t>
            </w:r>
          </w:p>
        </w:tc>
      </w:tr>
    </w:tbl>
    <w:p w14:paraId="32AD8B0E" w14:textId="189F6565" w:rsidR="00B17BCE" w:rsidRPr="00F175A7" w:rsidRDefault="00B17BCE" w:rsidP="00B17BCE">
      <w:pPr>
        <w:shd w:val="clear" w:color="auto" w:fill="FFFFFF"/>
        <w:spacing w:before="120" w:after="0" w:line="240" w:lineRule="auto"/>
        <w:rPr>
          <w:sz w:val="20"/>
          <w:szCs w:val="20"/>
        </w:rPr>
      </w:pPr>
      <w:r w:rsidRPr="00F175A7">
        <w:rPr>
          <w:b/>
          <w:sz w:val="20"/>
          <w:szCs w:val="20"/>
          <w:u w:val="single"/>
        </w:rPr>
        <w:t>Source</w:t>
      </w:r>
      <w:r w:rsidRPr="00F175A7">
        <w:rPr>
          <w:sz w:val="20"/>
          <w:szCs w:val="20"/>
        </w:rPr>
        <w:t> </w:t>
      </w:r>
      <w:r w:rsidRPr="00E31E23">
        <w:rPr>
          <w:sz w:val="18"/>
          <w:szCs w:val="18"/>
        </w:rPr>
        <w:t xml:space="preserve">: </w:t>
      </w:r>
      <w:r w:rsidRPr="00F175A7">
        <w:rPr>
          <w:sz w:val="20"/>
          <w:szCs w:val="20"/>
        </w:rPr>
        <w:t>rapport annuel de performance 2023 du CSD</w:t>
      </w:r>
      <w:r w:rsidR="008F33DB" w:rsidRPr="00F175A7">
        <w:rPr>
          <w:sz w:val="20"/>
          <w:szCs w:val="20"/>
        </w:rPr>
        <w:t>-</w:t>
      </w:r>
      <w:r w:rsidRPr="00F175A7">
        <w:rPr>
          <w:sz w:val="20"/>
          <w:szCs w:val="20"/>
        </w:rPr>
        <w:t>ITCH, février 2024</w:t>
      </w:r>
    </w:p>
    <w:p w14:paraId="46BC5407" w14:textId="741958B3"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Le taux de couverture du territoire par la télévision</w:t>
      </w:r>
      <w:r w:rsidRPr="00B17BCE" w:rsidDel="00111AD9">
        <w:rPr>
          <w:rFonts w:eastAsia="Calibri"/>
          <w:szCs w:val="24"/>
        </w:rPr>
        <w:t xml:space="preserve"> </w:t>
      </w:r>
      <w:r w:rsidRPr="00B17BCE">
        <w:rPr>
          <w:rFonts w:eastAsia="Calibri"/>
          <w:szCs w:val="24"/>
        </w:rPr>
        <w:t>n’</w:t>
      </w:r>
      <w:r w:rsidR="009277D9">
        <w:rPr>
          <w:rFonts w:eastAsia="Calibri"/>
          <w:szCs w:val="24"/>
        </w:rPr>
        <w:t>a</w:t>
      </w:r>
      <w:r w:rsidRPr="00B17BCE">
        <w:rPr>
          <w:rFonts w:eastAsia="Calibri"/>
          <w:szCs w:val="24"/>
        </w:rPr>
        <w:t xml:space="preserve"> pas atteint </w:t>
      </w:r>
      <w:r w:rsidR="009277D9">
        <w:rPr>
          <w:rFonts w:eastAsia="Calibri"/>
          <w:szCs w:val="24"/>
        </w:rPr>
        <w:t>sa</w:t>
      </w:r>
      <w:r w:rsidRPr="00B17BCE">
        <w:rPr>
          <w:rFonts w:eastAsia="Calibri"/>
          <w:szCs w:val="24"/>
        </w:rPr>
        <w:t xml:space="preserve"> cible en raison de la situation sécuritaire qui a entraîné la fermeture de certains centres d’émission. </w:t>
      </w:r>
      <w:r w:rsidR="009277D9">
        <w:rPr>
          <w:rFonts w:eastAsia="Calibri"/>
          <w:szCs w:val="24"/>
        </w:rPr>
        <w:t>Quant au taux de couverture par la presse écrite, il n’a pas connu d’évolution du fait de la non</w:t>
      </w:r>
      <w:r w:rsidR="00781AED">
        <w:rPr>
          <w:rFonts w:eastAsia="Calibri"/>
          <w:szCs w:val="24"/>
        </w:rPr>
        <w:t>-</w:t>
      </w:r>
      <w:r w:rsidR="00781AED" w:rsidRPr="00B17BCE">
        <w:rPr>
          <w:rFonts w:eastAsia="Calibri"/>
          <w:szCs w:val="24"/>
        </w:rPr>
        <w:t> </w:t>
      </w:r>
      <w:r w:rsidR="009277D9">
        <w:rPr>
          <w:rFonts w:eastAsia="Calibri"/>
          <w:szCs w:val="24"/>
        </w:rPr>
        <w:t>programmation du produit y relatif (installation d’imprimerie).</w:t>
      </w:r>
    </w:p>
    <w:p w14:paraId="41F0765F"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Pour la mise en œuvre de l’action 03082, trois (03) produits essentiels ont été planifiés. Ainsi, au 31 décembre 2023, la situation des indicateurs de produits est résumée dans le tableau ci-après.</w:t>
      </w:r>
    </w:p>
    <w:p w14:paraId="40F9EE95" w14:textId="64BF0E29" w:rsidR="00B17BCE" w:rsidRPr="00E31E23" w:rsidRDefault="00E62AF2" w:rsidP="00B17BCE">
      <w:pPr>
        <w:spacing w:after="0" w:line="240" w:lineRule="auto"/>
        <w:rPr>
          <w:sz w:val="22"/>
        </w:rPr>
      </w:pPr>
      <w:bookmarkStart w:id="81" w:name="_Toc164503617"/>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30</w:t>
      </w:r>
      <w:r w:rsidRPr="00B51145">
        <w:rPr>
          <w:b/>
          <w:bCs/>
          <w:sz w:val="22"/>
          <w:u w:val="single"/>
        </w:rPr>
        <w:fldChar w:fldCharType="end"/>
      </w:r>
      <w:r w:rsidR="00B17BCE" w:rsidRPr="00E31E23">
        <w:rPr>
          <w:b/>
          <w:color w:val="44546A"/>
          <w:sz w:val="22"/>
        </w:rPr>
        <w:t xml:space="preserve">: </w:t>
      </w:r>
      <w:r w:rsidR="00B17BCE" w:rsidRPr="00E31E23">
        <w:rPr>
          <w:b/>
          <w:sz w:val="22"/>
        </w:rPr>
        <w:t xml:space="preserve"> </w:t>
      </w:r>
      <w:r w:rsidR="00B17BCE" w:rsidRPr="00F175A7">
        <w:rPr>
          <w:sz w:val="22"/>
        </w:rPr>
        <w:t>situation des indicateurs de produits de l’action 03082 au 31 décembre 2023</w:t>
      </w:r>
      <w:bookmarkEnd w:id="81"/>
      <w:r w:rsidR="00B17BCE" w:rsidRPr="00F175A7">
        <w:rPr>
          <w:sz w:val="22"/>
        </w:rPr>
        <w:t xml:space="preserve"> </w:t>
      </w:r>
    </w:p>
    <w:tbl>
      <w:tblPr>
        <w:tblStyle w:val="GridTable4-Accent111"/>
        <w:tblW w:w="5000" w:type="pct"/>
        <w:tblLayout w:type="fixed"/>
        <w:tblLook w:val="04A0" w:firstRow="1" w:lastRow="0" w:firstColumn="1" w:lastColumn="0" w:noHBand="0" w:noVBand="1"/>
      </w:tblPr>
      <w:tblGrid>
        <w:gridCol w:w="4885"/>
        <w:gridCol w:w="1491"/>
        <w:gridCol w:w="1273"/>
        <w:gridCol w:w="1367"/>
      </w:tblGrid>
      <w:tr w:rsidR="00B17BCE" w:rsidRPr="00E018E7" w14:paraId="3C9F2488"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9" w:type="pct"/>
            <w:shd w:val="clear" w:color="auto" w:fill="4472C4" w:themeFill="accent1"/>
          </w:tcPr>
          <w:p w14:paraId="4F429C53" w14:textId="1A286E2A" w:rsidR="00B17BCE" w:rsidRPr="00E018E7" w:rsidRDefault="00B17BCE" w:rsidP="00E52836">
            <w:pPr>
              <w:keepNext/>
              <w:keepLines/>
              <w:spacing w:after="0" w:line="240" w:lineRule="auto"/>
              <w:rPr>
                <w:sz w:val="22"/>
              </w:rPr>
            </w:pPr>
            <w:r w:rsidRPr="00E018E7">
              <w:rPr>
                <w:sz w:val="22"/>
              </w:rPr>
              <w:t>Indicateur</w:t>
            </w:r>
            <w:r w:rsidR="00210DD3">
              <w:rPr>
                <w:sz w:val="22"/>
              </w:rPr>
              <w:t>s</w:t>
            </w:r>
            <w:r w:rsidRPr="00E018E7">
              <w:rPr>
                <w:sz w:val="22"/>
              </w:rPr>
              <w:t xml:space="preserve"> </w:t>
            </w:r>
          </w:p>
        </w:tc>
        <w:tc>
          <w:tcPr>
            <w:tcW w:w="827" w:type="pct"/>
            <w:shd w:val="clear" w:color="auto" w:fill="4472C4" w:themeFill="accent1"/>
          </w:tcPr>
          <w:p w14:paraId="4973FFF5" w14:textId="77777777" w:rsidR="00B17BCE" w:rsidRPr="00E018E7" w:rsidRDefault="00B17BCE"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2022</w:t>
            </w:r>
          </w:p>
        </w:tc>
        <w:tc>
          <w:tcPr>
            <w:tcW w:w="706" w:type="pct"/>
            <w:shd w:val="clear" w:color="auto" w:fill="4472C4" w:themeFill="accent1"/>
          </w:tcPr>
          <w:p w14:paraId="022F31C0" w14:textId="77777777" w:rsidR="00B17BCE" w:rsidRPr="00E018E7" w:rsidRDefault="00B17BCE"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2023</w:t>
            </w:r>
          </w:p>
        </w:tc>
        <w:tc>
          <w:tcPr>
            <w:tcW w:w="758" w:type="pct"/>
            <w:shd w:val="clear" w:color="auto" w:fill="4472C4" w:themeFill="accent1"/>
          </w:tcPr>
          <w:p w14:paraId="67943AC2" w14:textId="77777777" w:rsidR="00B17BCE" w:rsidRPr="00E018E7" w:rsidRDefault="00B17BCE"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Cible 2023</w:t>
            </w:r>
          </w:p>
        </w:tc>
      </w:tr>
      <w:tr w:rsidR="00B17BCE" w:rsidRPr="00E018E7" w14:paraId="59FA728F" w14:textId="77777777" w:rsidTr="00E62A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709" w:type="pct"/>
          </w:tcPr>
          <w:p w14:paraId="40495025" w14:textId="77777777" w:rsidR="00B17BCE" w:rsidRPr="00E018E7" w:rsidRDefault="00B17BCE" w:rsidP="00E52836">
            <w:pPr>
              <w:keepNext/>
              <w:keepLines/>
              <w:spacing w:after="0" w:line="240" w:lineRule="auto"/>
              <w:rPr>
                <w:b w:val="0"/>
                <w:sz w:val="22"/>
              </w:rPr>
            </w:pPr>
            <w:r w:rsidRPr="00E018E7">
              <w:rPr>
                <w:b w:val="0"/>
                <w:sz w:val="22"/>
              </w:rPr>
              <w:t xml:space="preserve">Nombre de lots d'équipements acquis pour le renforcement des capacités opérationnelles de la RTB </w:t>
            </w:r>
          </w:p>
        </w:tc>
        <w:tc>
          <w:tcPr>
            <w:tcW w:w="827" w:type="pct"/>
          </w:tcPr>
          <w:p w14:paraId="57947401" w14:textId="77777777" w:rsidR="00B17BCE" w:rsidRPr="00E018E7" w:rsidRDefault="00B17BCE"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E018E7">
              <w:rPr>
                <w:sz w:val="22"/>
              </w:rPr>
              <w:t>1</w:t>
            </w:r>
          </w:p>
        </w:tc>
        <w:tc>
          <w:tcPr>
            <w:tcW w:w="706" w:type="pct"/>
          </w:tcPr>
          <w:p w14:paraId="75333F06" w14:textId="77777777" w:rsidR="00B17BCE" w:rsidRPr="00E018E7" w:rsidRDefault="00B17BCE"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E018E7">
              <w:rPr>
                <w:sz w:val="22"/>
              </w:rPr>
              <w:t>2</w:t>
            </w:r>
          </w:p>
        </w:tc>
        <w:tc>
          <w:tcPr>
            <w:tcW w:w="758" w:type="pct"/>
          </w:tcPr>
          <w:p w14:paraId="4A05C243" w14:textId="77777777" w:rsidR="00B17BCE" w:rsidRPr="00E018E7" w:rsidRDefault="00B17BCE"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E018E7">
              <w:rPr>
                <w:sz w:val="22"/>
              </w:rPr>
              <w:t>1</w:t>
            </w:r>
          </w:p>
        </w:tc>
      </w:tr>
      <w:tr w:rsidR="00B17BCE" w:rsidRPr="00E018E7" w14:paraId="13806E09" w14:textId="77777777" w:rsidTr="00E62AF2">
        <w:trPr>
          <w:trHeight w:val="550"/>
        </w:trPr>
        <w:tc>
          <w:tcPr>
            <w:cnfStyle w:val="001000000000" w:firstRow="0" w:lastRow="0" w:firstColumn="1" w:lastColumn="0" w:oddVBand="0" w:evenVBand="0" w:oddHBand="0" w:evenHBand="0" w:firstRowFirstColumn="0" w:firstRowLastColumn="0" w:lastRowFirstColumn="0" w:lastRowLastColumn="0"/>
            <w:tcW w:w="2709" w:type="pct"/>
          </w:tcPr>
          <w:p w14:paraId="7809B934" w14:textId="77777777" w:rsidR="00B17BCE" w:rsidRPr="00E018E7" w:rsidRDefault="00B17BCE" w:rsidP="00E52836">
            <w:pPr>
              <w:keepNext/>
              <w:keepLines/>
              <w:spacing w:after="0" w:line="240" w:lineRule="auto"/>
              <w:rPr>
                <w:b w:val="0"/>
                <w:sz w:val="22"/>
              </w:rPr>
            </w:pPr>
            <w:r w:rsidRPr="00E018E7">
              <w:rPr>
                <w:b w:val="0"/>
                <w:sz w:val="22"/>
              </w:rPr>
              <w:t>Taux d'exécution physique des travaux du siège de la RTB (%)</w:t>
            </w:r>
          </w:p>
        </w:tc>
        <w:tc>
          <w:tcPr>
            <w:tcW w:w="827" w:type="pct"/>
          </w:tcPr>
          <w:p w14:paraId="2812F741" w14:textId="77777777" w:rsidR="00B17BCE" w:rsidRPr="00E018E7" w:rsidRDefault="00B17BCE"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E018E7">
              <w:rPr>
                <w:sz w:val="22"/>
              </w:rPr>
              <w:t>26</w:t>
            </w:r>
          </w:p>
        </w:tc>
        <w:tc>
          <w:tcPr>
            <w:tcW w:w="706" w:type="pct"/>
          </w:tcPr>
          <w:p w14:paraId="7AA439B9" w14:textId="77777777" w:rsidR="00B17BCE" w:rsidRPr="00E018E7" w:rsidRDefault="00B17BCE"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E018E7">
              <w:rPr>
                <w:sz w:val="22"/>
              </w:rPr>
              <w:t>39,60</w:t>
            </w:r>
          </w:p>
        </w:tc>
        <w:tc>
          <w:tcPr>
            <w:tcW w:w="758" w:type="pct"/>
          </w:tcPr>
          <w:p w14:paraId="0947687E" w14:textId="77777777" w:rsidR="00B17BCE" w:rsidRPr="00E018E7" w:rsidRDefault="00B17BCE"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E018E7">
              <w:rPr>
                <w:sz w:val="22"/>
              </w:rPr>
              <w:t>40</w:t>
            </w:r>
          </w:p>
        </w:tc>
      </w:tr>
      <w:tr w:rsidR="00B17BCE" w:rsidRPr="00E018E7" w14:paraId="2AA7D44D" w14:textId="77777777" w:rsidTr="00E62A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9" w:type="pct"/>
          </w:tcPr>
          <w:p w14:paraId="410A14F4" w14:textId="77777777" w:rsidR="00B17BCE" w:rsidRPr="00E018E7" w:rsidRDefault="00B17BCE" w:rsidP="00E52836">
            <w:pPr>
              <w:keepNext/>
              <w:keepLines/>
              <w:spacing w:after="0" w:line="240" w:lineRule="auto"/>
              <w:rPr>
                <w:b w:val="0"/>
                <w:sz w:val="22"/>
              </w:rPr>
            </w:pPr>
            <w:r w:rsidRPr="00E018E7">
              <w:rPr>
                <w:b w:val="0"/>
                <w:sz w:val="22"/>
              </w:rPr>
              <w:t xml:space="preserve">Nombre d'imprimeries installées pour le renforcement des capacités techniques et technologiques des Editions </w:t>
            </w:r>
            <w:proofErr w:type="spellStart"/>
            <w:r w:rsidRPr="00E018E7">
              <w:rPr>
                <w:b w:val="0"/>
                <w:sz w:val="22"/>
              </w:rPr>
              <w:t>Sidwaya</w:t>
            </w:r>
            <w:proofErr w:type="spellEnd"/>
          </w:p>
        </w:tc>
        <w:tc>
          <w:tcPr>
            <w:tcW w:w="827" w:type="pct"/>
          </w:tcPr>
          <w:p w14:paraId="3AD2ABA2" w14:textId="77777777" w:rsidR="00B17BCE" w:rsidRPr="00E018E7" w:rsidRDefault="00B17BCE"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E018E7">
              <w:rPr>
                <w:sz w:val="22"/>
              </w:rPr>
              <w:t>1</w:t>
            </w:r>
          </w:p>
        </w:tc>
        <w:tc>
          <w:tcPr>
            <w:tcW w:w="706" w:type="pct"/>
          </w:tcPr>
          <w:p w14:paraId="3F0F3B45" w14:textId="77777777" w:rsidR="00B17BCE" w:rsidRPr="00E018E7" w:rsidRDefault="00B17BCE"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E018E7">
              <w:rPr>
                <w:sz w:val="22"/>
              </w:rPr>
              <w:t>0</w:t>
            </w:r>
          </w:p>
        </w:tc>
        <w:tc>
          <w:tcPr>
            <w:tcW w:w="758" w:type="pct"/>
          </w:tcPr>
          <w:p w14:paraId="4661A29A" w14:textId="77777777" w:rsidR="00B17BCE" w:rsidRPr="00E018E7" w:rsidRDefault="00B17BCE"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E018E7">
              <w:rPr>
                <w:sz w:val="22"/>
              </w:rPr>
              <w:t>0</w:t>
            </w:r>
          </w:p>
        </w:tc>
      </w:tr>
      <w:tr w:rsidR="00B17BCE" w:rsidRPr="00E018E7" w14:paraId="1FBB2B9D" w14:textId="77777777" w:rsidTr="003D2260">
        <w:trPr>
          <w:trHeight w:val="50"/>
        </w:trPr>
        <w:tc>
          <w:tcPr>
            <w:cnfStyle w:val="001000000000" w:firstRow="0" w:lastRow="0" w:firstColumn="1" w:lastColumn="0" w:oddVBand="0" w:evenVBand="0" w:oddHBand="0" w:evenHBand="0" w:firstRowFirstColumn="0" w:firstRowLastColumn="0" w:lastRowFirstColumn="0" w:lastRowLastColumn="0"/>
            <w:tcW w:w="2709" w:type="pct"/>
          </w:tcPr>
          <w:p w14:paraId="03884619" w14:textId="0B6CB14F" w:rsidR="00B17BCE" w:rsidRPr="00E018E7" w:rsidRDefault="00B17BCE" w:rsidP="00E52836">
            <w:pPr>
              <w:keepNext/>
              <w:keepLines/>
              <w:spacing w:after="0" w:line="240" w:lineRule="auto"/>
              <w:rPr>
                <w:b w:val="0"/>
                <w:sz w:val="22"/>
              </w:rPr>
            </w:pPr>
            <w:r w:rsidRPr="00E018E7">
              <w:rPr>
                <w:b w:val="0"/>
                <w:sz w:val="22"/>
              </w:rPr>
              <w:t xml:space="preserve">Nombre de stations de diffusion fonctionnelles pour le renforcement de la qualité du réseau TNT et de son exploitation en continu </w:t>
            </w:r>
          </w:p>
        </w:tc>
        <w:tc>
          <w:tcPr>
            <w:tcW w:w="827" w:type="pct"/>
          </w:tcPr>
          <w:p w14:paraId="1DF5E26F" w14:textId="77777777" w:rsidR="00B17BCE" w:rsidRPr="00E018E7" w:rsidRDefault="00B17BCE"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E018E7">
              <w:rPr>
                <w:sz w:val="22"/>
              </w:rPr>
              <w:t>32</w:t>
            </w:r>
          </w:p>
        </w:tc>
        <w:tc>
          <w:tcPr>
            <w:tcW w:w="706" w:type="pct"/>
          </w:tcPr>
          <w:p w14:paraId="7CFC7C62" w14:textId="77777777" w:rsidR="00B17BCE" w:rsidRPr="00E018E7" w:rsidRDefault="00B17BCE"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E018E7">
              <w:rPr>
                <w:sz w:val="22"/>
              </w:rPr>
              <w:t>32</w:t>
            </w:r>
          </w:p>
        </w:tc>
        <w:tc>
          <w:tcPr>
            <w:tcW w:w="758" w:type="pct"/>
          </w:tcPr>
          <w:p w14:paraId="7D3CC76A" w14:textId="77777777" w:rsidR="00B17BCE" w:rsidRPr="00E018E7" w:rsidRDefault="00B17BCE"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E018E7">
              <w:rPr>
                <w:sz w:val="22"/>
              </w:rPr>
              <w:t>35</w:t>
            </w:r>
          </w:p>
        </w:tc>
      </w:tr>
    </w:tbl>
    <w:p w14:paraId="6A84F47C" w14:textId="687600D5" w:rsidR="00B17BCE" w:rsidRPr="00E31E23" w:rsidRDefault="00B17BCE" w:rsidP="00B17BCE">
      <w:pPr>
        <w:keepNext/>
        <w:keepLines/>
        <w:spacing w:line="240" w:lineRule="auto"/>
        <w:rPr>
          <w:sz w:val="20"/>
          <w:szCs w:val="20"/>
        </w:rPr>
      </w:pPr>
      <w:r w:rsidRPr="00E31E23">
        <w:rPr>
          <w:b/>
          <w:sz w:val="20"/>
          <w:szCs w:val="20"/>
          <w:u w:val="single"/>
        </w:rPr>
        <w:t>Source</w:t>
      </w:r>
      <w:r w:rsidRPr="00E31E23">
        <w:rPr>
          <w:sz w:val="20"/>
          <w:szCs w:val="20"/>
        </w:rPr>
        <w:t> : rapport annuel de performance 2023 du CSD</w:t>
      </w:r>
      <w:r w:rsidR="00210DD3">
        <w:rPr>
          <w:sz w:val="20"/>
          <w:szCs w:val="20"/>
        </w:rPr>
        <w:t>-</w:t>
      </w:r>
      <w:r w:rsidRPr="00E31E23">
        <w:rPr>
          <w:sz w:val="20"/>
          <w:szCs w:val="20"/>
        </w:rPr>
        <w:t>ITCH, février 2024</w:t>
      </w:r>
    </w:p>
    <w:p w14:paraId="09A419B5" w14:textId="77777777" w:rsidR="00B17BCE" w:rsidRPr="00B17BCE" w:rsidRDefault="00B17BCE" w:rsidP="00F175A7">
      <w:pPr>
        <w:numPr>
          <w:ilvl w:val="0"/>
          <w:numId w:val="8"/>
        </w:numPr>
        <w:shd w:val="clear" w:color="auto" w:fill="FFFFFF"/>
        <w:spacing w:before="120" w:after="120" w:line="240" w:lineRule="auto"/>
        <w:ind w:left="0"/>
        <w:rPr>
          <w:rFonts w:eastAsia="Calibri"/>
          <w:szCs w:val="24"/>
        </w:rPr>
      </w:pPr>
      <w:r w:rsidRPr="00B17BCE">
        <w:rPr>
          <w:rFonts w:eastAsia="Calibri"/>
          <w:szCs w:val="24"/>
        </w:rPr>
        <w:t xml:space="preserve">Les produits devant impulser la dynamique de performance des indicateurs d’action notamment le renforcement des capacités opérationnelles de la RTB, le renforcement de la qualité du réseau TNT, ont tous atteint ou dépassé leur cible. Seul le produit relatif au renforcement des capacités techniques et technologiques des Editions </w:t>
      </w:r>
      <w:proofErr w:type="spellStart"/>
      <w:r w:rsidRPr="00B17BCE">
        <w:rPr>
          <w:rFonts w:eastAsia="Calibri"/>
          <w:szCs w:val="24"/>
        </w:rPr>
        <w:t>Sidwaya</w:t>
      </w:r>
      <w:proofErr w:type="spellEnd"/>
      <w:r w:rsidRPr="00B17BCE">
        <w:rPr>
          <w:rFonts w:eastAsia="Calibri"/>
          <w:szCs w:val="24"/>
        </w:rPr>
        <w:t xml:space="preserve"> n’a pas connu un début de démarrage. Ce résultat s’explique par le choix de rendre d’abord fonctionnelle l’imprimerie de Bobo-Dioulasso. En outre, un lot supplémentaire d’équipements a été acquis pour l’ouverture de la RTB3.</w:t>
      </w:r>
    </w:p>
    <w:p w14:paraId="6AA827BE" w14:textId="54B43165" w:rsidR="00881BB7" w:rsidRDefault="00781AED"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B17BCE" w:rsidRPr="00B17BCE">
        <w:rPr>
          <w:rFonts w:eastAsia="Calibri"/>
          <w:szCs w:val="24"/>
        </w:rPr>
        <w:t xml:space="preserve"> plan du financement de l’action, sur des prévisions de 8</w:t>
      </w:r>
      <w:r w:rsidRPr="00B17BCE">
        <w:rPr>
          <w:rFonts w:eastAsia="Calibri"/>
          <w:szCs w:val="24"/>
        </w:rPr>
        <w:t> </w:t>
      </w:r>
      <w:r w:rsidR="00B17BCE" w:rsidRPr="00B17BCE">
        <w:rPr>
          <w:rFonts w:eastAsia="Calibri"/>
          <w:szCs w:val="24"/>
        </w:rPr>
        <w:t>481</w:t>
      </w:r>
      <w:r>
        <w:rPr>
          <w:rFonts w:eastAsia="Calibri"/>
          <w:szCs w:val="24"/>
        </w:rPr>
        <w:t> </w:t>
      </w:r>
      <w:r w:rsidR="00B17BCE" w:rsidRPr="00B17BCE">
        <w:rPr>
          <w:rFonts w:eastAsia="Calibri"/>
          <w:szCs w:val="24"/>
        </w:rPr>
        <w:t>000</w:t>
      </w:r>
      <w:r w:rsidRPr="00B17BCE">
        <w:rPr>
          <w:rFonts w:eastAsia="Calibri"/>
          <w:szCs w:val="24"/>
        </w:rPr>
        <w:t> </w:t>
      </w:r>
      <w:r w:rsidR="00B17BCE" w:rsidRPr="00B17BCE">
        <w:rPr>
          <w:rFonts w:eastAsia="Calibri"/>
          <w:szCs w:val="24"/>
        </w:rPr>
        <w:t>000 FCFA, les dépenses ont été exécutées à hauteur de 247 589 400 FCFA, correspondant à un taux de 2,92%</w:t>
      </w:r>
      <w:r w:rsidR="00677570" w:rsidRPr="001E5F36">
        <w:rPr>
          <w:rFonts w:eastAsia="Calibri"/>
          <w:szCs w:val="24"/>
        </w:rPr>
        <w:t>.</w:t>
      </w:r>
    </w:p>
    <w:p w14:paraId="073A2178" w14:textId="1B177A2D" w:rsidR="00CA6AFC" w:rsidRDefault="00CA6AFC">
      <w:pPr>
        <w:spacing w:after="0" w:line="240" w:lineRule="auto"/>
        <w:jc w:val="left"/>
        <w:rPr>
          <w:rFonts w:eastAsia="Calibri"/>
          <w:szCs w:val="24"/>
        </w:rPr>
      </w:pPr>
      <w:r>
        <w:rPr>
          <w:rFonts w:eastAsia="Calibri"/>
          <w:szCs w:val="24"/>
        </w:rPr>
        <w:br w:type="page"/>
      </w:r>
    </w:p>
    <w:p w14:paraId="757216EE" w14:textId="7954FF19" w:rsidR="004A3E23" w:rsidRPr="004A3E23" w:rsidRDefault="00EA252D" w:rsidP="004A3E23">
      <w:pPr>
        <w:pStyle w:val="PAT4"/>
        <w:ind w:left="1571"/>
        <w:rPr>
          <w:szCs w:val="24"/>
        </w:rPr>
      </w:pPr>
      <w:bookmarkStart w:id="82" w:name="_Toc163141224"/>
      <w:r w:rsidRPr="008D2129">
        <w:lastRenderedPageBreak/>
        <w:t xml:space="preserve">Objectif stratégique 2.2 : Promouvoir la bonne gouvernance administrative et moderniser </w:t>
      </w:r>
      <w:r w:rsidR="00A14598" w:rsidRPr="008D2129">
        <w:t>l’administration publique</w:t>
      </w:r>
      <w:bookmarkEnd w:id="82"/>
    </w:p>
    <w:p w14:paraId="0715DB3B" w14:textId="17EB1A01"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La promotion de la bonne gouvernance administrative et la modernisation de l’administration publique s’opérationnalise</w:t>
      </w:r>
      <w:r w:rsidR="00781AED">
        <w:rPr>
          <w:rFonts w:eastAsia="Calibri"/>
          <w:szCs w:val="24"/>
        </w:rPr>
        <w:t>nt</w:t>
      </w:r>
      <w:r w:rsidRPr="004A3E23">
        <w:rPr>
          <w:rFonts w:eastAsia="Calibri"/>
          <w:szCs w:val="24"/>
        </w:rPr>
        <w:t xml:space="preserve"> à travers huit (08) actions dont sept (07) décliné</w:t>
      </w:r>
      <w:r w:rsidR="00781AED">
        <w:rPr>
          <w:rFonts w:eastAsia="Calibri"/>
          <w:szCs w:val="24"/>
        </w:rPr>
        <w:t>e</w:t>
      </w:r>
      <w:r w:rsidRPr="004A3E23">
        <w:rPr>
          <w:rFonts w:eastAsia="Calibri"/>
          <w:szCs w:val="24"/>
        </w:rPr>
        <w:t>s dans le PA-SD et une (01) au niveau sectoriel. L’état de mise en œuvre de ces actions au 31 décembre 2023 se présente comme suit.</w:t>
      </w:r>
    </w:p>
    <w:p w14:paraId="6C8812DD"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première de ces actions porte </w:t>
      </w:r>
      <w:r w:rsidRPr="008139E1">
        <w:rPr>
          <w:rFonts w:eastAsia="Calibri"/>
          <w:b/>
          <w:szCs w:val="24"/>
        </w:rPr>
        <w:t>sur l’accélération du processus de redécoupage administratif du territoire (03015)</w:t>
      </w:r>
      <w:r w:rsidRPr="004A3E23">
        <w:rPr>
          <w:rFonts w:eastAsia="Calibri"/>
          <w:szCs w:val="24"/>
        </w:rPr>
        <w:t xml:space="preserve"> dont l’état de mise en œuvre est apprécié par la « disponibilité du projet de loi sur le redécoupage du territoire ». Au 31 décembre 2023, ce projet de loi n’est pas disponible en raison du contexte sécuritaire difficile.</w:t>
      </w:r>
    </w:p>
    <w:p w14:paraId="3B489D79"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Deux (2) extrants concourent à la mise en œuvre de l’action à savoir la « disponibilité de la loi portant orientation de l’organisation générale de l’administration du territoire au Burkina Faso et de ses décrets d’application » et la « disponibilité de la loi portant institution d’un corps préfectoral et de ses textes d’application ». Au 31 décembre 2023, ces deux extrants ne sont pas disponibles. Toutefois, les avant-projets des lois et les projets de leurs décrets d’application ont été élaborés et transmis au Comité technique de vérification des avant-projets de lois (COTEVAL) pour examen.</w:t>
      </w:r>
    </w:p>
    <w:p w14:paraId="6BCE0817" w14:textId="77777777" w:rsidR="004A3E23" w:rsidRPr="00E31E23" w:rsidRDefault="004A3E23" w:rsidP="00830200">
      <w:pPr>
        <w:numPr>
          <w:ilvl w:val="0"/>
          <w:numId w:val="8"/>
        </w:numPr>
        <w:shd w:val="clear" w:color="auto" w:fill="FFFFFF"/>
        <w:spacing w:before="120" w:after="120" w:line="240" w:lineRule="auto"/>
        <w:ind w:left="0"/>
      </w:pPr>
      <w:r w:rsidRPr="00E31E23">
        <w:t xml:space="preserve">Sur une prévision de 29 512 500 FCFA pour l’action, un montant de 16 350 000 FCFA a été dépensé, soit un taux d’exécution financière de 55,40%. </w:t>
      </w:r>
    </w:p>
    <w:p w14:paraId="5A195217"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deuxième action est relative à </w:t>
      </w:r>
      <w:r w:rsidRPr="008139E1">
        <w:rPr>
          <w:rFonts w:eastAsia="Calibri"/>
          <w:b/>
          <w:szCs w:val="24"/>
        </w:rPr>
        <w:t>la gestion efficace des ressources humaines de l’administration publique (03016)</w:t>
      </w:r>
      <w:r w:rsidRPr="004A3E23">
        <w:rPr>
          <w:rFonts w:eastAsia="Calibri"/>
          <w:szCs w:val="24"/>
        </w:rPr>
        <w:t xml:space="preserve">. Elle est appréciée par la « proportion des agents publics dont l’avancement est à jour ». Au 31 décembre 2023, la valeur de l’indicateur est de 69,17% pour une cible de 90%. </w:t>
      </w:r>
    </w:p>
    <w:p w14:paraId="186F2063"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Pour la réalisation de cette action, quatre (04) produits sont attendus en 2023.  Au 31 décembre 2023, trois ont atteint leurs cibles. Les avancées concernent la disponibilité d’un document d’évaluation de la mise en œuvre de la loi n° 081-2015/CNT ; (ii) la disponibilité du texte portant gestion des ressources humaines en période de crise et (iii) la signature dans les délais des actes de carrière de 61,96% des agents de la fonction publique concernés.</w:t>
      </w:r>
    </w:p>
    <w:p w14:paraId="7A3A3C3F" w14:textId="1FD7D85E" w:rsidR="00CA6AFC"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La situation des indicateurs est consignée dans le tableau ci-dessous</w:t>
      </w:r>
      <w:r w:rsidR="00781AED">
        <w:rPr>
          <w:rFonts w:eastAsia="Calibri"/>
          <w:szCs w:val="24"/>
        </w:rPr>
        <w:t>.</w:t>
      </w:r>
    </w:p>
    <w:p w14:paraId="364A7BEE" w14:textId="77777777" w:rsidR="00CA6AFC" w:rsidRDefault="00CA6AFC">
      <w:pPr>
        <w:spacing w:after="0" w:line="240" w:lineRule="auto"/>
        <w:jc w:val="left"/>
        <w:rPr>
          <w:rFonts w:eastAsia="Calibri"/>
          <w:szCs w:val="24"/>
        </w:rPr>
      </w:pPr>
      <w:r>
        <w:rPr>
          <w:rFonts w:eastAsia="Calibri"/>
          <w:szCs w:val="24"/>
        </w:rPr>
        <w:br w:type="page"/>
      </w:r>
    </w:p>
    <w:p w14:paraId="27262544" w14:textId="1326B599" w:rsidR="004A3E23" w:rsidRPr="00F175A7" w:rsidRDefault="00B631EB" w:rsidP="004A3E23">
      <w:pPr>
        <w:pBdr>
          <w:top w:val="nil"/>
          <w:left w:val="nil"/>
          <w:bottom w:val="nil"/>
          <w:right w:val="nil"/>
          <w:between w:val="nil"/>
        </w:pBdr>
        <w:spacing w:after="200" w:line="240" w:lineRule="auto"/>
        <w:rPr>
          <w:rFonts w:cs="Merriweather"/>
          <w:sz w:val="22"/>
        </w:rPr>
      </w:pPr>
      <w:bookmarkStart w:id="83" w:name="_Toc164503618"/>
      <w:r w:rsidRPr="00B631EB">
        <w:rPr>
          <w:b/>
          <w:bCs/>
          <w:sz w:val="22"/>
          <w:u w:val="single"/>
        </w:rPr>
        <w:lastRenderedPageBreak/>
        <w:t xml:space="preserve">Tableau </w:t>
      </w:r>
      <w:r w:rsidRPr="00B631EB">
        <w:rPr>
          <w:b/>
          <w:bCs/>
          <w:sz w:val="22"/>
          <w:u w:val="single"/>
        </w:rPr>
        <w:fldChar w:fldCharType="begin"/>
      </w:r>
      <w:r w:rsidRPr="00B631EB">
        <w:rPr>
          <w:b/>
          <w:bCs/>
          <w:sz w:val="22"/>
          <w:u w:val="single"/>
        </w:rPr>
        <w:instrText xml:space="preserve"> SEQ Tableau \* ARABIC </w:instrText>
      </w:r>
      <w:r w:rsidRPr="00B631EB">
        <w:rPr>
          <w:b/>
          <w:bCs/>
          <w:sz w:val="22"/>
          <w:u w:val="single"/>
        </w:rPr>
        <w:fldChar w:fldCharType="separate"/>
      </w:r>
      <w:r w:rsidR="007C2E4E">
        <w:rPr>
          <w:b/>
          <w:bCs/>
          <w:noProof/>
          <w:sz w:val="22"/>
          <w:u w:val="single"/>
        </w:rPr>
        <w:t>31</w:t>
      </w:r>
      <w:r w:rsidRPr="00B631EB">
        <w:rPr>
          <w:b/>
          <w:bCs/>
          <w:sz w:val="22"/>
          <w:u w:val="single"/>
        </w:rPr>
        <w:fldChar w:fldCharType="end"/>
      </w:r>
      <w:r w:rsidR="004903D4">
        <w:rPr>
          <w:rFonts w:cs="Merriweather"/>
          <w:color w:val="44546A"/>
          <w:sz w:val="22"/>
        </w:rPr>
        <w:t xml:space="preserve"> </w:t>
      </w:r>
      <w:r w:rsidR="004A3E23" w:rsidRPr="00B631EB">
        <w:rPr>
          <w:rFonts w:cs="Merriweather"/>
          <w:color w:val="44546A"/>
          <w:sz w:val="22"/>
        </w:rPr>
        <w:t xml:space="preserve">: </w:t>
      </w:r>
      <w:r w:rsidR="004A3E23" w:rsidRPr="00F175A7">
        <w:rPr>
          <w:rFonts w:cs="Merriweather"/>
          <w:sz w:val="22"/>
        </w:rPr>
        <w:t>situation des indicateurs de produits de l'action « gestion efficace des ressources humaines de l'administration publique » au 31 décembre 2023</w:t>
      </w:r>
      <w:bookmarkEnd w:id="83"/>
    </w:p>
    <w:tbl>
      <w:tblPr>
        <w:tblStyle w:val="GridTable4-Accent111"/>
        <w:tblW w:w="5000" w:type="pct"/>
        <w:tblLayout w:type="fixed"/>
        <w:tblLook w:val="04A0" w:firstRow="1" w:lastRow="0" w:firstColumn="1" w:lastColumn="0" w:noHBand="0" w:noVBand="1"/>
      </w:tblPr>
      <w:tblGrid>
        <w:gridCol w:w="5239"/>
        <w:gridCol w:w="1277"/>
        <w:gridCol w:w="1277"/>
        <w:gridCol w:w="1223"/>
      </w:tblGrid>
      <w:tr w:rsidR="004A3E23" w:rsidRPr="00E018E7" w14:paraId="24DB226C"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shd w:val="clear" w:color="auto" w:fill="4472C4" w:themeFill="accent1"/>
          </w:tcPr>
          <w:p w14:paraId="7D705639" w14:textId="77777777" w:rsidR="004A3E23" w:rsidRPr="00E018E7" w:rsidRDefault="004A3E23" w:rsidP="00F175A7">
            <w:pPr>
              <w:spacing w:after="0" w:line="240" w:lineRule="auto"/>
              <w:jc w:val="left"/>
              <w:rPr>
                <w:sz w:val="22"/>
              </w:rPr>
            </w:pPr>
            <w:r w:rsidRPr="00E018E7">
              <w:rPr>
                <w:sz w:val="22"/>
              </w:rPr>
              <w:t xml:space="preserve">Indicateur </w:t>
            </w:r>
          </w:p>
        </w:tc>
        <w:tc>
          <w:tcPr>
            <w:tcW w:w="708" w:type="pct"/>
            <w:shd w:val="clear" w:color="auto" w:fill="4472C4" w:themeFill="accent1"/>
          </w:tcPr>
          <w:p w14:paraId="59A8D592" w14:textId="77777777" w:rsidR="004A3E23" w:rsidRPr="00E018E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2022</w:t>
            </w:r>
          </w:p>
        </w:tc>
        <w:tc>
          <w:tcPr>
            <w:tcW w:w="708" w:type="pct"/>
            <w:shd w:val="clear" w:color="auto" w:fill="4472C4" w:themeFill="accent1"/>
          </w:tcPr>
          <w:p w14:paraId="3D162E76" w14:textId="77777777" w:rsidR="004A3E23" w:rsidRPr="00E018E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2023</w:t>
            </w:r>
          </w:p>
        </w:tc>
        <w:tc>
          <w:tcPr>
            <w:tcW w:w="678" w:type="pct"/>
            <w:shd w:val="clear" w:color="auto" w:fill="4472C4" w:themeFill="accent1"/>
          </w:tcPr>
          <w:p w14:paraId="17013857" w14:textId="77777777" w:rsidR="004A3E23" w:rsidRPr="00E018E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Cible 2023</w:t>
            </w:r>
          </w:p>
        </w:tc>
      </w:tr>
      <w:tr w:rsidR="004A3E23" w:rsidRPr="00E018E7" w14:paraId="600A6ACA"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05C44149" w14:textId="77777777" w:rsidR="004A3E23" w:rsidRPr="00E018E7" w:rsidRDefault="004A3E23" w:rsidP="00F175A7">
            <w:pPr>
              <w:spacing w:after="0" w:line="240" w:lineRule="auto"/>
              <w:jc w:val="left"/>
              <w:rPr>
                <w:color w:val="000000"/>
                <w:sz w:val="22"/>
              </w:rPr>
            </w:pPr>
            <w:r w:rsidRPr="00E018E7">
              <w:rPr>
                <w:color w:val="000000"/>
                <w:sz w:val="22"/>
              </w:rPr>
              <w:t>Disponibilité d’un document d’évaluation de la mise en œuvre de la loi n° 081-2015/CNT</w:t>
            </w:r>
          </w:p>
        </w:tc>
        <w:tc>
          <w:tcPr>
            <w:tcW w:w="708" w:type="pct"/>
          </w:tcPr>
          <w:p w14:paraId="55093BE6" w14:textId="77777777" w:rsidR="004A3E23" w:rsidRPr="00E018E7" w:rsidRDefault="004A3E23" w:rsidP="00F175A7">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0</w:t>
            </w:r>
          </w:p>
        </w:tc>
        <w:tc>
          <w:tcPr>
            <w:tcW w:w="708" w:type="pct"/>
          </w:tcPr>
          <w:p w14:paraId="5E4BD11A" w14:textId="77777777" w:rsidR="004A3E23" w:rsidRPr="00E018E7" w:rsidRDefault="004A3E23" w:rsidP="00F175A7">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w:t>
            </w:r>
          </w:p>
        </w:tc>
        <w:tc>
          <w:tcPr>
            <w:tcW w:w="678" w:type="pct"/>
          </w:tcPr>
          <w:p w14:paraId="1DA1B787" w14:textId="77777777" w:rsidR="004A3E23" w:rsidRPr="00E018E7" w:rsidRDefault="004A3E23" w:rsidP="00F175A7">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w:t>
            </w:r>
          </w:p>
        </w:tc>
      </w:tr>
      <w:tr w:rsidR="004A3E23" w:rsidRPr="00E018E7" w14:paraId="38ADC28B"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0AAFC2CB" w14:textId="77777777" w:rsidR="004A3E23" w:rsidRPr="00E018E7" w:rsidRDefault="004A3E23" w:rsidP="00F175A7">
            <w:pPr>
              <w:spacing w:after="0" w:line="240" w:lineRule="auto"/>
              <w:jc w:val="left"/>
              <w:rPr>
                <w:color w:val="000000"/>
                <w:sz w:val="22"/>
              </w:rPr>
            </w:pPr>
            <w:r w:rsidRPr="00E018E7">
              <w:rPr>
                <w:color w:val="000000"/>
                <w:sz w:val="22"/>
              </w:rPr>
              <w:t>Disponibilité du texte portant gestion des ressources humaines en période de crise</w:t>
            </w:r>
          </w:p>
        </w:tc>
        <w:tc>
          <w:tcPr>
            <w:tcW w:w="708" w:type="pct"/>
          </w:tcPr>
          <w:p w14:paraId="13D09F72" w14:textId="77777777" w:rsidR="004A3E23" w:rsidRPr="00E018E7" w:rsidRDefault="004A3E23" w:rsidP="00F175A7">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0</w:t>
            </w:r>
          </w:p>
        </w:tc>
        <w:tc>
          <w:tcPr>
            <w:tcW w:w="708" w:type="pct"/>
          </w:tcPr>
          <w:p w14:paraId="458186A5" w14:textId="77777777" w:rsidR="004A3E23" w:rsidRPr="00E018E7" w:rsidRDefault="004A3E23" w:rsidP="00F175A7">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w:t>
            </w:r>
          </w:p>
        </w:tc>
        <w:tc>
          <w:tcPr>
            <w:tcW w:w="678" w:type="pct"/>
          </w:tcPr>
          <w:p w14:paraId="1517448E" w14:textId="77777777" w:rsidR="004A3E23" w:rsidRPr="00E018E7" w:rsidRDefault="004A3E23" w:rsidP="00F175A7">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w:t>
            </w:r>
          </w:p>
        </w:tc>
      </w:tr>
      <w:tr w:rsidR="004A3E23" w:rsidRPr="00E018E7" w14:paraId="65BC0440"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7D0D28DB" w14:textId="77777777" w:rsidR="004A3E23" w:rsidRPr="00E018E7" w:rsidRDefault="004A3E23" w:rsidP="00F175A7">
            <w:pPr>
              <w:spacing w:after="0" w:line="240" w:lineRule="auto"/>
              <w:jc w:val="left"/>
              <w:rPr>
                <w:color w:val="000000"/>
                <w:sz w:val="22"/>
              </w:rPr>
            </w:pPr>
            <w:r w:rsidRPr="00E018E7">
              <w:rPr>
                <w:color w:val="000000"/>
                <w:sz w:val="22"/>
              </w:rPr>
              <w:t>Proportion de concours professionnels composés en ligne (%)</w:t>
            </w:r>
          </w:p>
        </w:tc>
        <w:tc>
          <w:tcPr>
            <w:tcW w:w="708" w:type="pct"/>
          </w:tcPr>
          <w:p w14:paraId="7CE55C01" w14:textId="77777777" w:rsidR="004A3E23" w:rsidRPr="00E018E7" w:rsidRDefault="004A3E23" w:rsidP="00F175A7">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75</w:t>
            </w:r>
          </w:p>
        </w:tc>
        <w:tc>
          <w:tcPr>
            <w:tcW w:w="708" w:type="pct"/>
          </w:tcPr>
          <w:p w14:paraId="06079BB6" w14:textId="77777777" w:rsidR="004A3E23" w:rsidRPr="00E018E7" w:rsidRDefault="004A3E23" w:rsidP="00F175A7">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89,06</w:t>
            </w:r>
          </w:p>
        </w:tc>
        <w:tc>
          <w:tcPr>
            <w:tcW w:w="678" w:type="pct"/>
          </w:tcPr>
          <w:p w14:paraId="6CED46A4" w14:textId="77777777" w:rsidR="004A3E23" w:rsidRPr="00E018E7" w:rsidRDefault="004A3E23" w:rsidP="00F175A7">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100</w:t>
            </w:r>
          </w:p>
        </w:tc>
      </w:tr>
      <w:tr w:rsidR="004A3E23" w:rsidRPr="00E018E7" w14:paraId="4D66CECD"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78FC030F" w14:textId="77777777" w:rsidR="004A3E23" w:rsidRPr="00E018E7" w:rsidRDefault="004A3E23" w:rsidP="00F175A7">
            <w:pPr>
              <w:spacing w:after="0" w:line="240" w:lineRule="auto"/>
              <w:jc w:val="left"/>
              <w:rPr>
                <w:color w:val="000000"/>
                <w:sz w:val="22"/>
              </w:rPr>
            </w:pPr>
            <w:r w:rsidRPr="00E018E7">
              <w:rPr>
                <w:color w:val="000000"/>
                <w:sz w:val="22"/>
              </w:rPr>
              <w:t>Proportion des agents dont les actes de carrière (intégration, reclassement, retraite) ont été signés dans les délais (%)</w:t>
            </w:r>
          </w:p>
        </w:tc>
        <w:tc>
          <w:tcPr>
            <w:tcW w:w="708" w:type="pct"/>
          </w:tcPr>
          <w:p w14:paraId="770E414B" w14:textId="77777777" w:rsidR="004A3E23" w:rsidRPr="00E018E7" w:rsidRDefault="004A3E23" w:rsidP="00F175A7">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51,98</w:t>
            </w:r>
          </w:p>
        </w:tc>
        <w:tc>
          <w:tcPr>
            <w:tcW w:w="708" w:type="pct"/>
          </w:tcPr>
          <w:p w14:paraId="78EBDB58" w14:textId="77777777" w:rsidR="004A3E23" w:rsidRPr="00E018E7" w:rsidRDefault="004A3E23" w:rsidP="00F175A7">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61,96</w:t>
            </w:r>
          </w:p>
        </w:tc>
        <w:tc>
          <w:tcPr>
            <w:tcW w:w="678" w:type="pct"/>
          </w:tcPr>
          <w:p w14:paraId="0B4ABDFA" w14:textId="77777777" w:rsidR="004A3E23" w:rsidRPr="00E018E7" w:rsidRDefault="004A3E23" w:rsidP="00F175A7">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60</w:t>
            </w:r>
          </w:p>
        </w:tc>
      </w:tr>
    </w:tbl>
    <w:p w14:paraId="7C18640A" w14:textId="3E00B606" w:rsidR="004A3E23" w:rsidRPr="00E31E23" w:rsidRDefault="004A3E23" w:rsidP="004A3E23">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w:t>
      </w:r>
      <w:r w:rsidR="00210DD3">
        <w:rPr>
          <w:sz w:val="20"/>
          <w:szCs w:val="20"/>
        </w:rPr>
        <w:t xml:space="preserve"> 2023</w:t>
      </w:r>
      <w:r w:rsidRPr="00E31E23">
        <w:rPr>
          <w:sz w:val="20"/>
          <w:szCs w:val="20"/>
        </w:rPr>
        <w:t xml:space="preserve"> du CSD-GAL, février 2024</w:t>
      </w:r>
    </w:p>
    <w:p w14:paraId="4EC2BE1B" w14:textId="07E33BEC"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Le coût de réalisation de l’action est de 245 495 590 FCFA pour une prévision de 335 495 590 FCFA, soit un taux 73,17%. </w:t>
      </w:r>
    </w:p>
    <w:p w14:paraId="2003EFFF"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troisième action vise </w:t>
      </w:r>
      <w:r w:rsidRPr="008139E1">
        <w:rPr>
          <w:rFonts w:eastAsia="Calibri"/>
          <w:b/>
          <w:szCs w:val="24"/>
        </w:rPr>
        <w:t>la dépolitisation de l'administration publique et la promotion du mérite (03017)</w:t>
      </w:r>
      <w:r w:rsidRPr="004A3E23">
        <w:rPr>
          <w:rFonts w:eastAsia="Calibri"/>
          <w:szCs w:val="24"/>
        </w:rPr>
        <w:t xml:space="preserve"> qui est appréciée par la « disponibilité de la loi et de son décret d’application ». Au 31 décembre 2023, la cible de l’indicateur n’est pas atteinte. </w:t>
      </w:r>
    </w:p>
    <w:p w14:paraId="521AC97A" w14:textId="51AEE720"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Pour la mise en œuvre de l’action, deux (02) produits étaient attendus en 2023</w:t>
      </w:r>
      <w:r w:rsidR="00781AED">
        <w:rPr>
          <w:rFonts w:eastAsia="Calibri"/>
          <w:szCs w:val="24"/>
        </w:rPr>
        <w:t>,</w:t>
      </w:r>
      <w:r w:rsidRPr="004A3E23">
        <w:rPr>
          <w:rFonts w:eastAsia="Calibri"/>
          <w:szCs w:val="24"/>
        </w:rPr>
        <w:t xml:space="preserve"> à savoir l’adoption de </w:t>
      </w:r>
      <w:r w:rsidR="0042139C">
        <w:rPr>
          <w:rFonts w:eastAsia="Calibri"/>
          <w:szCs w:val="24"/>
        </w:rPr>
        <w:t xml:space="preserve">la </w:t>
      </w:r>
      <w:r w:rsidRPr="004A3E23">
        <w:rPr>
          <w:rFonts w:eastAsia="Calibri"/>
          <w:szCs w:val="24"/>
        </w:rPr>
        <w:t xml:space="preserve">loi sur la dépolitisation et </w:t>
      </w:r>
      <w:r w:rsidR="00781AED">
        <w:rPr>
          <w:rFonts w:eastAsia="Calibri"/>
          <w:szCs w:val="24"/>
        </w:rPr>
        <w:t>le</w:t>
      </w:r>
      <w:r w:rsidRPr="004A3E23">
        <w:rPr>
          <w:rFonts w:eastAsia="Calibri"/>
          <w:szCs w:val="24"/>
        </w:rPr>
        <w:t xml:space="preserve"> décret portant conditions et modalités de nomination aux fonctions techniques. La cible de l’indicateur du premier produit est atteinte. En effet, la loi n°002-2023/ALT portant renforcement de la neutralité politique et de la méritocratie dans l’administration publique a été adoptée le 16 mars 2023. Aussi, la loi a été vulgarisée dans trois (03) régions, à savoir le Plateau central, le Centre-</w:t>
      </w:r>
      <w:r w:rsidR="00781AED">
        <w:rPr>
          <w:rFonts w:eastAsia="Calibri"/>
          <w:szCs w:val="24"/>
        </w:rPr>
        <w:t>S</w:t>
      </w:r>
      <w:r w:rsidRPr="004A3E23">
        <w:rPr>
          <w:rFonts w:eastAsia="Calibri"/>
          <w:szCs w:val="24"/>
        </w:rPr>
        <w:t xml:space="preserve">ud et les Hauts-Bassins. La vulgarisation a été faite au profit des élèves des écoles et centres de formation professionnelle. </w:t>
      </w:r>
      <w:r w:rsidR="00781AED">
        <w:rPr>
          <w:rFonts w:eastAsia="Calibri"/>
          <w:szCs w:val="24"/>
        </w:rPr>
        <w:t>En revanche,</w:t>
      </w:r>
      <w:r w:rsidRPr="004A3E23">
        <w:rPr>
          <w:rFonts w:eastAsia="Calibri"/>
          <w:szCs w:val="24"/>
        </w:rPr>
        <w:t xml:space="preserve"> l’adoption du décret portant conditions et modalités de nomination aux fonctions techniques n’a pas été effective. Toutefois, un projet de décret est disponible. </w:t>
      </w:r>
    </w:p>
    <w:p w14:paraId="68B01DDE"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Pour un coût prévisionnel de 8 427 000 FCFA, le coût de réalisation de l’action est de 8 054 000 FCFA, soit un taux de 95,57%.</w:t>
      </w:r>
    </w:p>
    <w:p w14:paraId="4776B19A" w14:textId="2E8D0CBE"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quatrième action est relative à </w:t>
      </w:r>
      <w:r w:rsidRPr="008139E1">
        <w:rPr>
          <w:rFonts w:eastAsia="Calibri"/>
          <w:b/>
          <w:szCs w:val="24"/>
        </w:rPr>
        <w:t>la modernisation et la performance de l’</w:t>
      </w:r>
      <w:r w:rsidR="00781AED">
        <w:rPr>
          <w:rFonts w:eastAsia="Calibri"/>
          <w:b/>
          <w:szCs w:val="24"/>
        </w:rPr>
        <w:t>a</w:t>
      </w:r>
      <w:r w:rsidRPr="008139E1">
        <w:rPr>
          <w:rFonts w:eastAsia="Calibri"/>
          <w:b/>
          <w:szCs w:val="24"/>
        </w:rPr>
        <w:t>dministration publique (03018)</w:t>
      </w:r>
      <w:r w:rsidRPr="004A3E23">
        <w:rPr>
          <w:rFonts w:eastAsia="Calibri"/>
          <w:szCs w:val="24"/>
        </w:rPr>
        <w:t xml:space="preserve"> et appréciée par le « niveau de performance de l’</w:t>
      </w:r>
      <w:r w:rsidR="00781AED">
        <w:rPr>
          <w:rFonts w:eastAsia="Calibri"/>
          <w:szCs w:val="24"/>
        </w:rPr>
        <w:t>a</w:t>
      </w:r>
      <w:r w:rsidRPr="004A3E23">
        <w:rPr>
          <w:rFonts w:eastAsia="Calibri"/>
          <w:szCs w:val="24"/>
        </w:rPr>
        <w:t>dministration publique</w:t>
      </w:r>
      <w:r w:rsidR="00781AED">
        <w:rPr>
          <w:rFonts w:eastAsia="Calibri"/>
          <w:szCs w:val="24"/>
        </w:rPr>
        <w:t> »</w:t>
      </w:r>
      <w:r w:rsidRPr="004A3E23">
        <w:rPr>
          <w:rFonts w:eastAsia="Calibri"/>
          <w:szCs w:val="24"/>
        </w:rPr>
        <w:t>.</w:t>
      </w:r>
    </w:p>
    <w:p w14:paraId="2F8846A0" w14:textId="742EADA9" w:rsidR="00CA6AFC"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Pour la mise en œuvre de cette action, quatre (04) produits étaient attendus en 2023. Au 31 décembre 2023, les indicateurs de trois (03) des quatre (04) produits ont atteint leurs cibles comme le montre le tableau ci-dessous. Les avancées concernent : (i) le développement de 2 nouveaux e-services et (ii) la disponibilité du guide d'élaboration de manuel de procédures dans l'</w:t>
      </w:r>
      <w:r w:rsidR="00781AED">
        <w:rPr>
          <w:rFonts w:eastAsia="Calibri"/>
          <w:szCs w:val="24"/>
        </w:rPr>
        <w:t>a</w:t>
      </w:r>
      <w:r w:rsidRPr="004A3E23">
        <w:rPr>
          <w:rFonts w:eastAsia="Calibri"/>
          <w:szCs w:val="24"/>
        </w:rPr>
        <w:t>dministration publique.</w:t>
      </w:r>
    </w:p>
    <w:p w14:paraId="68370D3D" w14:textId="77777777" w:rsidR="00CA6AFC" w:rsidRDefault="00CA6AFC">
      <w:pPr>
        <w:spacing w:after="0" w:line="240" w:lineRule="auto"/>
        <w:jc w:val="left"/>
        <w:rPr>
          <w:rFonts w:eastAsia="Calibri"/>
          <w:szCs w:val="24"/>
        </w:rPr>
      </w:pPr>
      <w:r>
        <w:rPr>
          <w:rFonts w:eastAsia="Calibri"/>
          <w:szCs w:val="24"/>
        </w:rPr>
        <w:br w:type="page"/>
      </w:r>
    </w:p>
    <w:p w14:paraId="1A0A2E43" w14:textId="0126320B" w:rsidR="004A3E23" w:rsidRPr="00F175A7" w:rsidRDefault="00B631EB" w:rsidP="004A3E23">
      <w:pPr>
        <w:pBdr>
          <w:top w:val="nil"/>
          <w:left w:val="nil"/>
          <w:bottom w:val="nil"/>
          <w:right w:val="nil"/>
          <w:between w:val="nil"/>
        </w:pBdr>
        <w:spacing w:after="200" w:line="240" w:lineRule="auto"/>
        <w:rPr>
          <w:rFonts w:cs="Merriweather"/>
          <w:sz w:val="22"/>
        </w:rPr>
      </w:pPr>
      <w:bookmarkStart w:id="84" w:name="_Toc164503619"/>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32</w:t>
      </w:r>
      <w:r w:rsidRPr="00B51145">
        <w:rPr>
          <w:b/>
          <w:bCs/>
          <w:sz w:val="22"/>
          <w:u w:val="single"/>
        </w:rPr>
        <w:fldChar w:fldCharType="end"/>
      </w:r>
      <w:r w:rsidR="004A3E23" w:rsidRPr="00A1146D">
        <w:rPr>
          <w:rFonts w:cs="Merriweather"/>
          <w:color w:val="44546A"/>
          <w:sz w:val="22"/>
        </w:rPr>
        <w:t>:</w:t>
      </w:r>
      <w:r w:rsidR="004A3E23" w:rsidRPr="008D20C6">
        <w:rPr>
          <w:rFonts w:cs="Merriweather"/>
          <w:color w:val="44546A"/>
          <w:sz w:val="22"/>
        </w:rPr>
        <w:t xml:space="preserve"> </w:t>
      </w:r>
      <w:r w:rsidR="004A3E23" w:rsidRPr="00F175A7">
        <w:rPr>
          <w:rFonts w:cs="Merriweather"/>
          <w:sz w:val="22"/>
        </w:rPr>
        <w:t>situation des indicateurs de produits de l'action « modernisation et performance de l'</w:t>
      </w:r>
      <w:r w:rsidR="00781AED">
        <w:rPr>
          <w:rFonts w:cs="Merriweather"/>
          <w:sz w:val="22"/>
        </w:rPr>
        <w:t>a</w:t>
      </w:r>
      <w:r w:rsidR="004A3E23" w:rsidRPr="00F175A7">
        <w:rPr>
          <w:rFonts w:cs="Merriweather"/>
          <w:sz w:val="22"/>
        </w:rPr>
        <w:t>dministration publique » au 31 décembre 2023</w:t>
      </w:r>
      <w:bookmarkEnd w:id="84"/>
      <w:r w:rsidR="004A3E23" w:rsidRPr="00F175A7">
        <w:rPr>
          <w:rFonts w:cs="Merriweather"/>
          <w:sz w:val="22"/>
        </w:rPr>
        <w:t xml:space="preserve"> </w:t>
      </w:r>
    </w:p>
    <w:tbl>
      <w:tblPr>
        <w:tblStyle w:val="GridTable4-Accent111"/>
        <w:tblW w:w="5000" w:type="pct"/>
        <w:tblLayout w:type="fixed"/>
        <w:tblLook w:val="04A0" w:firstRow="1" w:lastRow="0" w:firstColumn="1" w:lastColumn="0" w:noHBand="0" w:noVBand="1"/>
      </w:tblPr>
      <w:tblGrid>
        <w:gridCol w:w="5396"/>
        <w:gridCol w:w="1170"/>
        <w:gridCol w:w="1260"/>
        <w:gridCol w:w="1190"/>
      </w:tblGrid>
      <w:tr w:rsidR="004A3E23" w:rsidRPr="00E018E7" w14:paraId="2D1FAE48"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139D746B" w14:textId="3CDA94B8" w:rsidR="004A3E23" w:rsidRPr="00E018E7" w:rsidRDefault="004A3E23" w:rsidP="00F175A7">
            <w:pPr>
              <w:spacing w:after="0" w:line="240" w:lineRule="auto"/>
              <w:rPr>
                <w:sz w:val="22"/>
              </w:rPr>
            </w:pPr>
            <w:r w:rsidRPr="00E018E7">
              <w:rPr>
                <w:sz w:val="22"/>
              </w:rPr>
              <w:t xml:space="preserve">Indicateurs </w:t>
            </w:r>
          </w:p>
        </w:tc>
        <w:tc>
          <w:tcPr>
            <w:tcW w:w="649" w:type="pct"/>
            <w:shd w:val="clear" w:color="auto" w:fill="4472C4" w:themeFill="accent1"/>
          </w:tcPr>
          <w:p w14:paraId="1A87E991" w14:textId="77777777" w:rsidR="004A3E23" w:rsidRPr="00E018E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2022</w:t>
            </w:r>
          </w:p>
        </w:tc>
        <w:tc>
          <w:tcPr>
            <w:tcW w:w="699" w:type="pct"/>
            <w:shd w:val="clear" w:color="auto" w:fill="4472C4" w:themeFill="accent1"/>
          </w:tcPr>
          <w:p w14:paraId="6B181818" w14:textId="77777777" w:rsidR="004A3E23" w:rsidRPr="00E018E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Réal. 2023</w:t>
            </w:r>
          </w:p>
        </w:tc>
        <w:tc>
          <w:tcPr>
            <w:tcW w:w="660" w:type="pct"/>
            <w:shd w:val="clear" w:color="auto" w:fill="4472C4" w:themeFill="accent1"/>
          </w:tcPr>
          <w:p w14:paraId="1661484F" w14:textId="77777777" w:rsidR="004A3E23" w:rsidRPr="00E018E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018E7">
              <w:rPr>
                <w:sz w:val="22"/>
              </w:rPr>
              <w:t>Cible 2023</w:t>
            </w:r>
          </w:p>
        </w:tc>
      </w:tr>
      <w:tr w:rsidR="004A3E23" w:rsidRPr="00E018E7" w14:paraId="3D5D5D88" w14:textId="77777777" w:rsidTr="00E018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336DC0BF" w14:textId="77777777" w:rsidR="004A3E23" w:rsidRPr="00E018E7" w:rsidRDefault="004A3E23" w:rsidP="00F175A7">
            <w:pPr>
              <w:spacing w:after="0" w:line="240" w:lineRule="auto"/>
              <w:rPr>
                <w:color w:val="000000"/>
                <w:sz w:val="22"/>
              </w:rPr>
            </w:pPr>
            <w:r w:rsidRPr="00E018E7">
              <w:rPr>
                <w:color w:val="000000"/>
                <w:sz w:val="22"/>
              </w:rPr>
              <w:t>Nombre de nouveaux e-services développés</w:t>
            </w:r>
          </w:p>
        </w:tc>
        <w:tc>
          <w:tcPr>
            <w:tcW w:w="649" w:type="pct"/>
          </w:tcPr>
          <w:p w14:paraId="148828E5" w14:textId="77777777" w:rsidR="004A3E23" w:rsidRPr="00E018E7" w:rsidRDefault="004A3E23"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14</w:t>
            </w:r>
          </w:p>
        </w:tc>
        <w:tc>
          <w:tcPr>
            <w:tcW w:w="699" w:type="pct"/>
          </w:tcPr>
          <w:p w14:paraId="469593EF" w14:textId="77777777" w:rsidR="004A3E23" w:rsidRPr="00E018E7" w:rsidRDefault="004A3E23"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2</w:t>
            </w:r>
          </w:p>
        </w:tc>
        <w:tc>
          <w:tcPr>
            <w:tcW w:w="660" w:type="pct"/>
          </w:tcPr>
          <w:p w14:paraId="7359213F" w14:textId="77777777" w:rsidR="004A3E23" w:rsidRPr="00E018E7" w:rsidRDefault="004A3E23"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2</w:t>
            </w:r>
          </w:p>
        </w:tc>
      </w:tr>
      <w:tr w:rsidR="004A3E23" w:rsidRPr="00E018E7" w14:paraId="014FB0B7" w14:textId="77777777" w:rsidTr="00E018E7">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41D9F6C2" w14:textId="6911634A" w:rsidR="004A3E23" w:rsidRPr="00E018E7" w:rsidRDefault="004A3E23" w:rsidP="00F175A7">
            <w:pPr>
              <w:spacing w:after="0" w:line="240" w:lineRule="auto"/>
              <w:rPr>
                <w:color w:val="000000"/>
                <w:sz w:val="22"/>
              </w:rPr>
            </w:pPr>
            <w:r w:rsidRPr="00E018E7">
              <w:rPr>
                <w:color w:val="000000"/>
                <w:sz w:val="22"/>
              </w:rPr>
              <w:t>Disponibilité du guide d'élaboration de manuel de procédures dans l'</w:t>
            </w:r>
            <w:r w:rsidR="00781AED">
              <w:rPr>
                <w:color w:val="000000"/>
                <w:sz w:val="22"/>
              </w:rPr>
              <w:t>a</w:t>
            </w:r>
            <w:r w:rsidRPr="00E018E7">
              <w:rPr>
                <w:color w:val="000000"/>
                <w:sz w:val="22"/>
              </w:rPr>
              <w:t>dministration publique</w:t>
            </w:r>
          </w:p>
        </w:tc>
        <w:tc>
          <w:tcPr>
            <w:tcW w:w="649" w:type="pct"/>
          </w:tcPr>
          <w:p w14:paraId="61DC4DD6" w14:textId="77777777" w:rsidR="004A3E23" w:rsidRPr="00E018E7" w:rsidRDefault="004A3E23"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w:t>
            </w:r>
          </w:p>
        </w:tc>
        <w:tc>
          <w:tcPr>
            <w:tcW w:w="699" w:type="pct"/>
          </w:tcPr>
          <w:p w14:paraId="5BA2F105" w14:textId="77777777" w:rsidR="004A3E23" w:rsidRPr="00E018E7" w:rsidRDefault="004A3E23"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w:t>
            </w:r>
          </w:p>
        </w:tc>
        <w:tc>
          <w:tcPr>
            <w:tcW w:w="660" w:type="pct"/>
          </w:tcPr>
          <w:p w14:paraId="15052456" w14:textId="77777777" w:rsidR="004A3E23" w:rsidRPr="00E018E7" w:rsidRDefault="004A3E23"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w:t>
            </w:r>
          </w:p>
        </w:tc>
      </w:tr>
      <w:tr w:rsidR="004A3E23" w:rsidRPr="00E018E7" w14:paraId="5E965322" w14:textId="77777777" w:rsidTr="00E018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693B1C2B" w14:textId="5B1B0A6A" w:rsidR="004A3E23" w:rsidRPr="00E018E7" w:rsidRDefault="004A3E23" w:rsidP="00F175A7">
            <w:pPr>
              <w:spacing w:after="0" w:line="240" w:lineRule="auto"/>
              <w:rPr>
                <w:color w:val="000000"/>
                <w:sz w:val="22"/>
              </w:rPr>
            </w:pPr>
            <w:r w:rsidRPr="00E018E7">
              <w:rPr>
                <w:color w:val="000000"/>
                <w:sz w:val="22"/>
              </w:rPr>
              <w:t>Disponibilité du référentiel de qualité propre à l'</w:t>
            </w:r>
            <w:r w:rsidR="00781AED">
              <w:rPr>
                <w:color w:val="000000"/>
                <w:sz w:val="22"/>
              </w:rPr>
              <w:t>a</w:t>
            </w:r>
            <w:r w:rsidRPr="00E018E7">
              <w:rPr>
                <w:color w:val="000000"/>
                <w:sz w:val="22"/>
              </w:rPr>
              <w:t>dministration publique</w:t>
            </w:r>
          </w:p>
        </w:tc>
        <w:tc>
          <w:tcPr>
            <w:tcW w:w="649" w:type="pct"/>
          </w:tcPr>
          <w:p w14:paraId="1BB48699" w14:textId="77777777" w:rsidR="004A3E23" w:rsidRPr="00E018E7" w:rsidRDefault="004A3E23"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w:t>
            </w:r>
          </w:p>
        </w:tc>
        <w:tc>
          <w:tcPr>
            <w:tcW w:w="699" w:type="pct"/>
          </w:tcPr>
          <w:p w14:paraId="779C6CE0" w14:textId="77777777" w:rsidR="004A3E23" w:rsidRPr="00E018E7" w:rsidRDefault="004A3E23"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0</w:t>
            </w:r>
          </w:p>
        </w:tc>
        <w:tc>
          <w:tcPr>
            <w:tcW w:w="660" w:type="pct"/>
          </w:tcPr>
          <w:p w14:paraId="4709D0A6" w14:textId="77777777" w:rsidR="004A3E23" w:rsidRPr="00E018E7" w:rsidRDefault="004A3E23"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018E7">
              <w:rPr>
                <w:color w:val="000000"/>
                <w:sz w:val="22"/>
              </w:rPr>
              <w:t>1</w:t>
            </w:r>
          </w:p>
        </w:tc>
      </w:tr>
      <w:tr w:rsidR="004A3E23" w:rsidRPr="00E018E7" w14:paraId="0707221C" w14:textId="77777777" w:rsidTr="00E018E7">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48002F98" w14:textId="7703CBFF" w:rsidR="004A3E23" w:rsidRPr="00E018E7" w:rsidRDefault="004A3E23" w:rsidP="00F175A7">
            <w:pPr>
              <w:spacing w:after="0" w:line="240" w:lineRule="auto"/>
              <w:rPr>
                <w:color w:val="000000"/>
                <w:sz w:val="22"/>
              </w:rPr>
            </w:pPr>
            <w:r w:rsidRPr="008139E1">
              <w:rPr>
                <w:sz w:val="22"/>
              </w:rPr>
              <w:t>Disponibilité du rapport d’étude</w:t>
            </w:r>
            <w:r w:rsidR="00210DD3" w:rsidRPr="008139E1">
              <w:rPr>
                <w:sz w:val="22"/>
              </w:rPr>
              <w:t xml:space="preserve"> </w:t>
            </w:r>
            <w:r w:rsidR="0042139C" w:rsidRPr="008139E1">
              <w:rPr>
                <w:sz w:val="22"/>
              </w:rPr>
              <w:t>du système d’évaluation de la performance des agents publics</w:t>
            </w:r>
          </w:p>
        </w:tc>
        <w:tc>
          <w:tcPr>
            <w:tcW w:w="649" w:type="pct"/>
          </w:tcPr>
          <w:p w14:paraId="4A2EB7CE" w14:textId="77777777" w:rsidR="004A3E23" w:rsidRPr="00E018E7" w:rsidRDefault="004A3E23"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i/>
                <w:color w:val="000000"/>
                <w:sz w:val="22"/>
              </w:rPr>
            </w:pPr>
            <w:r w:rsidRPr="00E018E7">
              <w:rPr>
                <w:i/>
                <w:color w:val="000000"/>
                <w:sz w:val="22"/>
              </w:rPr>
              <w:t>-</w:t>
            </w:r>
          </w:p>
        </w:tc>
        <w:tc>
          <w:tcPr>
            <w:tcW w:w="699" w:type="pct"/>
          </w:tcPr>
          <w:p w14:paraId="7D4E2EA7" w14:textId="77777777" w:rsidR="004A3E23" w:rsidRPr="00E018E7" w:rsidRDefault="004A3E23"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w:t>
            </w:r>
          </w:p>
        </w:tc>
        <w:tc>
          <w:tcPr>
            <w:tcW w:w="660" w:type="pct"/>
          </w:tcPr>
          <w:p w14:paraId="3B60AE2F" w14:textId="77777777" w:rsidR="004A3E23" w:rsidRPr="00E018E7" w:rsidRDefault="004A3E23"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018E7">
              <w:rPr>
                <w:color w:val="000000"/>
                <w:sz w:val="22"/>
              </w:rPr>
              <w:t>1</w:t>
            </w:r>
          </w:p>
        </w:tc>
      </w:tr>
    </w:tbl>
    <w:p w14:paraId="37B44844" w14:textId="7472F79E" w:rsidR="004A3E23" w:rsidRPr="00E31E23" w:rsidRDefault="004A3E23" w:rsidP="004A3E23">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 2023 du CSD-GAL, février 2024</w:t>
      </w:r>
    </w:p>
    <w:p w14:paraId="1A45261B"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Pour une prévision financière de 48 900 000 FCFA, 54 082 000 FCFA ont été consommés, soit un taux de 110,6%. Le surplus du coût de la réalisation de l’action s’explique par la dématérialisation de dix (10) procédures métiers en plus du développement des deux (02) e-services. </w:t>
      </w:r>
    </w:p>
    <w:p w14:paraId="69D3A5A2"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cinquième action concerne </w:t>
      </w:r>
      <w:r w:rsidRPr="008139E1">
        <w:rPr>
          <w:rFonts w:eastAsia="Calibri"/>
          <w:b/>
          <w:szCs w:val="24"/>
        </w:rPr>
        <w:t>la suppression des institutions non indispensables (03019)</w:t>
      </w:r>
      <w:r w:rsidRPr="004A3E23">
        <w:rPr>
          <w:rFonts w:eastAsia="Calibri"/>
          <w:szCs w:val="24"/>
        </w:rPr>
        <w:t>. Au 31 décembre 2023, cinq (05) institutions ont été supprimées sur une prévision d’une seule.</w:t>
      </w:r>
    </w:p>
    <w:p w14:paraId="77863128" w14:textId="376B5A00"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Le seul produit programmé dans la mise en œuvre de cette action a aussi a été réalisé entièrement car sur une prévision d’un décret de suppression d’une institution non indispensable, cinq (05) décrets et /</w:t>
      </w:r>
      <w:r w:rsidR="00B631EB" w:rsidRPr="004A3E23">
        <w:rPr>
          <w:rFonts w:eastAsia="Calibri"/>
          <w:szCs w:val="24"/>
        </w:rPr>
        <w:t>loi ont</w:t>
      </w:r>
      <w:r w:rsidRPr="004A3E23">
        <w:rPr>
          <w:rFonts w:eastAsia="Calibri"/>
          <w:szCs w:val="24"/>
        </w:rPr>
        <w:t xml:space="preserve"> été pris.</w:t>
      </w:r>
    </w:p>
    <w:p w14:paraId="7218CEA7"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La mise en œuvre de cette action n’a pas nécessité de coût financier.</w:t>
      </w:r>
    </w:p>
    <w:p w14:paraId="3CBCD813" w14:textId="3B1D5A81" w:rsidR="00CA6AFC"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L’action relative à la « </w:t>
      </w:r>
      <w:r w:rsidRPr="008139E1">
        <w:rPr>
          <w:rFonts w:eastAsia="Calibri"/>
          <w:b/>
          <w:szCs w:val="24"/>
        </w:rPr>
        <w:t>mise en place et au déploiement de plateformes transversales » (03020)</w:t>
      </w:r>
      <w:r w:rsidRPr="004A3E23">
        <w:rPr>
          <w:rFonts w:eastAsia="Calibri"/>
          <w:szCs w:val="24"/>
        </w:rPr>
        <w:t xml:space="preserve"> est mesurée par le nombre de structures publiques utilisant au moins les plateformes CIM ou SIGED. Au 31 décembre 2023, ce nombre s’établit à 29 sur une cible de 35. Cette performance s’explique par la mise en œuvre des produits dont la situation d’exécution des indicateurs est enregistrée dans le tableau ci-après.</w:t>
      </w:r>
    </w:p>
    <w:p w14:paraId="7025CA12" w14:textId="252851E1" w:rsidR="00CA6AFC" w:rsidRDefault="00CA6AFC">
      <w:pPr>
        <w:spacing w:after="0" w:line="240" w:lineRule="auto"/>
        <w:jc w:val="left"/>
        <w:rPr>
          <w:rFonts w:eastAsia="Calibri"/>
          <w:szCs w:val="24"/>
        </w:rPr>
      </w:pPr>
      <w:r>
        <w:rPr>
          <w:rFonts w:eastAsia="Calibri"/>
          <w:szCs w:val="24"/>
        </w:rPr>
        <w:br w:type="page"/>
      </w:r>
    </w:p>
    <w:p w14:paraId="33BA3109" w14:textId="633C7E83" w:rsidR="004A3E23" w:rsidRDefault="00B631EB" w:rsidP="004A3E23">
      <w:pPr>
        <w:pBdr>
          <w:top w:val="nil"/>
          <w:left w:val="nil"/>
          <w:bottom w:val="nil"/>
          <w:right w:val="nil"/>
          <w:between w:val="nil"/>
        </w:pBdr>
        <w:spacing w:after="200" w:line="240" w:lineRule="auto"/>
        <w:rPr>
          <w:rFonts w:cs="Merriweather"/>
          <w:sz w:val="22"/>
        </w:rPr>
      </w:pPr>
      <w:bookmarkStart w:id="85" w:name="_Toc164503620"/>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33</w:t>
      </w:r>
      <w:r w:rsidRPr="00B51145">
        <w:rPr>
          <w:b/>
          <w:bCs/>
          <w:sz w:val="22"/>
          <w:u w:val="single"/>
        </w:rPr>
        <w:fldChar w:fldCharType="end"/>
      </w:r>
      <w:r w:rsidR="00CA6AFC">
        <w:rPr>
          <w:b/>
          <w:bCs/>
          <w:sz w:val="22"/>
          <w:u w:val="single"/>
        </w:rPr>
        <w:t> :</w:t>
      </w:r>
      <w:r w:rsidR="004A3E23" w:rsidRPr="008D20C6">
        <w:rPr>
          <w:rFonts w:cs="Merriweather"/>
          <w:color w:val="44546A"/>
          <w:sz w:val="22"/>
        </w:rPr>
        <w:t xml:space="preserve"> </w:t>
      </w:r>
      <w:r w:rsidR="004A3E23" w:rsidRPr="00F175A7">
        <w:rPr>
          <w:rFonts w:cs="Merriweather"/>
          <w:sz w:val="22"/>
        </w:rPr>
        <w:t>situation des indicateurs de produits de l’action 03020 au 31 décembre 2023</w:t>
      </w:r>
      <w:bookmarkEnd w:id="85"/>
      <w:r w:rsidR="00CA6AFC">
        <w:rPr>
          <w:rFonts w:cs="Merriweather"/>
          <w:sz w:val="22"/>
        </w:rPr>
        <w:t xml:space="preserve"> </w:t>
      </w:r>
    </w:p>
    <w:tbl>
      <w:tblPr>
        <w:tblStyle w:val="TableauGrille4-Accentuation11"/>
        <w:tblW w:w="5000" w:type="pct"/>
        <w:tblLayout w:type="fixed"/>
        <w:tblLook w:val="04A0" w:firstRow="1" w:lastRow="0" w:firstColumn="1" w:lastColumn="0" w:noHBand="0" w:noVBand="1"/>
      </w:tblPr>
      <w:tblGrid>
        <w:gridCol w:w="5240"/>
        <w:gridCol w:w="1275"/>
        <w:gridCol w:w="1277"/>
        <w:gridCol w:w="1224"/>
      </w:tblGrid>
      <w:tr w:rsidR="004A3E23" w:rsidRPr="00E018E7" w14:paraId="04CB030D" w14:textId="77777777" w:rsidTr="009A28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08F801D6" w14:textId="77777777" w:rsidR="004A3E23" w:rsidRPr="00E018E7" w:rsidRDefault="004A3E23" w:rsidP="00E52836">
            <w:pPr>
              <w:keepNext/>
              <w:keepLines/>
              <w:spacing w:after="0" w:line="240" w:lineRule="auto"/>
            </w:pPr>
            <w:r w:rsidRPr="00E018E7">
              <w:t xml:space="preserve">Indicateur </w:t>
            </w:r>
          </w:p>
        </w:tc>
        <w:tc>
          <w:tcPr>
            <w:tcW w:w="707" w:type="pct"/>
          </w:tcPr>
          <w:p w14:paraId="2D6B20DF" w14:textId="77777777" w:rsidR="004A3E23" w:rsidRPr="00E018E7" w:rsidRDefault="004A3E23"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E018E7">
              <w:t>Réal. 2022</w:t>
            </w:r>
          </w:p>
        </w:tc>
        <w:tc>
          <w:tcPr>
            <w:tcW w:w="708" w:type="pct"/>
          </w:tcPr>
          <w:p w14:paraId="01D8D259" w14:textId="77777777" w:rsidR="004A3E23" w:rsidRPr="00E018E7" w:rsidRDefault="004A3E23"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E018E7">
              <w:rPr>
                <w:color w:val="FFFFFF"/>
              </w:rPr>
              <w:t>Réal. 2023</w:t>
            </w:r>
          </w:p>
        </w:tc>
        <w:tc>
          <w:tcPr>
            <w:tcW w:w="679" w:type="pct"/>
          </w:tcPr>
          <w:p w14:paraId="760A50CF" w14:textId="77777777" w:rsidR="004A3E23" w:rsidRPr="00E018E7" w:rsidRDefault="004A3E23"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E018E7">
              <w:t>Cible 2023</w:t>
            </w:r>
          </w:p>
        </w:tc>
      </w:tr>
      <w:tr w:rsidR="004A3E23" w:rsidRPr="00E018E7" w14:paraId="53C05ECD"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7B40B8D9" w14:textId="77777777" w:rsidR="004A3E23" w:rsidRPr="00E018E7" w:rsidRDefault="004A3E23" w:rsidP="00E52836">
            <w:pPr>
              <w:keepNext/>
              <w:keepLines/>
              <w:spacing w:after="0" w:line="240" w:lineRule="auto"/>
              <w:rPr>
                <w:b w:val="0"/>
              </w:rPr>
            </w:pPr>
            <w:r w:rsidRPr="00E018E7">
              <w:rPr>
                <w:b w:val="0"/>
              </w:rPr>
              <w:t>Nombre total de structures publiques utilisant le Circuit intégré des missions (CIM)</w:t>
            </w:r>
          </w:p>
        </w:tc>
        <w:tc>
          <w:tcPr>
            <w:tcW w:w="707" w:type="pct"/>
          </w:tcPr>
          <w:p w14:paraId="7D0066B2" w14:textId="77777777" w:rsidR="004A3E23" w:rsidRPr="00E018E7" w:rsidRDefault="004A3E23"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E018E7">
              <w:t>6</w:t>
            </w:r>
          </w:p>
        </w:tc>
        <w:tc>
          <w:tcPr>
            <w:tcW w:w="708" w:type="pct"/>
          </w:tcPr>
          <w:p w14:paraId="1370C343" w14:textId="77777777" w:rsidR="004A3E23" w:rsidRPr="00E018E7" w:rsidRDefault="004A3E23"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E018E7">
              <w:t>14</w:t>
            </w:r>
          </w:p>
        </w:tc>
        <w:tc>
          <w:tcPr>
            <w:tcW w:w="679" w:type="pct"/>
          </w:tcPr>
          <w:p w14:paraId="67FF99E9" w14:textId="77777777" w:rsidR="004A3E23" w:rsidRPr="00E018E7" w:rsidRDefault="004A3E23"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E018E7">
              <w:t>15</w:t>
            </w:r>
          </w:p>
        </w:tc>
      </w:tr>
      <w:tr w:rsidR="004A3E23" w:rsidRPr="00E018E7" w14:paraId="0ACA6B2A" w14:textId="77777777" w:rsidTr="009A288B">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1601D28A" w14:textId="77777777" w:rsidR="004A3E23" w:rsidRPr="00E018E7" w:rsidRDefault="004A3E23" w:rsidP="00E52836">
            <w:pPr>
              <w:keepNext/>
              <w:keepLines/>
              <w:spacing w:after="0" w:line="240" w:lineRule="auto"/>
              <w:rPr>
                <w:b w:val="0"/>
              </w:rPr>
            </w:pPr>
            <w:r w:rsidRPr="00E018E7">
              <w:rPr>
                <w:b w:val="0"/>
              </w:rPr>
              <w:t>Nombre total de structures publiques utilisant le Système de gestion électronique et d'archivage de documents pour l'administration publique (SIGED)</w:t>
            </w:r>
          </w:p>
        </w:tc>
        <w:tc>
          <w:tcPr>
            <w:tcW w:w="707" w:type="pct"/>
          </w:tcPr>
          <w:p w14:paraId="5EF6B978" w14:textId="77777777" w:rsidR="004A3E23" w:rsidRPr="00E018E7" w:rsidRDefault="004A3E23"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E018E7">
              <w:t>5</w:t>
            </w:r>
          </w:p>
        </w:tc>
        <w:tc>
          <w:tcPr>
            <w:tcW w:w="708" w:type="pct"/>
          </w:tcPr>
          <w:p w14:paraId="3A36196B" w14:textId="77777777" w:rsidR="004A3E23" w:rsidRPr="00E018E7" w:rsidRDefault="004A3E23"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E018E7">
              <w:t>15</w:t>
            </w:r>
          </w:p>
        </w:tc>
        <w:tc>
          <w:tcPr>
            <w:tcW w:w="679" w:type="pct"/>
          </w:tcPr>
          <w:p w14:paraId="4879FC21" w14:textId="77777777" w:rsidR="004A3E23" w:rsidRPr="00E018E7" w:rsidRDefault="004A3E23"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E018E7">
              <w:t>20</w:t>
            </w:r>
          </w:p>
        </w:tc>
      </w:tr>
      <w:tr w:rsidR="004A3E23" w:rsidRPr="00E018E7" w14:paraId="705C21DF"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127DD053" w14:textId="77777777" w:rsidR="004A3E23" w:rsidRPr="00E018E7" w:rsidRDefault="004A3E23" w:rsidP="00E52836">
            <w:pPr>
              <w:keepNext/>
              <w:keepLines/>
              <w:spacing w:after="0" w:line="240" w:lineRule="auto"/>
              <w:rPr>
                <w:b w:val="0"/>
              </w:rPr>
            </w:pPr>
            <w:r w:rsidRPr="00E018E7">
              <w:rPr>
                <w:b w:val="0"/>
              </w:rPr>
              <w:t>Nombre de procédures de l’administration dématérialisées</w:t>
            </w:r>
          </w:p>
        </w:tc>
        <w:tc>
          <w:tcPr>
            <w:tcW w:w="707" w:type="pct"/>
          </w:tcPr>
          <w:p w14:paraId="7FADBE1D" w14:textId="77777777" w:rsidR="004A3E23" w:rsidRPr="00E018E7" w:rsidRDefault="004A3E23"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E018E7">
              <w:t>39</w:t>
            </w:r>
          </w:p>
        </w:tc>
        <w:tc>
          <w:tcPr>
            <w:tcW w:w="708" w:type="pct"/>
          </w:tcPr>
          <w:p w14:paraId="4763670E" w14:textId="77777777" w:rsidR="004A3E23" w:rsidRPr="00E018E7" w:rsidRDefault="004A3E23"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E018E7">
              <w:t>32</w:t>
            </w:r>
            <w:r w:rsidRPr="00E018E7">
              <w:rPr>
                <w:vertAlign w:val="superscript"/>
              </w:rPr>
              <w:footnoteReference w:id="3"/>
            </w:r>
          </w:p>
        </w:tc>
        <w:tc>
          <w:tcPr>
            <w:tcW w:w="679" w:type="pct"/>
          </w:tcPr>
          <w:p w14:paraId="4B755C20" w14:textId="77777777" w:rsidR="004A3E23" w:rsidRPr="00E018E7" w:rsidRDefault="004A3E23"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E018E7">
              <w:t>100</w:t>
            </w:r>
          </w:p>
        </w:tc>
      </w:tr>
    </w:tbl>
    <w:p w14:paraId="198C5795" w14:textId="4B9BB647" w:rsidR="004A3E23" w:rsidRPr="00F175A7" w:rsidRDefault="004A3E23" w:rsidP="004A3E23">
      <w:pPr>
        <w:spacing w:line="240" w:lineRule="auto"/>
        <w:rPr>
          <w:sz w:val="20"/>
          <w:szCs w:val="20"/>
        </w:rPr>
      </w:pPr>
      <w:r w:rsidRPr="00F175A7">
        <w:rPr>
          <w:b/>
          <w:sz w:val="20"/>
          <w:szCs w:val="20"/>
          <w:u w:val="single"/>
        </w:rPr>
        <w:t>Source</w:t>
      </w:r>
      <w:r w:rsidRPr="00F175A7">
        <w:rPr>
          <w:sz w:val="20"/>
          <w:szCs w:val="20"/>
        </w:rPr>
        <w:t xml:space="preserve"> : rapport </w:t>
      </w:r>
      <w:r w:rsidR="00603CB3">
        <w:rPr>
          <w:sz w:val="20"/>
          <w:szCs w:val="20"/>
        </w:rPr>
        <w:t xml:space="preserve">annuel </w:t>
      </w:r>
      <w:r w:rsidRPr="00F175A7">
        <w:rPr>
          <w:sz w:val="20"/>
          <w:szCs w:val="20"/>
        </w:rPr>
        <w:t xml:space="preserve">de performance 2023 du </w:t>
      </w:r>
      <w:r w:rsidR="00210DD3" w:rsidRPr="00F175A7">
        <w:rPr>
          <w:sz w:val="20"/>
          <w:szCs w:val="20"/>
        </w:rPr>
        <w:t>CSD-</w:t>
      </w:r>
      <w:r w:rsidRPr="00F175A7">
        <w:rPr>
          <w:sz w:val="20"/>
          <w:szCs w:val="20"/>
        </w:rPr>
        <w:t>CSM, février 2024</w:t>
      </w:r>
    </w:p>
    <w:p w14:paraId="3808B470"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Les avancées concernent l’utilisation du CIM par 14 structures publiques et du SIGED par 15. Quant aux procédures dématérialisées, 32 ont été enregistrées en 2023. Outre ces résultats, 27 procédures sont en cours de déploiement et 37 en cours de développement.  </w:t>
      </w:r>
    </w:p>
    <w:p w14:paraId="40FF0733"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Au titre des réalisations financières, sur une prévision de 1 105 000 000 FCFA, seulement 84 613 192 FCFA ont été exécutés correspondant à un taux de 7,7%. Ce résultat s’explique par une faible exécution des procédures dématérialisées qui ne nécessitent pas de coût élevé. </w:t>
      </w:r>
    </w:p>
    <w:p w14:paraId="12C4198E" w14:textId="77777777"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septième action a trait à </w:t>
      </w:r>
      <w:r w:rsidRPr="008139E1">
        <w:rPr>
          <w:rFonts w:eastAsia="Calibri"/>
          <w:b/>
          <w:szCs w:val="24"/>
        </w:rPr>
        <w:t>la promotion de la communication gouvernementale</w:t>
      </w:r>
      <w:r w:rsidRPr="004A3E23">
        <w:rPr>
          <w:rFonts w:eastAsia="Calibri"/>
          <w:szCs w:val="24"/>
        </w:rPr>
        <w:t xml:space="preserve">. Elle vise à améliorer la proportion des activités gouvernementales et est appréciée par deux (02) indicateurs, à savoir la « proportion des activités gouvernementales médiatisées » et la « proportion de productions audiovisuelles réalisées par le SIG ». Au 31 décembre 2023, les deux (02) indicateurs ont atteint leur cible de 100%. </w:t>
      </w:r>
    </w:p>
    <w:p w14:paraId="081510E4" w14:textId="575E80E6"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Pour la mise en œuvre de l’action, sept (07) produits sont programmés en 2023 dont les résultats sont consignés dans le tableau ci-dessous. Quatre (04) indicateurs ont atteint leurs cibles. Les avancées concernent : (i) la publication de 100% des comptes rendus des Conseils de </w:t>
      </w:r>
      <w:r w:rsidR="00781AED">
        <w:rPr>
          <w:rFonts w:eastAsia="Calibri"/>
          <w:szCs w:val="24"/>
        </w:rPr>
        <w:t>m</w:t>
      </w:r>
      <w:r w:rsidRPr="004A3E23">
        <w:rPr>
          <w:rFonts w:eastAsia="Calibri"/>
          <w:szCs w:val="24"/>
        </w:rPr>
        <w:t>inistres ; (ii) la publication de 200 communiqués de presse ; (iii) la tenue de 15 points/conférences de presse et (iii) la réalisation de 109 films documentaires/Gouv actions. La production massive d’éléments audiovisuels lors du FESPACO et de la SNC explique le dépassement de la cible du nombre de films documentaires/Gouv actions réalisés.</w:t>
      </w:r>
    </w:p>
    <w:p w14:paraId="2B35A610" w14:textId="05393230" w:rsidR="004A3E23"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La non-réalisation des chroniques du Gouvernement et des conférences régionales du Gouvernement est due d’une part à la faible appropriation de ces activités par les Directions de la </w:t>
      </w:r>
      <w:r w:rsidR="00063AD2">
        <w:rPr>
          <w:rFonts w:eastAsia="Calibri"/>
          <w:szCs w:val="24"/>
        </w:rPr>
        <w:t>c</w:t>
      </w:r>
      <w:r w:rsidRPr="004A3E23">
        <w:rPr>
          <w:rFonts w:eastAsia="Calibri"/>
          <w:szCs w:val="24"/>
        </w:rPr>
        <w:t xml:space="preserve">ommunication et des </w:t>
      </w:r>
      <w:r w:rsidR="00063AD2">
        <w:rPr>
          <w:rFonts w:eastAsia="Calibri"/>
          <w:szCs w:val="24"/>
        </w:rPr>
        <w:t>r</w:t>
      </w:r>
      <w:r w:rsidRPr="004A3E23">
        <w:rPr>
          <w:rFonts w:eastAsia="Calibri"/>
          <w:szCs w:val="24"/>
        </w:rPr>
        <w:t xml:space="preserve">elations </w:t>
      </w:r>
      <w:r w:rsidR="00063AD2">
        <w:rPr>
          <w:rFonts w:eastAsia="Calibri"/>
          <w:szCs w:val="24"/>
        </w:rPr>
        <w:t>p</w:t>
      </w:r>
      <w:r w:rsidRPr="004A3E23">
        <w:rPr>
          <w:rFonts w:eastAsia="Calibri"/>
          <w:szCs w:val="24"/>
        </w:rPr>
        <w:t xml:space="preserve">resse (DCRP) et d’autre part, au contexte de crise sécuritaire. </w:t>
      </w:r>
    </w:p>
    <w:p w14:paraId="4430863C" w14:textId="0F450F28" w:rsidR="004A3E23" w:rsidRPr="00F175A7" w:rsidRDefault="006B2FFE" w:rsidP="004A3E23">
      <w:pPr>
        <w:pBdr>
          <w:top w:val="nil"/>
          <w:left w:val="nil"/>
          <w:bottom w:val="nil"/>
          <w:right w:val="nil"/>
          <w:between w:val="nil"/>
        </w:pBdr>
        <w:spacing w:after="200" w:line="240" w:lineRule="auto"/>
        <w:rPr>
          <w:rFonts w:cs="Merriweather"/>
          <w:sz w:val="22"/>
        </w:rPr>
      </w:pPr>
      <w:bookmarkStart w:id="86" w:name="_Toc164503621"/>
      <w:r w:rsidRPr="006B2FFE">
        <w:rPr>
          <w:b/>
          <w:bCs/>
          <w:sz w:val="22"/>
          <w:u w:val="single"/>
        </w:rPr>
        <w:lastRenderedPageBreak/>
        <w:t xml:space="preserve">Tableau </w:t>
      </w:r>
      <w:r w:rsidRPr="006B2FFE">
        <w:rPr>
          <w:b/>
          <w:bCs/>
          <w:sz w:val="22"/>
          <w:u w:val="single"/>
        </w:rPr>
        <w:fldChar w:fldCharType="begin"/>
      </w:r>
      <w:r w:rsidRPr="006B2FFE">
        <w:rPr>
          <w:b/>
          <w:bCs/>
          <w:sz w:val="22"/>
          <w:u w:val="single"/>
        </w:rPr>
        <w:instrText xml:space="preserve"> SEQ Tableau \* ARABIC </w:instrText>
      </w:r>
      <w:r w:rsidRPr="006B2FFE">
        <w:rPr>
          <w:b/>
          <w:bCs/>
          <w:sz w:val="22"/>
          <w:u w:val="single"/>
        </w:rPr>
        <w:fldChar w:fldCharType="separate"/>
      </w:r>
      <w:r w:rsidR="007C2E4E">
        <w:rPr>
          <w:b/>
          <w:bCs/>
          <w:noProof/>
          <w:sz w:val="22"/>
          <w:u w:val="single"/>
        </w:rPr>
        <w:t>34</w:t>
      </w:r>
      <w:r w:rsidRPr="006B2FFE">
        <w:rPr>
          <w:b/>
          <w:bCs/>
          <w:sz w:val="22"/>
          <w:u w:val="single"/>
        </w:rPr>
        <w:fldChar w:fldCharType="end"/>
      </w:r>
      <w:r w:rsidR="004903D4">
        <w:rPr>
          <w:b/>
          <w:bCs/>
          <w:sz w:val="22"/>
          <w:u w:val="single"/>
        </w:rPr>
        <w:t xml:space="preserve"> </w:t>
      </w:r>
      <w:r w:rsidR="004A3E23" w:rsidRPr="006B2FFE">
        <w:rPr>
          <w:rFonts w:cs="Merriweather"/>
          <w:color w:val="44546A"/>
          <w:sz w:val="22"/>
        </w:rPr>
        <w:t xml:space="preserve">: </w:t>
      </w:r>
      <w:r w:rsidR="004A3E23" w:rsidRPr="00F175A7">
        <w:rPr>
          <w:rFonts w:cs="Merriweather"/>
          <w:sz w:val="22"/>
        </w:rPr>
        <w:t>situation des indicateurs de produits de l'action « promotion de la communication gouvernementale » au 31 décembre 2023</w:t>
      </w:r>
      <w:bookmarkEnd w:id="86"/>
    </w:p>
    <w:tbl>
      <w:tblPr>
        <w:tblStyle w:val="TableauGrille4-Accentuation12"/>
        <w:tblW w:w="0" w:type="auto"/>
        <w:tblLook w:val="04A0" w:firstRow="1" w:lastRow="0" w:firstColumn="1" w:lastColumn="0" w:noHBand="0" w:noVBand="1"/>
      </w:tblPr>
      <w:tblGrid>
        <w:gridCol w:w="5305"/>
        <w:gridCol w:w="1170"/>
        <w:gridCol w:w="1260"/>
        <w:gridCol w:w="1281"/>
      </w:tblGrid>
      <w:tr w:rsidR="004A3E23" w:rsidRPr="00635D8C" w14:paraId="554BDCDF" w14:textId="77777777" w:rsidTr="00635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149A7E25" w14:textId="04AC6126" w:rsidR="004A3E23" w:rsidRPr="00F175A7" w:rsidRDefault="004A3E23" w:rsidP="00F175A7">
            <w:pPr>
              <w:spacing w:after="0" w:line="240" w:lineRule="auto"/>
              <w:rPr>
                <w:rFonts w:cs="Merriweather"/>
                <w:i/>
              </w:rPr>
            </w:pPr>
            <w:r w:rsidRPr="00F175A7">
              <w:t>Indicateur</w:t>
            </w:r>
            <w:r w:rsidR="00210DD3" w:rsidRPr="00F175A7">
              <w:t>s</w:t>
            </w:r>
            <w:r w:rsidRPr="00F175A7">
              <w:t xml:space="preserve"> </w:t>
            </w:r>
          </w:p>
        </w:tc>
        <w:tc>
          <w:tcPr>
            <w:tcW w:w="1170" w:type="dxa"/>
            <w:vAlign w:val="center"/>
          </w:tcPr>
          <w:p w14:paraId="05E61CD3" w14:textId="77777777" w:rsidR="004A3E23" w:rsidRPr="00F175A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cs="Merriweather"/>
                <w:i/>
              </w:rPr>
            </w:pPr>
            <w:r w:rsidRPr="00F175A7">
              <w:t>Réal. 2022</w:t>
            </w:r>
          </w:p>
        </w:tc>
        <w:tc>
          <w:tcPr>
            <w:tcW w:w="1260" w:type="dxa"/>
            <w:vAlign w:val="center"/>
          </w:tcPr>
          <w:p w14:paraId="67EC73C9" w14:textId="77777777" w:rsidR="004A3E23" w:rsidRPr="00F175A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cs="Merriweather"/>
                <w:i/>
              </w:rPr>
            </w:pPr>
            <w:r w:rsidRPr="00F175A7">
              <w:t>Réal. 2023</w:t>
            </w:r>
          </w:p>
        </w:tc>
        <w:tc>
          <w:tcPr>
            <w:tcW w:w="1281" w:type="dxa"/>
            <w:vAlign w:val="center"/>
          </w:tcPr>
          <w:p w14:paraId="7522DB81" w14:textId="77777777" w:rsidR="004A3E23" w:rsidRPr="00F175A7" w:rsidRDefault="004A3E23"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cs="Merriweather"/>
                <w:i/>
              </w:rPr>
            </w:pPr>
            <w:r w:rsidRPr="00F175A7">
              <w:t>Cible 2023</w:t>
            </w:r>
          </w:p>
        </w:tc>
      </w:tr>
      <w:tr w:rsidR="004A3E23" w:rsidRPr="00635D8C" w14:paraId="44F334F7" w14:textId="77777777" w:rsidTr="00635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5A653E56" w14:textId="77777777" w:rsidR="004A3E23" w:rsidRPr="00635D8C" w:rsidRDefault="004A3E23" w:rsidP="00F175A7">
            <w:pPr>
              <w:spacing w:after="0" w:line="240" w:lineRule="auto"/>
              <w:rPr>
                <w:rFonts w:cs="Merriweather"/>
                <w:i/>
                <w:color w:val="44546A"/>
              </w:rPr>
            </w:pPr>
            <w:r w:rsidRPr="00635D8C">
              <w:rPr>
                <w:color w:val="000000"/>
              </w:rPr>
              <w:t xml:space="preserve">Proportion de comptes rendus publiés </w:t>
            </w:r>
          </w:p>
        </w:tc>
        <w:tc>
          <w:tcPr>
            <w:tcW w:w="1170" w:type="dxa"/>
            <w:vAlign w:val="center"/>
          </w:tcPr>
          <w:p w14:paraId="79155596"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92,5</w:t>
            </w:r>
          </w:p>
        </w:tc>
        <w:tc>
          <w:tcPr>
            <w:tcW w:w="1260" w:type="dxa"/>
            <w:vAlign w:val="center"/>
          </w:tcPr>
          <w:p w14:paraId="42814E5C"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100</w:t>
            </w:r>
          </w:p>
        </w:tc>
        <w:tc>
          <w:tcPr>
            <w:tcW w:w="1281" w:type="dxa"/>
            <w:vAlign w:val="center"/>
          </w:tcPr>
          <w:p w14:paraId="75A7E46E"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100</w:t>
            </w:r>
          </w:p>
        </w:tc>
      </w:tr>
      <w:tr w:rsidR="004A3E23" w:rsidRPr="00635D8C" w14:paraId="5F0724D9" w14:textId="77777777" w:rsidTr="00635D8C">
        <w:tc>
          <w:tcPr>
            <w:cnfStyle w:val="001000000000" w:firstRow="0" w:lastRow="0" w:firstColumn="1" w:lastColumn="0" w:oddVBand="0" w:evenVBand="0" w:oddHBand="0" w:evenHBand="0" w:firstRowFirstColumn="0" w:firstRowLastColumn="0" w:lastRowFirstColumn="0" w:lastRowLastColumn="0"/>
            <w:tcW w:w="5305" w:type="dxa"/>
            <w:vAlign w:val="center"/>
          </w:tcPr>
          <w:p w14:paraId="4143BBE0" w14:textId="77777777" w:rsidR="004A3E23" w:rsidRPr="00635D8C" w:rsidRDefault="004A3E23" w:rsidP="00F175A7">
            <w:pPr>
              <w:spacing w:after="0" w:line="240" w:lineRule="auto"/>
              <w:rPr>
                <w:rFonts w:cs="Merriweather"/>
                <w:i/>
                <w:color w:val="44546A"/>
              </w:rPr>
            </w:pPr>
            <w:r w:rsidRPr="00635D8C">
              <w:rPr>
                <w:color w:val="000000"/>
              </w:rPr>
              <w:t>Nombre de chroniques publiées</w:t>
            </w:r>
          </w:p>
        </w:tc>
        <w:tc>
          <w:tcPr>
            <w:tcW w:w="1170" w:type="dxa"/>
            <w:vAlign w:val="center"/>
          </w:tcPr>
          <w:p w14:paraId="5E8B598A"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17</w:t>
            </w:r>
          </w:p>
        </w:tc>
        <w:tc>
          <w:tcPr>
            <w:tcW w:w="1260" w:type="dxa"/>
            <w:vAlign w:val="center"/>
          </w:tcPr>
          <w:p w14:paraId="22F6E2D1"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0</w:t>
            </w:r>
          </w:p>
        </w:tc>
        <w:tc>
          <w:tcPr>
            <w:tcW w:w="1281" w:type="dxa"/>
            <w:vAlign w:val="center"/>
          </w:tcPr>
          <w:p w14:paraId="7468440A"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5</w:t>
            </w:r>
          </w:p>
        </w:tc>
      </w:tr>
      <w:tr w:rsidR="004A3E23" w:rsidRPr="00635D8C" w14:paraId="294B8C26" w14:textId="77777777" w:rsidTr="00635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301D845B" w14:textId="77777777" w:rsidR="004A3E23" w:rsidRPr="00635D8C" w:rsidRDefault="004A3E23" w:rsidP="00F175A7">
            <w:pPr>
              <w:spacing w:after="0" w:line="240" w:lineRule="auto"/>
              <w:rPr>
                <w:rFonts w:cs="Merriweather"/>
                <w:i/>
                <w:color w:val="44546A"/>
              </w:rPr>
            </w:pPr>
            <w:r w:rsidRPr="00635D8C">
              <w:rPr>
                <w:color w:val="000000"/>
              </w:rPr>
              <w:t>Nombre de communiqués de presse publiés</w:t>
            </w:r>
          </w:p>
        </w:tc>
        <w:tc>
          <w:tcPr>
            <w:tcW w:w="1170" w:type="dxa"/>
            <w:vAlign w:val="center"/>
          </w:tcPr>
          <w:p w14:paraId="776B63A2"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443</w:t>
            </w:r>
          </w:p>
        </w:tc>
        <w:tc>
          <w:tcPr>
            <w:tcW w:w="1260" w:type="dxa"/>
            <w:vAlign w:val="center"/>
          </w:tcPr>
          <w:p w14:paraId="6DDA301D"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200</w:t>
            </w:r>
          </w:p>
        </w:tc>
        <w:tc>
          <w:tcPr>
            <w:tcW w:w="1281" w:type="dxa"/>
            <w:vAlign w:val="center"/>
          </w:tcPr>
          <w:p w14:paraId="6674C8E3"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200</w:t>
            </w:r>
          </w:p>
        </w:tc>
      </w:tr>
      <w:tr w:rsidR="004A3E23" w:rsidRPr="00635D8C" w14:paraId="3514F5EC" w14:textId="77777777" w:rsidTr="00635D8C">
        <w:tc>
          <w:tcPr>
            <w:cnfStyle w:val="001000000000" w:firstRow="0" w:lastRow="0" w:firstColumn="1" w:lastColumn="0" w:oddVBand="0" w:evenVBand="0" w:oddHBand="0" w:evenHBand="0" w:firstRowFirstColumn="0" w:firstRowLastColumn="0" w:lastRowFirstColumn="0" w:lastRowLastColumn="0"/>
            <w:tcW w:w="5305" w:type="dxa"/>
            <w:vAlign w:val="center"/>
          </w:tcPr>
          <w:p w14:paraId="524C65EB" w14:textId="77777777" w:rsidR="004A3E23" w:rsidRPr="00635D8C" w:rsidRDefault="004A3E23" w:rsidP="00F175A7">
            <w:pPr>
              <w:spacing w:after="0" w:line="240" w:lineRule="auto"/>
              <w:rPr>
                <w:rFonts w:cs="Merriweather"/>
                <w:i/>
                <w:color w:val="44546A"/>
              </w:rPr>
            </w:pPr>
            <w:r w:rsidRPr="00635D8C">
              <w:rPr>
                <w:color w:val="000000"/>
              </w:rPr>
              <w:t>Nombre de points/conférences de presse tenus</w:t>
            </w:r>
          </w:p>
        </w:tc>
        <w:tc>
          <w:tcPr>
            <w:tcW w:w="1170" w:type="dxa"/>
            <w:vAlign w:val="center"/>
          </w:tcPr>
          <w:p w14:paraId="57EED996"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15</w:t>
            </w:r>
          </w:p>
        </w:tc>
        <w:tc>
          <w:tcPr>
            <w:tcW w:w="1260" w:type="dxa"/>
            <w:vAlign w:val="center"/>
          </w:tcPr>
          <w:p w14:paraId="011E3AF2"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15</w:t>
            </w:r>
          </w:p>
        </w:tc>
        <w:tc>
          <w:tcPr>
            <w:tcW w:w="1281" w:type="dxa"/>
            <w:vAlign w:val="center"/>
          </w:tcPr>
          <w:p w14:paraId="7FC7F528"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15</w:t>
            </w:r>
          </w:p>
        </w:tc>
      </w:tr>
      <w:tr w:rsidR="004A3E23" w:rsidRPr="00635D8C" w14:paraId="6DF74755" w14:textId="77777777" w:rsidTr="00635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002B1D74" w14:textId="77777777" w:rsidR="004A3E23" w:rsidRPr="00635D8C" w:rsidRDefault="004A3E23" w:rsidP="00F175A7">
            <w:pPr>
              <w:spacing w:after="0" w:line="240" w:lineRule="auto"/>
              <w:rPr>
                <w:rFonts w:cs="Merriweather"/>
                <w:i/>
                <w:color w:val="44546A"/>
              </w:rPr>
            </w:pPr>
            <w:r w:rsidRPr="00635D8C">
              <w:rPr>
                <w:color w:val="000000"/>
              </w:rPr>
              <w:t>Nombre de films documentaires/Gouv actions réalisés</w:t>
            </w:r>
          </w:p>
        </w:tc>
        <w:tc>
          <w:tcPr>
            <w:tcW w:w="1170" w:type="dxa"/>
            <w:vAlign w:val="center"/>
          </w:tcPr>
          <w:p w14:paraId="11159FE5"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12</w:t>
            </w:r>
          </w:p>
        </w:tc>
        <w:tc>
          <w:tcPr>
            <w:tcW w:w="1260" w:type="dxa"/>
            <w:vAlign w:val="center"/>
          </w:tcPr>
          <w:p w14:paraId="05A3C2E1"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109</w:t>
            </w:r>
          </w:p>
        </w:tc>
        <w:tc>
          <w:tcPr>
            <w:tcW w:w="1281" w:type="dxa"/>
            <w:vAlign w:val="center"/>
          </w:tcPr>
          <w:p w14:paraId="7677D36F"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10</w:t>
            </w:r>
          </w:p>
        </w:tc>
      </w:tr>
      <w:tr w:rsidR="004A3E23" w:rsidRPr="00635D8C" w14:paraId="4BF26363" w14:textId="77777777" w:rsidTr="00635D8C">
        <w:tc>
          <w:tcPr>
            <w:cnfStyle w:val="001000000000" w:firstRow="0" w:lastRow="0" w:firstColumn="1" w:lastColumn="0" w:oddVBand="0" w:evenVBand="0" w:oddHBand="0" w:evenHBand="0" w:firstRowFirstColumn="0" w:firstRowLastColumn="0" w:lastRowFirstColumn="0" w:lastRowLastColumn="0"/>
            <w:tcW w:w="5305" w:type="dxa"/>
            <w:vAlign w:val="center"/>
          </w:tcPr>
          <w:p w14:paraId="42787D97" w14:textId="77777777" w:rsidR="004A3E23" w:rsidRPr="00635D8C" w:rsidRDefault="004A3E23" w:rsidP="00F175A7">
            <w:pPr>
              <w:spacing w:after="0" w:line="240" w:lineRule="auto"/>
              <w:rPr>
                <w:rFonts w:cs="Merriweather"/>
                <w:i/>
                <w:color w:val="44546A"/>
              </w:rPr>
            </w:pPr>
            <w:r w:rsidRPr="00635D8C">
              <w:rPr>
                <w:color w:val="000000"/>
              </w:rPr>
              <w:t>Nombre de conférences régionales organisées</w:t>
            </w:r>
          </w:p>
        </w:tc>
        <w:tc>
          <w:tcPr>
            <w:tcW w:w="1170" w:type="dxa"/>
            <w:vAlign w:val="center"/>
          </w:tcPr>
          <w:p w14:paraId="2376F17C"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0</w:t>
            </w:r>
          </w:p>
        </w:tc>
        <w:tc>
          <w:tcPr>
            <w:tcW w:w="1260" w:type="dxa"/>
            <w:vAlign w:val="center"/>
          </w:tcPr>
          <w:p w14:paraId="251ADD8B"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0</w:t>
            </w:r>
          </w:p>
        </w:tc>
        <w:tc>
          <w:tcPr>
            <w:tcW w:w="1281" w:type="dxa"/>
            <w:vAlign w:val="center"/>
          </w:tcPr>
          <w:p w14:paraId="12B1D984" w14:textId="77777777" w:rsidR="004A3E23" w:rsidRPr="00635D8C" w:rsidRDefault="004A3E23"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
                <w:color w:val="44546A"/>
              </w:rPr>
            </w:pPr>
            <w:r w:rsidRPr="00635D8C">
              <w:rPr>
                <w:color w:val="000000"/>
              </w:rPr>
              <w:t>2</w:t>
            </w:r>
          </w:p>
        </w:tc>
      </w:tr>
      <w:tr w:rsidR="004A3E23" w:rsidRPr="00635D8C" w14:paraId="4595608E" w14:textId="77777777" w:rsidTr="00635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2CDB9CEA" w14:textId="77777777" w:rsidR="004A3E23" w:rsidRPr="00635D8C" w:rsidRDefault="004A3E23" w:rsidP="00F175A7">
            <w:pPr>
              <w:spacing w:after="0" w:line="240" w:lineRule="auto"/>
              <w:rPr>
                <w:rFonts w:cs="Merriweather"/>
                <w:i/>
                <w:color w:val="44546A"/>
              </w:rPr>
            </w:pPr>
            <w:r w:rsidRPr="00635D8C">
              <w:rPr>
                <w:color w:val="000000"/>
              </w:rPr>
              <w:t>Nombre de publications sur l’action gouvernementale diffusées</w:t>
            </w:r>
          </w:p>
        </w:tc>
        <w:tc>
          <w:tcPr>
            <w:tcW w:w="1170" w:type="dxa"/>
            <w:vAlign w:val="center"/>
          </w:tcPr>
          <w:p w14:paraId="001F8F95"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28</w:t>
            </w:r>
          </w:p>
        </w:tc>
        <w:tc>
          <w:tcPr>
            <w:tcW w:w="1260" w:type="dxa"/>
            <w:vAlign w:val="center"/>
          </w:tcPr>
          <w:p w14:paraId="55D4010C"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21</w:t>
            </w:r>
          </w:p>
        </w:tc>
        <w:tc>
          <w:tcPr>
            <w:tcW w:w="1281" w:type="dxa"/>
            <w:vAlign w:val="center"/>
          </w:tcPr>
          <w:p w14:paraId="413912DC" w14:textId="77777777" w:rsidR="004A3E23" w:rsidRPr="00635D8C" w:rsidRDefault="004A3E23"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
                <w:color w:val="44546A"/>
              </w:rPr>
            </w:pPr>
            <w:r w:rsidRPr="00635D8C">
              <w:rPr>
                <w:color w:val="000000"/>
              </w:rPr>
              <w:t>28</w:t>
            </w:r>
          </w:p>
        </w:tc>
      </w:tr>
    </w:tbl>
    <w:p w14:paraId="0EA6113D" w14:textId="389B21D6" w:rsidR="004A3E23" w:rsidRPr="008D20C6" w:rsidRDefault="004A3E23" w:rsidP="004A3E23">
      <w:pPr>
        <w:spacing w:after="120"/>
        <w:rPr>
          <w:rFonts w:eastAsia="Rockwell" w:cs="Rockwell"/>
          <w:sz w:val="20"/>
          <w:szCs w:val="20"/>
        </w:rPr>
      </w:pPr>
      <w:r w:rsidRPr="00F175A7">
        <w:rPr>
          <w:rFonts w:eastAsia="Rockwell" w:cs="Rockwell"/>
          <w:b/>
          <w:sz w:val="20"/>
          <w:szCs w:val="20"/>
          <w:u w:val="single"/>
        </w:rPr>
        <w:t>Source :</w:t>
      </w:r>
      <w:r w:rsidRPr="008D20C6">
        <w:rPr>
          <w:rFonts w:eastAsia="Rockwell" w:cs="Rockwell"/>
          <w:sz w:val="20"/>
          <w:szCs w:val="20"/>
        </w:rPr>
        <w:t xml:space="preserve"> rapport </w:t>
      </w:r>
      <w:r w:rsidR="00603CB3">
        <w:rPr>
          <w:rFonts w:eastAsia="Rockwell" w:cs="Rockwell"/>
          <w:sz w:val="20"/>
          <w:szCs w:val="20"/>
        </w:rPr>
        <w:t xml:space="preserve">annuel </w:t>
      </w:r>
      <w:r w:rsidRPr="008D20C6">
        <w:rPr>
          <w:rFonts w:eastAsia="Rockwell" w:cs="Rockwell"/>
          <w:sz w:val="20"/>
          <w:szCs w:val="20"/>
        </w:rPr>
        <w:t xml:space="preserve">de performance </w:t>
      </w:r>
      <w:r w:rsidR="00210DD3">
        <w:rPr>
          <w:rFonts w:eastAsia="Rockwell" w:cs="Rockwell"/>
          <w:sz w:val="20"/>
          <w:szCs w:val="20"/>
        </w:rPr>
        <w:t>2023</w:t>
      </w:r>
      <w:r w:rsidRPr="008D20C6">
        <w:rPr>
          <w:rFonts w:eastAsia="Rockwell" w:cs="Rockwell"/>
          <w:sz w:val="20"/>
          <w:szCs w:val="20"/>
        </w:rPr>
        <w:t xml:space="preserve"> du CSD-GAL, février 2024</w:t>
      </w:r>
    </w:p>
    <w:p w14:paraId="61673C1D" w14:textId="5FC61938" w:rsidR="00A2130B" w:rsidRPr="004A3E23" w:rsidRDefault="004A3E23" w:rsidP="00F175A7">
      <w:pPr>
        <w:numPr>
          <w:ilvl w:val="0"/>
          <w:numId w:val="8"/>
        </w:numPr>
        <w:shd w:val="clear" w:color="auto" w:fill="FFFFFF"/>
        <w:spacing w:before="120" w:after="120" w:line="240" w:lineRule="auto"/>
        <w:ind w:left="0"/>
        <w:rPr>
          <w:rFonts w:eastAsia="Calibri"/>
          <w:szCs w:val="24"/>
        </w:rPr>
      </w:pPr>
      <w:r w:rsidRPr="004A3E23">
        <w:rPr>
          <w:rFonts w:eastAsia="Calibri"/>
          <w:szCs w:val="24"/>
        </w:rPr>
        <w:t xml:space="preserve">Sur une prévision financière de 73 000 000 FCFA, </w:t>
      </w:r>
      <w:r w:rsidR="00781AED">
        <w:rPr>
          <w:rFonts w:eastAsia="Calibri"/>
          <w:szCs w:val="24"/>
        </w:rPr>
        <w:t xml:space="preserve">au total </w:t>
      </w:r>
      <w:r w:rsidRPr="004A3E23">
        <w:rPr>
          <w:rFonts w:eastAsia="Calibri"/>
          <w:szCs w:val="24"/>
        </w:rPr>
        <w:t xml:space="preserve">57 000 000 FCFA ont été dépensés, soit un taux de 78,08%.  </w:t>
      </w:r>
    </w:p>
    <w:p w14:paraId="4BDF5F27" w14:textId="77777777" w:rsidR="000C13A6" w:rsidRPr="008D2129" w:rsidRDefault="000C13A6" w:rsidP="00D04649">
      <w:pPr>
        <w:shd w:val="clear" w:color="auto" w:fill="FFFFFF"/>
        <w:spacing w:before="120" w:after="120" w:line="240" w:lineRule="auto"/>
        <w:rPr>
          <w:rFonts w:eastAsia="Calibri"/>
          <w:szCs w:val="24"/>
        </w:rPr>
      </w:pPr>
    </w:p>
    <w:p w14:paraId="7D547B96" w14:textId="78753E58" w:rsidR="00730E02" w:rsidRPr="00730E02" w:rsidRDefault="00EA252D" w:rsidP="00730E02">
      <w:pPr>
        <w:pStyle w:val="PAT4"/>
        <w:ind w:left="1571"/>
        <w:rPr>
          <w:szCs w:val="24"/>
        </w:rPr>
      </w:pPr>
      <w:bookmarkStart w:id="87" w:name="_Toc163141225"/>
      <w:r w:rsidRPr="008D2129">
        <w:t>Objectif stratégique 2.3 : Promouvoir la bonne gouvernance économique, financière et les coopérations régionale et internationale</w:t>
      </w:r>
      <w:bookmarkEnd w:id="87"/>
    </w:p>
    <w:p w14:paraId="314784FB" w14:textId="464809FA" w:rsidR="00730E02" w:rsidRPr="00730E02" w:rsidRDefault="00063AD2" w:rsidP="00F175A7">
      <w:pPr>
        <w:numPr>
          <w:ilvl w:val="0"/>
          <w:numId w:val="8"/>
        </w:numPr>
        <w:shd w:val="clear" w:color="auto" w:fill="FFFFFF"/>
        <w:spacing w:before="120" w:after="120" w:line="240" w:lineRule="auto"/>
        <w:ind w:left="0"/>
        <w:rPr>
          <w:rFonts w:eastAsia="Calibri"/>
          <w:szCs w:val="24"/>
        </w:rPr>
      </w:pPr>
      <w:r>
        <w:rPr>
          <w:rFonts w:eastAsia="Calibri"/>
          <w:szCs w:val="24"/>
        </w:rPr>
        <w:t>Quatre</w:t>
      </w:r>
      <w:r w:rsidR="00730E02" w:rsidRPr="00730E02">
        <w:rPr>
          <w:rFonts w:eastAsia="Calibri"/>
          <w:szCs w:val="24"/>
        </w:rPr>
        <w:t xml:space="preserve"> (0</w:t>
      </w:r>
      <w:r>
        <w:rPr>
          <w:rFonts w:eastAsia="Calibri"/>
          <w:szCs w:val="24"/>
        </w:rPr>
        <w:t>4</w:t>
      </w:r>
      <w:r w:rsidR="00730E02" w:rsidRPr="00730E02">
        <w:rPr>
          <w:rFonts w:eastAsia="Calibri"/>
          <w:szCs w:val="24"/>
        </w:rPr>
        <w:t>) secteurs de planification que sont les secteurs « TIA », « GE »</w:t>
      </w:r>
      <w:r>
        <w:rPr>
          <w:rFonts w:eastAsia="Calibri"/>
          <w:szCs w:val="24"/>
        </w:rPr>
        <w:t>, « JDH</w:t>
      </w:r>
      <w:r w:rsidRPr="00730E02">
        <w:rPr>
          <w:rFonts w:eastAsia="Calibri"/>
          <w:szCs w:val="24"/>
        </w:rPr>
        <w:t> »</w:t>
      </w:r>
      <w:r w:rsidR="00730E02" w:rsidRPr="00730E02">
        <w:rPr>
          <w:rFonts w:eastAsia="Calibri"/>
          <w:szCs w:val="24"/>
        </w:rPr>
        <w:t xml:space="preserve"> et « GAL » participent à la réalisation de cet OS qui s’opérationnalise à travers dix-neuf (19) actions du PA-SD.</w:t>
      </w:r>
    </w:p>
    <w:p w14:paraId="1FC565B4" w14:textId="77777777"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Concernant la première action, elle porte sur </w:t>
      </w:r>
      <w:r w:rsidRPr="008139E1">
        <w:rPr>
          <w:rFonts w:eastAsia="Calibri"/>
          <w:b/>
          <w:szCs w:val="24"/>
        </w:rPr>
        <w:t>la valorisation de la préférence nationale en matière de commande publique et dans le secteur minier (03022)</w:t>
      </w:r>
      <w:r w:rsidRPr="00730E02">
        <w:rPr>
          <w:rFonts w:eastAsia="Calibri"/>
          <w:szCs w:val="24"/>
        </w:rPr>
        <w:t>. Même en l’absence de programmation en 2023, des extrants ont été réalisés. Il s’agit de la mise en œuvre de l’accord-cadre signé entre le Gouvernement et la CMA-BF pour la fourniture des biens et services pour lesquels les artisans burkinabè disposent d’une compétence pour leur production. Au total, douze (12) contrats ont été signés entre la CMA-BF et des structures publiques. </w:t>
      </w:r>
    </w:p>
    <w:p w14:paraId="72DB8008" w14:textId="5F83E5D9" w:rsidR="00730E02" w:rsidRPr="00730E02" w:rsidRDefault="00781AED"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730E02" w:rsidRPr="00730E02">
        <w:rPr>
          <w:rFonts w:eastAsia="Calibri"/>
          <w:szCs w:val="24"/>
        </w:rPr>
        <w:t xml:space="preserve"> plan budgétaire, la réalisation des extrants de cette action n’a enregistré aucune exécution sur l’allocation prévisionnelle de 25 370 000 FCFA.</w:t>
      </w:r>
    </w:p>
    <w:p w14:paraId="69CBA458" w14:textId="62159E0E"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La deuxième action est relative à </w:t>
      </w:r>
      <w:r w:rsidRPr="008139E1">
        <w:rPr>
          <w:rFonts w:eastAsia="Calibri"/>
          <w:b/>
          <w:szCs w:val="24"/>
        </w:rPr>
        <w:t>l’allégement des conditions d'accès au financement des PME/PMI (03023)</w:t>
      </w:r>
      <w:r w:rsidRPr="00730E02">
        <w:rPr>
          <w:rFonts w:eastAsia="Calibri"/>
          <w:szCs w:val="24"/>
        </w:rPr>
        <w:t>. Mise en œuvre par le CSD-GE, l’indicateur de l’action a été atteinte car deux (02) mesures de facilitation des conditions d'accès au financement des PME/PMI ont été prises pour une cible d’une.</w:t>
      </w:r>
    </w:p>
    <w:p w14:paraId="446CC479" w14:textId="0CD790F8"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Le niveau d’atteinte des deux (02) indicateurs de produits programmés dans le cadre de cette action est très appréciable. En effet, deux décrets ont été adoptés. Il s’agit du décret N°2023-0537/PRES-TRANS/PM/MDICAPME/MEFP/MAECRBE portant adoption du Guide pour les négociations de traités d’investissement du Burkina Faso du 04 mai 2023 et du décret N°2023-0538/PRES-TRANS/PM/MDICAPME/MEFP/MAECRBE portant </w:t>
      </w:r>
      <w:r w:rsidRPr="00730E02">
        <w:rPr>
          <w:rFonts w:eastAsia="Calibri"/>
          <w:szCs w:val="24"/>
        </w:rPr>
        <w:lastRenderedPageBreak/>
        <w:t xml:space="preserve">adoption du modèle national de Traité </w:t>
      </w:r>
      <w:r w:rsidR="00781AED">
        <w:rPr>
          <w:rFonts w:eastAsia="Calibri"/>
          <w:szCs w:val="24"/>
        </w:rPr>
        <w:t>b</w:t>
      </w:r>
      <w:r w:rsidRPr="00730E02">
        <w:rPr>
          <w:rFonts w:eastAsia="Calibri"/>
          <w:szCs w:val="24"/>
        </w:rPr>
        <w:t>ilatéral d’</w:t>
      </w:r>
      <w:r w:rsidR="00781AED">
        <w:rPr>
          <w:rFonts w:eastAsia="Calibri"/>
          <w:szCs w:val="24"/>
        </w:rPr>
        <w:t>i</w:t>
      </w:r>
      <w:r w:rsidRPr="00730E02">
        <w:rPr>
          <w:rFonts w:eastAsia="Calibri"/>
          <w:szCs w:val="24"/>
        </w:rPr>
        <w:t>nvestissement (TBI) du Burkina Faso du 04 mai 2023.</w:t>
      </w:r>
    </w:p>
    <w:p w14:paraId="1BBA1D24" w14:textId="77777777"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Concernant la contribution du secteur TIA à la mise en œuvre de cette action, 107 PME/PMI ont été financées à travers l’AFP/PME pour un montant total de 2 090 200 000 FCFA contre 422 entreprises en 2022 pour un montant de 1 485 259 212 FCFA. Malgré la baisse du nombre de PME bénéficiaires de financement de l’année 2023 comparativement à celui de 2022, le montant moyen de financement par bénéficiaire s’est accru considérablement passant de 3 519 572 FCFA en 2022 pour s’établir à 19 534 678 FCFA en 2023. </w:t>
      </w:r>
    </w:p>
    <w:p w14:paraId="7304B145" w14:textId="44E134D6" w:rsidR="00730E02" w:rsidRPr="00730E02" w:rsidRDefault="00730E02" w:rsidP="00F175A7">
      <w:pPr>
        <w:numPr>
          <w:ilvl w:val="0"/>
          <w:numId w:val="8"/>
        </w:numPr>
        <w:shd w:val="clear" w:color="auto" w:fill="FFFFFF"/>
        <w:spacing w:before="120" w:after="120" w:line="240" w:lineRule="auto"/>
        <w:ind w:left="0"/>
        <w:rPr>
          <w:rFonts w:eastAsia="Calibri"/>
          <w:szCs w:val="24"/>
        </w:rPr>
      </w:pPr>
      <w:bookmarkStart w:id="88" w:name="_heading=h.2nusc19" w:colFirst="0" w:colLast="0"/>
      <w:bookmarkEnd w:id="88"/>
      <w:r w:rsidRPr="00730E02">
        <w:rPr>
          <w:rFonts w:eastAsia="Calibri"/>
          <w:szCs w:val="24"/>
        </w:rPr>
        <w:t xml:space="preserve">S’agissant de la troisième action relative à </w:t>
      </w:r>
      <w:r w:rsidRPr="008139E1">
        <w:rPr>
          <w:rFonts w:eastAsia="Calibri"/>
          <w:b/>
          <w:szCs w:val="24"/>
        </w:rPr>
        <w:t>l</w:t>
      </w:r>
      <w:proofErr w:type="gramStart"/>
      <w:r w:rsidRPr="008139E1">
        <w:rPr>
          <w:rFonts w:eastAsia="Calibri"/>
          <w:b/>
          <w:szCs w:val="24"/>
        </w:rPr>
        <w:t>’«</w:t>
      </w:r>
      <w:proofErr w:type="gramEnd"/>
      <w:r w:rsidRPr="008139E1">
        <w:rPr>
          <w:rFonts w:eastAsia="Calibri"/>
          <w:b/>
          <w:szCs w:val="24"/>
        </w:rPr>
        <w:t> amélioration du climat des affaires (03024) »</w:t>
      </w:r>
      <w:r w:rsidRPr="00730E02">
        <w:rPr>
          <w:rFonts w:eastAsia="Calibri"/>
          <w:szCs w:val="24"/>
        </w:rPr>
        <w:t xml:space="preserve">, le taux de fonctionnalité du dispositif institutionnel de pilotage et de suivi de l’amélioration de l’environnement des affaires ressort à 50%. Ce niveau s’explique par la décision du Comité de </w:t>
      </w:r>
      <w:r w:rsidR="00781AED">
        <w:rPr>
          <w:rFonts w:eastAsia="Calibri"/>
          <w:szCs w:val="24"/>
        </w:rPr>
        <w:t>p</w:t>
      </w:r>
      <w:r w:rsidRPr="00730E02">
        <w:rPr>
          <w:rFonts w:eastAsia="Calibri"/>
          <w:szCs w:val="24"/>
        </w:rPr>
        <w:t>ilotage de tenir une session par an au lieu de deux (02). Quant au « nombre de nouvelles entreprises créées », les réformes engagées dans le secteur ont permis de créer 21 787 entreprises sur une cible de 18 000. Cette performance s’explique par les actions de sensibilisation au profit des acteurs de l’économie informelle et les nombreuses initiatives d’accompagnement des jeunes et des femmes dans le domaine de l’entrepreneuriat. Six (06) produits concourent à la réalisation de cette action. Le tableau ci-dessous indique la situation d’évolution des indicateurs desdits produits.</w:t>
      </w:r>
    </w:p>
    <w:p w14:paraId="16118819" w14:textId="66756B96" w:rsidR="00730E02" w:rsidRPr="00F175A7" w:rsidRDefault="00F6146B" w:rsidP="00730E02">
      <w:pPr>
        <w:pBdr>
          <w:top w:val="nil"/>
          <w:left w:val="nil"/>
          <w:bottom w:val="nil"/>
          <w:right w:val="nil"/>
          <w:between w:val="nil"/>
        </w:pBdr>
        <w:spacing w:after="200" w:line="240" w:lineRule="auto"/>
        <w:rPr>
          <w:rFonts w:cs="Merriweather"/>
          <w:i/>
          <w:sz w:val="22"/>
        </w:rPr>
      </w:pPr>
      <w:bookmarkStart w:id="89" w:name="_Toc164503622"/>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35</w:t>
      </w:r>
      <w:r w:rsidRPr="00B51145">
        <w:rPr>
          <w:b/>
          <w:bCs/>
          <w:sz w:val="22"/>
          <w:u w:val="single"/>
        </w:rPr>
        <w:fldChar w:fldCharType="end"/>
      </w:r>
      <w:r w:rsidR="00730E02" w:rsidRPr="00DD7F11">
        <w:rPr>
          <w:rFonts w:cs="Merriweather"/>
          <w:color w:val="44546A"/>
          <w:sz w:val="22"/>
        </w:rPr>
        <w:t>:</w:t>
      </w:r>
      <w:r w:rsidR="00730E02" w:rsidRPr="008D20C6">
        <w:rPr>
          <w:rFonts w:cs="Merriweather"/>
          <w:color w:val="44546A"/>
          <w:sz w:val="22"/>
        </w:rPr>
        <w:t xml:space="preserve"> </w:t>
      </w:r>
      <w:r w:rsidR="00730E02" w:rsidRPr="00F175A7">
        <w:rPr>
          <w:rFonts w:cs="Merriweather"/>
          <w:sz w:val="22"/>
        </w:rPr>
        <w:t>situation des indicateurs de produits relatifs à l’allégement des conditions d'accès au financement des PME/PMI au 31 décembre 2023</w:t>
      </w:r>
      <w:bookmarkEnd w:id="89"/>
      <w:r w:rsidR="00730E02" w:rsidRPr="00F175A7">
        <w:rPr>
          <w:rFonts w:cs="Merriweather"/>
          <w:sz w:val="22"/>
        </w:rPr>
        <w:t xml:space="preserve"> </w:t>
      </w:r>
    </w:p>
    <w:tbl>
      <w:tblPr>
        <w:tblStyle w:val="GridTable4-Accent111"/>
        <w:tblW w:w="5000" w:type="pct"/>
        <w:tblLayout w:type="fixed"/>
        <w:tblLook w:val="04A0" w:firstRow="1" w:lastRow="0" w:firstColumn="1" w:lastColumn="0" w:noHBand="0" w:noVBand="1"/>
      </w:tblPr>
      <w:tblGrid>
        <w:gridCol w:w="5239"/>
        <w:gridCol w:w="1277"/>
        <w:gridCol w:w="1295"/>
        <w:gridCol w:w="1205"/>
      </w:tblGrid>
      <w:tr w:rsidR="00730E02" w:rsidRPr="00D86359" w14:paraId="1CA8476F"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shd w:val="clear" w:color="auto" w:fill="4472C4" w:themeFill="accent1"/>
          </w:tcPr>
          <w:p w14:paraId="399EED71" w14:textId="4C7DC451" w:rsidR="00730E02" w:rsidRPr="00D86359" w:rsidRDefault="00730E02" w:rsidP="00E52836">
            <w:pPr>
              <w:keepNext/>
              <w:keepLines/>
              <w:spacing w:after="0" w:line="240" w:lineRule="auto"/>
              <w:rPr>
                <w:sz w:val="22"/>
              </w:rPr>
            </w:pPr>
            <w:r w:rsidRPr="00D86359">
              <w:rPr>
                <w:sz w:val="22"/>
              </w:rPr>
              <w:t>Indicateur</w:t>
            </w:r>
            <w:r w:rsidR="001A7495">
              <w:rPr>
                <w:sz w:val="22"/>
              </w:rPr>
              <w:t>s</w:t>
            </w:r>
            <w:r w:rsidRPr="00D86359">
              <w:rPr>
                <w:sz w:val="22"/>
              </w:rPr>
              <w:t xml:space="preserve"> </w:t>
            </w:r>
          </w:p>
        </w:tc>
        <w:tc>
          <w:tcPr>
            <w:tcW w:w="708" w:type="pct"/>
            <w:shd w:val="clear" w:color="auto" w:fill="4472C4" w:themeFill="accent1"/>
          </w:tcPr>
          <w:p w14:paraId="2107D108" w14:textId="77777777" w:rsidR="00730E02" w:rsidRPr="00D86359" w:rsidRDefault="00730E02"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D86359">
              <w:rPr>
                <w:sz w:val="22"/>
              </w:rPr>
              <w:t>Réal. 2022</w:t>
            </w:r>
          </w:p>
        </w:tc>
        <w:tc>
          <w:tcPr>
            <w:tcW w:w="718" w:type="pct"/>
            <w:shd w:val="clear" w:color="auto" w:fill="4472C4" w:themeFill="accent1"/>
          </w:tcPr>
          <w:p w14:paraId="43EAF699" w14:textId="77777777" w:rsidR="00730E02" w:rsidRPr="00D86359" w:rsidRDefault="00730E02"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D86359">
              <w:rPr>
                <w:sz w:val="22"/>
              </w:rPr>
              <w:t>Réal. 2023</w:t>
            </w:r>
          </w:p>
        </w:tc>
        <w:tc>
          <w:tcPr>
            <w:tcW w:w="668" w:type="pct"/>
            <w:shd w:val="clear" w:color="auto" w:fill="4472C4" w:themeFill="accent1"/>
          </w:tcPr>
          <w:p w14:paraId="28032B7E" w14:textId="77777777" w:rsidR="00730E02" w:rsidRPr="00D86359" w:rsidRDefault="00730E02"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D86359">
              <w:rPr>
                <w:sz w:val="22"/>
              </w:rPr>
              <w:t>Cible 2023</w:t>
            </w:r>
          </w:p>
        </w:tc>
      </w:tr>
      <w:tr w:rsidR="00730E02" w:rsidRPr="00D86359" w14:paraId="037CA633"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7EC92BD0" w14:textId="77777777" w:rsidR="00730E02" w:rsidRPr="00D86359" w:rsidRDefault="00730E02" w:rsidP="00E52836">
            <w:pPr>
              <w:keepNext/>
              <w:keepLines/>
              <w:spacing w:after="0" w:line="240" w:lineRule="auto"/>
              <w:rPr>
                <w:b w:val="0"/>
                <w:color w:val="000000"/>
                <w:sz w:val="22"/>
              </w:rPr>
            </w:pPr>
            <w:r w:rsidRPr="00D86359">
              <w:rPr>
                <w:b w:val="0"/>
                <w:color w:val="000000"/>
                <w:sz w:val="22"/>
              </w:rPr>
              <w:t>Taux de fonctionnalité des instances et organes du CODESP (%)</w:t>
            </w:r>
          </w:p>
        </w:tc>
        <w:tc>
          <w:tcPr>
            <w:tcW w:w="708" w:type="pct"/>
          </w:tcPr>
          <w:p w14:paraId="06A2B723"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color w:val="000000"/>
                <w:sz w:val="22"/>
              </w:rPr>
              <w:t>95</w:t>
            </w:r>
          </w:p>
        </w:tc>
        <w:tc>
          <w:tcPr>
            <w:tcW w:w="718" w:type="pct"/>
          </w:tcPr>
          <w:p w14:paraId="2B5874D6"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color w:val="000000"/>
                <w:sz w:val="22"/>
              </w:rPr>
              <w:t>50</w:t>
            </w:r>
          </w:p>
        </w:tc>
        <w:tc>
          <w:tcPr>
            <w:tcW w:w="668" w:type="pct"/>
          </w:tcPr>
          <w:p w14:paraId="7B86F547"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color w:val="000000"/>
                <w:sz w:val="22"/>
              </w:rPr>
              <w:t>100</w:t>
            </w:r>
          </w:p>
        </w:tc>
      </w:tr>
      <w:tr w:rsidR="00730E02" w:rsidRPr="00D86359" w14:paraId="1242FEF4"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60009A50" w14:textId="77777777" w:rsidR="00730E02" w:rsidRPr="00D86359" w:rsidRDefault="00730E02" w:rsidP="00E52836">
            <w:pPr>
              <w:keepNext/>
              <w:keepLines/>
              <w:spacing w:after="0" w:line="240" w:lineRule="auto"/>
              <w:rPr>
                <w:b w:val="0"/>
                <w:color w:val="000000"/>
                <w:sz w:val="22"/>
              </w:rPr>
            </w:pPr>
            <w:r w:rsidRPr="00D86359">
              <w:rPr>
                <w:b w:val="0"/>
                <w:color w:val="000000"/>
                <w:sz w:val="22"/>
              </w:rPr>
              <w:t>Nombre d’événements de promotion des investissements organisés</w:t>
            </w:r>
          </w:p>
        </w:tc>
        <w:tc>
          <w:tcPr>
            <w:tcW w:w="708" w:type="pct"/>
          </w:tcPr>
          <w:p w14:paraId="122CDA37"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D86359">
              <w:rPr>
                <w:color w:val="000000"/>
                <w:sz w:val="22"/>
              </w:rPr>
              <w:t>5</w:t>
            </w:r>
          </w:p>
        </w:tc>
        <w:tc>
          <w:tcPr>
            <w:tcW w:w="718" w:type="pct"/>
          </w:tcPr>
          <w:p w14:paraId="5DBC19B7"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D86359">
              <w:rPr>
                <w:color w:val="000000"/>
                <w:sz w:val="22"/>
              </w:rPr>
              <w:t>4</w:t>
            </w:r>
          </w:p>
        </w:tc>
        <w:tc>
          <w:tcPr>
            <w:tcW w:w="668" w:type="pct"/>
          </w:tcPr>
          <w:p w14:paraId="143361FE"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D86359">
              <w:rPr>
                <w:color w:val="000000"/>
                <w:sz w:val="22"/>
              </w:rPr>
              <w:t>3</w:t>
            </w:r>
          </w:p>
        </w:tc>
      </w:tr>
      <w:tr w:rsidR="00730E02" w:rsidRPr="00D86359" w14:paraId="72DA60FF"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2F3B9A87" w14:textId="77777777" w:rsidR="00730E02" w:rsidRPr="00D86359" w:rsidRDefault="00730E02" w:rsidP="00E52836">
            <w:pPr>
              <w:keepNext/>
              <w:keepLines/>
              <w:spacing w:after="0" w:line="240" w:lineRule="auto"/>
              <w:rPr>
                <w:b w:val="0"/>
                <w:color w:val="000000"/>
                <w:sz w:val="22"/>
              </w:rPr>
            </w:pPr>
            <w:r w:rsidRPr="00D86359">
              <w:rPr>
                <w:b w:val="0"/>
                <w:color w:val="000000"/>
                <w:sz w:val="22"/>
              </w:rPr>
              <w:t>Nombre d’échantillons prélevés et analysés dans le cadre du renforcement de l’infrastructure nationale qualité</w:t>
            </w:r>
          </w:p>
        </w:tc>
        <w:tc>
          <w:tcPr>
            <w:tcW w:w="708" w:type="pct"/>
          </w:tcPr>
          <w:p w14:paraId="1CA3F640"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color w:val="000000"/>
                <w:sz w:val="22"/>
              </w:rPr>
              <w:t>9 771</w:t>
            </w:r>
          </w:p>
        </w:tc>
        <w:tc>
          <w:tcPr>
            <w:tcW w:w="718" w:type="pct"/>
          </w:tcPr>
          <w:p w14:paraId="592ABA7C"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sz w:val="22"/>
              </w:rPr>
              <w:t>9 338</w:t>
            </w:r>
          </w:p>
        </w:tc>
        <w:tc>
          <w:tcPr>
            <w:tcW w:w="668" w:type="pct"/>
          </w:tcPr>
          <w:p w14:paraId="5740FA97"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color w:val="000000"/>
                <w:sz w:val="22"/>
              </w:rPr>
              <w:t>8000</w:t>
            </w:r>
          </w:p>
        </w:tc>
      </w:tr>
      <w:tr w:rsidR="00730E02" w:rsidRPr="00D86359" w14:paraId="7C50D1A3"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3EC8174A" w14:textId="77777777" w:rsidR="00730E02" w:rsidRPr="00D86359" w:rsidRDefault="00730E02" w:rsidP="00E52836">
            <w:pPr>
              <w:keepNext/>
              <w:keepLines/>
              <w:spacing w:after="0" w:line="240" w:lineRule="auto"/>
              <w:rPr>
                <w:b w:val="0"/>
                <w:color w:val="000000"/>
                <w:sz w:val="22"/>
              </w:rPr>
            </w:pPr>
            <w:r w:rsidRPr="00D86359">
              <w:rPr>
                <w:b w:val="0"/>
                <w:color w:val="000000"/>
                <w:sz w:val="22"/>
              </w:rPr>
              <w:t>Nombre d’instruments étalonnés et vérifiés dans le cadre du renforcement de l’infrastructure nationale qualité</w:t>
            </w:r>
          </w:p>
        </w:tc>
        <w:tc>
          <w:tcPr>
            <w:tcW w:w="708" w:type="pct"/>
          </w:tcPr>
          <w:p w14:paraId="1D324714"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7 141</w:t>
            </w:r>
          </w:p>
        </w:tc>
        <w:tc>
          <w:tcPr>
            <w:tcW w:w="718" w:type="pct"/>
          </w:tcPr>
          <w:p w14:paraId="2CDD91E6"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D86359">
              <w:rPr>
                <w:sz w:val="22"/>
              </w:rPr>
              <w:t>8 921</w:t>
            </w:r>
          </w:p>
        </w:tc>
        <w:tc>
          <w:tcPr>
            <w:tcW w:w="668" w:type="pct"/>
          </w:tcPr>
          <w:p w14:paraId="4B32F0E8"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7200</w:t>
            </w:r>
          </w:p>
        </w:tc>
      </w:tr>
      <w:tr w:rsidR="00730E02" w:rsidRPr="00D86359" w14:paraId="11AE2483" w14:textId="77777777" w:rsidTr="00F175A7">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906" w:type="pct"/>
          </w:tcPr>
          <w:p w14:paraId="438766DB" w14:textId="77777777" w:rsidR="00730E02" w:rsidRPr="00D86359" w:rsidRDefault="00730E02" w:rsidP="00E52836">
            <w:pPr>
              <w:keepNext/>
              <w:keepLines/>
              <w:spacing w:after="0" w:line="240" w:lineRule="auto"/>
              <w:rPr>
                <w:b w:val="0"/>
                <w:color w:val="000000"/>
                <w:sz w:val="22"/>
              </w:rPr>
            </w:pPr>
            <w:r w:rsidRPr="00D86359">
              <w:rPr>
                <w:b w:val="0"/>
                <w:color w:val="000000"/>
                <w:sz w:val="22"/>
              </w:rPr>
              <w:t>Nombre de certificats NBF octroyés dans le cadre du renforcement de l’infrastructure nationale qualité</w:t>
            </w:r>
          </w:p>
        </w:tc>
        <w:tc>
          <w:tcPr>
            <w:tcW w:w="708" w:type="pct"/>
          </w:tcPr>
          <w:p w14:paraId="3C81B726"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73</w:t>
            </w:r>
          </w:p>
        </w:tc>
        <w:tc>
          <w:tcPr>
            <w:tcW w:w="718" w:type="pct"/>
          </w:tcPr>
          <w:p w14:paraId="575C139B"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D86359">
              <w:rPr>
                <w:color w:val="000000"/>
                <w:sz w:val="22"/>
              </w:rPr>
              <w:t>68</w:t>
            </w:r>
          </w:p>
        </w:tc>
        <w:tc>
          <w:tcPr>
            <w:tcW w:w="668" w:type="pct"/>
          </w:tcPr>
          <w:p w14:paraId="0269033E"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70</w:t>
            </w:r>
          </w:p>
        </w:tc>
      </w:tr>
      <w:tr w:rsidR="00730E02" w:rsidRPr="00D86359" w14:paraId="5825ADE3"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60BB77E7" w14:textId="77777777" w:rsidR="00730E02" w:rsidRPr="00D86359" w:rsidRDefault="00730E02" w:rsidP="00E52836">
            <w:pPr>
              <w:keepNext/>
              <w:keepLines/>
              <w:spacing w:after="0" w:line="240" w:lineRule="auto"/>
              <w:rPr>
                <w:b w:val="0"/>
                <w:color w:val="000000"/>
                <w:sz w:val="22"/>
              </w:rPr>
            </w:pPr>
            <w:r w:rsidRPr="00D86359">
              <w:rPr>
                <w:b w:val="0"/>
                <w:color w:val="000000"/>
                <w:sz w:val="22"/>
              </w:rPr>
              <w:t>Nombre de produits du terroir burkinabè labellisés</w:t>
            </w:r>
          </w:p>
        </w:tc>
        <w:tc>
          <w:tcPr>
            <w:tcW w:w="708" w:type="pct"/>
          </w:tcPr>
          <w:p w14:paraId="12F3C03F"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1</w:t>
            </w:r>
          </w:p>
        </w:tc>
        <w:tc>
          <w:tcPr>
            <w:tcW w:w="718" w:type="pct"/>
          </w:tcPr>
          <w:p w14:paraId="2C22F6DF"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0</w:t>
            </w:r>
          </w:p>
        </w:tc>
        <w:tc>
          <w:tcPr>
            <w:tcW w:w="668" w:type="pct"/>
          </w:tcPr>
          <w:p w14:paraId="54659583"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01</w:t>
            </w:r>
          </w:p>
        </w:tc>
      </w:tr>
      <w:tr w:rsidR="00730E02" w:rsidRPr="00D86359" w14:paraId="3CE5740B"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388CBB80" w14:textId="77777777" w:rsidR="00730E02" w:rsidRPr="00D86359" w:rsidRDefault="00730E02" w:rsidP="00E52836">
            <w:pPr>
              <w:keepNext/>
              <w:keepLines/>
              <w:spacing w:after="0" w:line="240" w:lineRule="auto"/>
              <w:rPr>
                <w:b w:val="0"/>
                <w:color w:val="000000"/>
                <w:sz w:val="22"/>
              </w:rPr>
            </w:pPr>
            <w:r w:rsidRPr="00D86359">
              <w:rPr>
                <w:b w:val="0"/>
                <w:color w:val="000000"/>
                <w:sz w:val="22"/>
              </w:rPr>
              <w:t>Nombre de labels du terroir burkinabè exploités</w:t>
            </w:r>
          </w:p>
        </w:tc>
        <w:tc>
          <w:tcPr>
            <w:tcW w:w="708" w:type="pct"/>
          </w:tcPr>
          <w:p w14:paraId="0A01F5C5"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02</w:t>
            </w:r>
          </w:p>
        </w:tc>
        <w:tc>
          <w:tcPr>
            <w:tcW w:w="718" w:type="pct"/>
          </w:tcPr>
          <w:p w14:paraId="083E38FF"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02</w:t>
            </w:r>
          </w:p>
        </w:tc>
        <w:tc>
          <w:tcPr>
            <w:tcW w:w="668" w:type="pct"/>
          </w:tcPr>
          <w:p w14:paraId="561D4B7A"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02</w:t>
            </w:r>
          </w:p>
        </w:tc>
      </w:tr>
      <w:tr w:rsidR="00730E02" w:rsidRPr="00D86359" w14:paraId="6898E075"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49A192FA" w14:textId="0EB4DF2B" w:rsidR="00730E02" w:rsidRPr="00D86359" w:rsidRDefault="00730E02" w:rsidP="00E52836">
            <w:pPr>
              <w:keepNext/>
              <w:keepLines/>
              <w:spacing w:after="0" w:line="240" w:lineRule="auto"/>
              <w:rPr>
                <w:b w:val="0"/>
                <w:color w:val="000000"/>
                <w:sz w:val="22"/>
              </w:rPr>
            </w:pPr>
            <w:r w:rsidRPr="00D86359">
              <w:rPr>
                <w:b w:val="0"/>
                <w:color w:val="000000"/>
                <w:sz w:val="22"/>
              </w:rPr>
              <w:t>Disponibilité d’un nouveau code de bonnes pratiques de gouvernance des sociétés d’</w:t>
            </w:r>
            <w:r w:rsidR="00781AED">
              <w:rPr>
                <w:b w:val="0"/>
                <w:color w:val="000000"/>
                <w:sz w:val="22"/>
              </w:rPr>
              <w:t>E</w:t>
            </w:r>
            <w:r w:rsidRPr="00D86359">
              <w:rPr>
                <w:b w:val="0"/>
                <w:color w:val="000000"/>
                <w:sz w:val="22"/>
              </w:rPr>
              <w:t xml:space="preserve">tat  </w:t>
            </w:r>
          </w:p>
        </w:tc>
        <w:tc>
          <w:tcPr>
            <w:tcW w:w="708" w:type="pct"/>
          </w:tcPr>
          <w:p w14:paraId="56905783"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0</w:t>
            </w:r>
          </w:p>
        </w:tc>
        <w:tc>
          <w:tcPr>
            <w:tcW w:w="718" w:type="pct"/>
          </w:tcPr>
          <w:p w14:paraId="7A7A1C7F"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0</w:t>
            </w:r>
          </w:p>
        </w:tc>
        <w:tc>
          <w:tcPr>
            <w:tcW w:w="668" w:type="pct"/>
          </w:tcPr>
          <w:p w14:paraId="39A42128" w14:textId="77777777" w:rsidR="00730E02" w:rsidRPr="00D86359"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D86359">
              <w:rPr>
                <w:color w:val="000000"/>
                <w:sz w:val="22"/>
              </w:rPr>
              <w:t>1</w:t>
            </w:r>
          </w:p>
        </w:tc>
      </w:tr>
      <w:tr w:rsidR="00730E02" w:rsidRPr="00D86359" w14:paraId="703BF01B"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4BE7DC0B" w14:textId="77777777" w:rsidR="00730E02" w:rsidRPr="00D86359" w:rsidRDefault="00730E02" w:rsidP="00E52836">
            <w:pPr>
              <w:keepNext/>
              <w:keepLines/>
              <w:spacing w:after="0" w:line="240" w:lineRule="auto"/>
              <w:rPr>
                <w:b w:val="0"/>
                <w:color w:val="000000"/>
                <w:sz w:val="22"/>
              </w:rPr>
            </w:pPr>
            <w:r w:rsidRPr="00D86359">
              <w:rPr>
                <w:b w:val="0"/>
                <w:color w:val="000000"/>
                <w:sz w:val="22"/>
              </w:rPr>
              <w:t>Disponibilité d’un rapport recensant les réformes sur les conditions de délivrance des licences d’affaires proposées</w:t>
            </w:r>
          </w:p>
        </w:tc>
        <w:tc>
          <w:tcPr>
            <w:tcW w:w="708" w:type="pct"/>
          </w:tcPr>
          <w:p w14:paraId="18F16F49"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1</w:t>
            </w:r>
          </w:p>
        </w:tc>
        <w:tc>
          <w:tcPr>
            <w:tcW w:w="718" w:type="pct"/>
          </w:tcPr>
          <w:p w14:paraId="0146FC78"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1</w:t>
            </w:r>
          </w:p>
        </w:tc>
        <w:tc>
          <w:tcPr>
            <w:tcW w:w="668" w:type="pct"/>
          </w:tcPr>
          <w:p w14:paraId="1B503CDF" w14:textId="77777777" w:rsidR="00730E02" w:rsidRPr="00D86359"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D86359">
              <w:rPr>
                <w:color w:val="000000"/>
                <w:sz w:val="22"/>
              </w:rPr>
              <w:t>1</w:t>
            </w:r>
          </w:p>
        </w:tc>
      </w:tr>
    </w:tbl>
    <w:p w14:paraId="467730E2" w14:textId="2B8EC834" w:rsidR="00730E02" w:rsidRPr="008D20C6" w:rsidRDefault="00730E02" w:rsidP="00730E02">
      <w:pPr>
        <w:spacing w:after="120"/>
        <w:rPr>
          <w:rFonts w:eastAsia="Rockwell" w:cs="Rockwell"/>
          <w:sz w:val="20"/>
          <w:szCs w:val="20"/>
        </w:rPr>
      </w:pPr>
      <w:r w:rsidRPr="008D20C6">
        <w:rPr>
          <w:rFonts w:eastAsia="Rockwell" w:cs="Rockwell"/>
          <w:b/>
          <w:bCs/>
          <w:sz w:val="20"/>
          <w:szCs w:val="20"/>
          <w:u w:val="single"/>
        </w:rPr>
        <w:t>Source</w:t>
      </w:r>
      <w:r w:rsidRPr="008D20C6">
        <w:rPr>
          <w:rFonts w:eastAsia="Rockwell" w:cs="Rockwell"/>
          <w:sz w:val="20"/>
          <w:szCs w:val="20"/>
          <w:u w:val="single"/>
        </w:rPr>
        <w:t xml:space="preserve"> :</w:t>
      </w:r>
      <w:r w:rsidRPr="008D20C6">
        <w:rPr>
          <w:rFonts w:eastAsia="Rockwell" w:cs="Rockwell"/>
          <w:sz w:val="20"/>
          <w:szCs w:val="20"/>
        </w:rPr>
        <w:t xml:space="preserve"> rapport </w:t>
      </w:r>
      <w:r w:rsidR="00603CB3">
        <w:rPr>
          <w:rFonts w:eastAsia="Rockwell" w:cs="Rockwell"/>
          <w:sz w:val="20"/>
          <w:szCs w:val="20"/>
        </w:rPr>
        <w:t xml:space="preserve">annuel </w:t>
      </w:r>
      <w:r w:rsidRPr="008D20C6">
        <w:rPr>
          <w:rFonts w:eastAsia="Rockwell" w:cs="Rockwell"/>
          <w:sz w:val="20"/>
          <w:szCs w:val="20"/>
        </w:rPr>
        <w:t>de performance 2023 du CSD-</w:t>
      </w:r>
      <w:r>
        <w:rPr>
          <w:rFonts w:eastAsia="Rockwell" w:cs="Rockwell"/>
          <w:sz w:val="20"/>
          <w:szCs w:val="20"/>
        </w:rPr>
        <w:t>TIA</w:t>
      </w:r>
      <w:r w:rsidRPr="008D20C6">
        <w:rPr>
          <w:rFonts w:eastAsia="Rockwell" w:cs="Rockwell"/>
          <w:sz w:val="20"/>
          <w:szCs w:val="20"/>
        </w:rPr>
        <w:t>, février 2024</w:t>
      </w:r>
    </w:p>
    <w:p w14:paraId="659B3414" w14:textId="416D931F"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lastRenderedPageBreak/>
        <w:t>Au 31 décembre 2023, sur neuf (09) indicateurs de produits, cinq ont atteint et/ou dépassé leur cible. Les avancées concernent : (i) l’organisation de quatre événements de promotion des investissements ; (ii) le prélèvement et l’analyse de 9 338 échantillons dans le cadre du renforcement de l’infrastructure nationale qualité</w:t>
      </w:r>
      <w:r w:rsidRPr="00730E02" w:rsidDel="00A1396E">
        <w:rPr>
          <w:rFonts w:eastAsia="Calibri"/>
          <w:szCs w:val="24"/>
        </w:rPr>
        <w:t xml:space="preserve"> </w:t>
      </w:r>
      <w:r w:rsidRPr="00730E02">
        <w:rPr>
          <w:rFonts w:eastAsia="Calibri"/>
          <w:szCs w:val="24"/>
        </w:rPr>
        <w:t xml:space="preserve"> ; (iii) l’étalonnage et la vérification de 8 921 instruments ; (iv) l’exploitation de deux labels du territoire </w:t>
      </w:r>
      <w:r w:rsidR="00781AED">
        <w:rPr>
          <w:rFonts w:eastAsia="Calibri"/>
          <w:szCs w:val="24"/>
        </w:rPr>
        <w:t>b</w:t>
      </w:r>
      <w:r w:rsidRPr="00730E02">
        <w:rPr>
          <w:rFonts w:eastAsia="Calibri"/>
          <w:szCs w:val="24"/>
        </w:rPr>
        <w:t>urkinab</w:t>
      </w:r>
      <w:r w:rsidR="00781AED">
        <w:rPr>
          <w:rFonts w:eastAsia="Calibri"/>
          <w:szCs w:val="24"/>
        </w:rPr>
        <w:t>è</w:t>
      </w:r>
      <w:r w:rsidRPr="00730E02">
        <w:rPr>
          <w:rFonts w:eastAsia="Calibri"/>
          <w:szCs w:val="24"/>
        </w:rPr>
        <w:t> ; (v) la disponibilité d’un rapport recensant les réformes sur les conditions de délivrance des licences d’affaires proposées</w:t>
      </w:r>
      <w:r w:rsidRPr="00730E02" w:rsidDel="00A1396E">
        <w:rPr>
          <w:rFonts w:eastAsia="Calibri"/>
          <w:szCs w:val="24"/>
        </w:rPr>
        <w:t xml:space="preserve"> </w:t>
      </w:r>
      <w:r w:rsidRPr="00730E02">
        <w:rPr>
          <w:rFonts w:eastAsia="Calibri"/>
          <w:szCs w:val="24"/>
        </w:rPr>
        <w:t> ; (vi) l’octroi de 68 certificats NBF dans le cadre du renforcement de l’infrastructure nationale qualité</w:t>
      </w:r>
      <w:r w:rsidRPr="00730E02" w:rsidDel="00A1396E">
        <w:rPr>
          <w:rFonts w:eastAsia="Calibri"/>
          <w:szCs w:val="24"/>
        </w:rPr>
        <w:t xml:space="preserve"> </w:t>
      </w:r>
      <w:r w:rsidRPr="00730E02">
        <w:rPr>
          <w:rFonts w:eastAsia="Calibri"/>
          <w:szCs w:val="24"/>
        </w:rPr>
        <w:t xml:space="preserve">. Ces performances sont imputables à une meilleure coordination des actions de l’ABNORM et à la disponibilité d’un avant-projet de code de bonnes pratiques pré-validé. Pour la labellisation du miel, le processus est en cours. </w:t>
      </w:r>
    </w:p>
    <w:p w14:paraId="0E29C546" w14:textId="11D62B54"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Pour ce qui concerne les réalisations financières de ces produits, elles se chiffrent à 471 160 000 FCFA pour une enveloppe prévisionnelle de 822 000 000 FCFA</w:t>
      </w:r>
      <w:r w:rsidR="00781AED">
        <w:rPr>
          <w:rFonts w:eastAsia="Calibri"/>
          <w:szCs w:val="24"/>
        </w:rPr>
        <w:t>,</w:t>
      </w:r>
      <w:r w:rsidRPr="00730E02">
        <w:rPr>
          <w:rFonts w:eastAsia="Calibri"/>
          <w:szCs w:val="24"/>
        </w:rPr>
        <w:t xml:space="preserve"> soit un taux d’exécution de 57,32%</w:t>
      </w:r>
      <w:r w:rsidR="00781AED">
        <w:rPr>
          <w:rFonts w:eastAsia="Calibri"/>
          <w:szCs w:val="24"/>
        </w:rPr>
        <w:t>.</w:t>
      </w:r>
    </w:p>
    <w:p w14:paraId="7381D862" w14:textId="77777777"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La quatrième action porte sur </w:t>
      </w:r>
      <w:r w:rsidRPr="00CA6AFC">
        <w:rPr>
          <w:rFonts w:eastAsia="Calibri"/>
          <w:b/>
          <w:szCs w:val="24"/>
        </w:rPr>
        <w:t>l’informatisation du cadastre foncier national et la détermination d'une autorité unique de rattachement (03025)</w:t>
      </w:r>
      <w:r w:rsidRPr="00730E02">
        <w:rPr>
          <w:rFonts w:eastAsia="Calibri"/>
          <w:szCs w:val="24"/>
        </w:rPr>
        <w:t xml:space="preserve">. Au 31 décembre 2023, le niveau de déploiement de </w:t>
      </w:r>
      <w:proofErr w:type="spellStart"/>
      <w:r w:rsidRPr="00730E02">
        <w:rPr>
          <w:rFonts w:eastAsia="Calibri"/>
          <w:szCs w:val="24"/>
        </w:rPr>
        <w:t>eCadastre</w:t>
      </w:r>
      <w:proofErr w:type="spellEnd"/>
      <w:r w:rsidRPr="00730E02">
        <w:rPr>
          <w:rFonts w:eastAsia="Calibri"/>
          <w:szCs w:val="24"/>
        </w:rPr>
        <w:t xml:space="preserve"> est de 100 %. </w:t>
      </w:r>
    </w:p>
    <w:p w14:paraId="417A2B61" w14:textId="028DEA7D" w:rsidR="00730E02" w:rsidRPr="00CA6AFC" w:rsidRDefault="00730E02" w:rsidP="003F0E87">
      <w:pPr>
        <w:numPr>
          <w:ilvl w:val="0"/>
          <w:numId w:val="8"/>
        </w:numPr>
        <w:shd w:val="clear" w:color="auto" w:fill="FFFFFF"/>
        <w:spacing w:before="120" w:after="120" w:line="240" w:lineRule="auto"/>
        <w:ind w:left="0"/>
        <w:rPr>
          <w:rFonts w:eastAsia="Calibri"/>
          <w:szCs w:val="24"/>
        </w:rPr>
      </w:pPr>
      <w:r w:rsidRPr="00CA6AFC">
        <w:rPr>
          <w:rFonts w:eastAsia="Calibri"/>
          <w:szCs w:val="24"/>
        </w:rPr>
        <w:t>Au 31 décembre 2023, des cinq (05) produits attendus, trois (03) ont atteint leur cible.</w:t>
      </w:r>
      <w:r w:rsidR="00CA6AFC" w:rsidRPr="00CA6AFC">
        <w:rPr>
          <w:rFonts w:eastAsia="Calibri"/>
          <w:szCs w:val="24"/>
        </w:rPr>
        <w:t xml:space="preserve"> </w:t>
      </w:r>
      <w:r w:rsidRPr="00CA6AFC">
        <w:rPr>
          <w:rFonts w:eastAsia="Calibri"/>
          <w:szCs w:val="24"/>
        </w:rPr>
        <w:t xml:space="preserve">Les acquis concernent : (i) la numérisation </w:t>
      </w:r>
      <w:r w:rsidR="00781AED">
        <w:rPr>
          <w:rFonts w:eastAsia="Calibri"/>
          <w:szCs w:val="24"/>
        </w:rPr>
        <w:t xml:space="preserve">de </w:t>
      </w:r>
      <w:r w:rsidRPr="00CA6AFC">
        <w:rPr>
          <w:rFonts w:eastAsia="Calibri"/>
          <w:szCs w:val="24"/>
        </w:rPr>
        <w:t>848 903 références cadastrales sur une cible de 500 00</w:t>
      </w:r>
      <w:r w:rsidR="00781AED">
        <w:rPr>
          <w:rFonts w:eastAsia="Calibri"/>
          <w:szCs w:val="24"/>
        </w:rPr>
        <w:t>0</w:t>
      </w:r>
      <w:r w:rsidRPr="00CA6AFC">
        <w:rPr>
          <w:rFonts w:eastAsia="Calibri"/>
          <w:szCs w:val="24"/>
        </w:rPr>
        <w:t xml:space="preserve"> ; (ii) l’identification </w:t>
      </w:r>
      <w:r w:rsidR="00781AED">
        <w:rPr>
          <w:rFonts w:eastAsia="Calibri"/>
          <w:szCs w:val="24"/>
        </w:rPr>
        <w:t xml:space="preserve">de </w:t>
      </w:r>
      <w:r w:rsidRPr="00CA6AFC">
        <w:rPr>
          <w:rFonts w:eastAsia="Calibri"/>
          <w:szCs w:val="24"/>
        </w:rPr>
        <w:t>277</w:t>
      </w:r>
      <w:r w:rsidR="00781AED" w:rsidRPr="00B17BCE">
        <w:rPr>
          <w:rFonts w:eastAsia="Calibri"/>
          <w:szCs w:val="24"/>
        </w:rPr>
        <w:t> </w:t>
      </w:r>
      <w:r w:rsidRPr="00CA6AFC">
        <w:rPr>
          <w:rFonts w:eastAsia="Calibri"/>
          <w:szCs w:val="24"/>
        </w:rPr>
        <w:t xml:space="preserve">875 propriétaires de parcelles dans </w:t>
      </w:r>
      <w:proofErr w:type="spellStart"/>
      <w:r w:rsidRPr="00CA6AFC">
        <w:rPr>
          <w:rFonts w:eastAsia="Calibri"/>
          <w:szCs w:val="24"/>
        </w:rPr>
        <w:t>ecadastre</w:t>
      </w:r>
      <w:proofErr w:type="spellEnd"/>
      <w:r w:rsidRPr="00CA6AFC">
        <w:rPr>
          <w:rFonts w:eastAsia="Calibri"/>
          <w:szCs w:val="24"/>
        </w:rPr>
        <w:t>, (iii) le déploiement de la plateforme e-cadastre sur tous les serveurs de la DGI et (iv) la disponibilité de la base de données du cadastre foncier national et (v) la mobilisation et numérisation de tous les plans d’aménagement.</w:t>
      </w:r>
    </w:p>
    <w:p w14:paraId="06DF01B5" w14:textId="3615E2BB" w:rsidR="00730E02" w:rsidRPr="00F175A7" w:rsidRDefault="00F6146B" w:rsidP="00730E02">
      <w:pPr>
        <w:pBdr>
          <w:top w:val="nil"/>
          <w:left w:val="nil"/>
          <w:bottom w:val="nil"/>
          <w:right w:val="nil"/>
          <w:between w:val="nil"/>
        </w:pBdr>
        <w:spacing w:after="200" w:line="240" w:lineRule="auto"/>
        <w:rPr>
          <w:rFonts w:cs="Merriweather"/>
          <w:b/>
          <w:sz w:val="22"/>
        </w:rPr>
      </w:pPr>
      <w:bookmarkStart w:id="90" w:name="_Toc164503623"/>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36</w:t>
      </w:r>
      <w:r w:rsidRPr="00B51145">
        <w:rPr>
          <w:b/>
          <w:bCs/>
          <w:sz w:val="22"/>
          <w:u w:val="single"/>
        </w:rPr>
        <w:fldChar w:fldCharType="end"/>
      </w:r>
      <w:r w:rsidR="00730E02" w:rsidRPr="008D20C6">
        <w:rPr>
          <w:rFonts w:cs="Merriweather"/>
          <w:color w:val="44546A"/>
          <w:sz w:val="22"/>
        </w:rPr>
        <w:t xml:space="preserve">: </w:t>
      </w:r>
      <w:r w:rsidR="00730E02" w:rsidRPr="00F175A7">
        <w:rPr>
          <w:rFonts w:cs="Merriweather"/>
          <w:sz w:val="22"/>
        </w:rPr>
        <w:t>situation des indicateurs de produits de l’action « informatisation du cadastre foncier national et détermination d'une autorité unique de rattachement »</w:t>
      </w:r>
      <w:bookmarkEnd w:id="90"/>
    </w:p>
    <w:tbl>
      <w:tblPr>
        <w:tblStyle w:val="GridTable4-Accent111"/>
        <w:tblW w:w="5000" w:type="pct"/>
        <w:tblLayout w:type="fixed"/>
        <w:tblLook w:val="04A0" w:firstRow="1" w:lastRow="0" w:firstColumn="1" w:lastColumn="0" w:noHBand="0" w:noVBand="1"/>
      </w:tblPr>
      <w:tblGrid>
        <w:gridCol w:w="5035"/>
        <w:gridCol w:w="1260"/>
        <w:gridCol w:w="1351"/>
        <w:gridCol w:w="1370"/>
      </w:tblGrid>
      <w:tr w:rsidR="00730E02" w:rsidRPr="004C63B2" w14:paraId="12F042FE"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2" w:type="pct"/>
            <w:shd w:val="clear" w:color="auto" w:fill="4472C4" w:themeFill="accent1"/>
          </w:tcPr>
          <w:p w14:paraId="34512B96" w14:textId="184E0387" w:rsidR="00730E02" w:rsidRPr="004C63B2" w:rsidRDefault="00730E02" w:rsidP="00F175A7">
            <w:pPr>
              <w:spacing w:after="0" w:line="240" w:lineRule="auto"/>
              <w:rPr>
                <w:sz w:val="22"/>
              </w:rPr>
            </w:pPr>
            <w:r w:rsidRPr="004C63B2">
              <w:rPr>
                <w:sz w:val="22"/>
              </w:rPr>
              <w:t xml:space="preserve">Indicateurs </w:t>
            </w:r>
          </w:p>
        </w:tc>
        <w:tc>
          <w:tcPr>
            <w:tcW w:w="699" w:type="pct"/>
            <w:shd w:val="clear" w:color="auto" w:fill="4472C4" w:themeFill="accent1"/>
          </w:tcPr>
          <w:p w14:paraId="2901E120" w14:textId="77777777" w:rsidR="00730E02" w:rsidRPr="004C63B2"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749" w:type="pct"/>
            <w:shd w:val="clear" w:color="auto" w:fill="4472C4" w:themeFill="accent1"/>
          </w:tcPr>
          <w:p w14:paraId="482654FA" w14:textId="77777777" w:rsidR="00730E02" w:rsidRPr="004C63B2"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760" w:type="pct"/>
            <w:shd w:val="clear" w:color="auto" w:fill="4472C4" w:themeFill="accent1"/>
          </w:tcPr>
          <w:p w14:paraId="0196D82F" w14:textId="77777777" w:rsidR="00730E02" w:rsidRPr="004C63B2"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5B359223" w14:textId="77777777" w:rsidTr="00730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2" w:type="pct"/>
          </w:tcPr>
          <w:p w14:paraId="2646BB6E" w14:textId="77777777" w:rsidR="00730E02" w:rsidRPr="004C63B2" w:rsidRDefault="00730E02" w:rsidP="00F175A7">
            <w:pPr>
              <w:spacing w:after="0" w:line="240" w:lineRule="auto"/>
              <w:rPr>
                <w:sz w:val="22"/>
              </w:rPr>
            </w:pPr>
            <w:r w:rsidRPr="004C63B2">
              <w:rPr>
                <w:sz w:val="22"/>
              </w:rPr>
              <w:t xml:space="preserve">Nombre de références cadastrales numérisées dans </w:t>
            </w:r>
            <w:proofErr w:type="spellStart"/>
            <w:r w:rsidRPr="004C63B2">
              <w:rPr>
                <w:sz w:val="22"/>
              </w:rPr>
              <w:t>eCadastre</w:t>
            </w:r>
            <w:proofErr w:type="spellEnd"/>
          </w:p>
        </w:tc>
        <w:tc>
          <w:tcPr>
            <w:tcW w:w="699" w:type="pct"/>
          </w:tcPr>
          <w:p w14:paraId="02912FF0"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434 274</w:t>
            </w:r>
          </w:p>
        </w:tc>
        <w:tc>
          <w:tcPr>
            <w:tcW w:w="749" w:type="pct"/>
          </w:tcPr>
          <w:p w14:paraId="16E8B22A"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 xml:space="preserve">848 903 </w:t>
            </w:r>
          </w:p>
        </w:tc>
        <w:tc>
          <w:tcPr>
            <w:tcW w:w="760" w:type="pct"/>
          </w:tcPr>
          <w:p w14:paraId="7807B848"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500 000</w:t>
            </w:r>
          </w:p>
        </w:tc>
      </w:tr>
      <w:tr w:rsidR="00730E02" w:rsidRPr="004C63B2" w14:paraId="373C81FD" w14:textId="77777777" w:rsidTr="00730E02">
        <w:trPr>
          <w:trHeight w:val="20"/>
        </w:trPr>
        <w:tc>
          <w:tcPr>
            <w:cnfStyle w:val="001000000000" w:firstRow="0" w:lastRow="0" w:firstColumn="1" w:lastColumn="0" w:oddVBand="0" w:evenVBand="0" w:oddHBand="0" w:evenHBand="0" w:firstRowFirstColumn="0" w:firstRowLastColumn="0" w:lastRowFirstColumn="0" w:lastRowLastColumn="0"/>
            <w:tcW w:w="2792" w:type="pct"/>
          </w:tcPr>
          <w:p w14:paraId="31342135" w14:textId="77777777" w:rsidR="00730E02" w:rsidRPr="004C63B2" w:rsidRDefault="00730E02" w:rsidP="00F175A7">
            <w:pPr>
              <w:spacing w:after="0" w:line="240" w:lineRule="auto"/>
              <w:rPr>
                <w:sz w:val="22"/>
              </w:rPr>
            </w:pPr>
            <w:r w:rsidRPr="004C63B2">
              <w:rPr>
                <w:sz w:val="22"/>
              </w:rPr>
              <w:t xml:space="preserve">Nombre de propriétaires de parcelles identifiés dans </w:t>
            </w:r>
            <w:proofErr w:type="spellStart"/>
            <w:r w:rsidRPr="004C63B2">
              <w:rPr>
                <w:sz w:val="22"/>
              </w:rPr>
              <w:t>eCadastre</w:t>
            </w:r>
            <w:proofErr w:type="spellEnd"/>
          </w:p>
        </w:tc>
        <w:tc>
          <w:tcPr>
            <w:tcW w:w="699" w:type="pct"/>
          </w:tcPr>
          <w:p w14:paraId="37EAB596"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98 729</w:t>
            </w:r>
          </w:p>
        </w:tc>
        <w:tc>
          <w:tcPr>
            <w:tcW w:w="749" w:type="pct"/>
          </w:tcPr>
          <w:p w14:paraId="42451256"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rFonts w:eastAsia="Times New Roman" w:cs="Times New Roman"/>
                <w:sz w:val="22"/>
              </w:rPr>
              <w:t xml:space="preserve">277 875 </w:t>
            </w:r>
          </w:p>
        </w:tc>
        <w:tc>
          <w:tcPr>
            <w:tcW w:w="760" w:type="pct"/>
          </w:tcPr>
          <w:p w14:paraId="6EDD34B9"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150 000</w:t>
            </w:r>
          </w:p>
        </w:tc>
      </w:tr>
      <w:tr w:rsidR="00730E02" w:rsidRPr="004C63B2" w14:paraId="2EDDFAD3" w14:textId="77777777" w:rsidTr="00730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2" w:type="pct"/>
          </w:tcPr>
          <w:p w14:paraId="2753863A" w14:textId="77777777" w:rsidR="00730E02" w:rsidRPr="004C63B2" w:rsidRDefault="00730E02" w:rsidP="00F175A7">
            <w:pPr>
              <w:spacing w:after="0" w:line="240" w:lineRule="auto"/>
              <w:rPr>
                <w:sz w:val="22"/>
              </w:rPr>
            </w:pPr>
            <w:r w:rsidRPr="004C63B2">
              <w:rPr>
                <w:sz w:val="22"/>
              </w:rPr>
              <w:t xml:space="preserve">Nombre de parcelles évaluées dans </w:t>
            </w:r>
            <w:proofErr w:type="spellStart"/>
            <w:r w:rsidRPr="004C63B2">
              <w:rPr>
                <w:sz w:val="22"/>
              </w:rPr>
              <w:t>eCadastre</w:t>
            </w:r>
            <w:proofErr w:type="spellEnd"/>
          </w:p>
        </w:tc>
        <w:tc>
          <w:tcPr>
            <w:tcW w:w="699" w:type="pct"/>
          </w:tcPr>
          <w:p w14:paraId="4A512534"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749" w:type="pct"/>
          </w:tcPr>
          <w:p w14:paraId="260D1655"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rFonts w:eastAsia="Times New Roman" w:cs="Times New Roman"/>
                <w:sz w:val="22"/>
              </w:rPr>
              <w:t xml:space="preserve">17 327 </w:t>
            </w:r>
          </w:p>
        </w:tc>
        <w:tc>
          <w:tcPr>
            <w:tcW w:w="760" w:type="pct"/>
          </w:tcPr>
          <w:p w14:paraId="5F1E7792"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150 000</w:t>
            </w:r>
          </w:p>
        </w:tc>
      </w:tr>
      <w:tr w:rsidR="00730E02" w:rsidRPr="004C63B2" w14:paraId="2BB51222" w14:textId="77777777" w:rsidTr="00730E02">
        <w:trPr>
          <w:trHeight w:val="20"/>
        </w:trPr>
        <w:tc>
          <w:tcPr>
            <w:cnfStyle w:val="001000000000" w:firstRow="0" w:lastRow="0" w:firstColumn="1" w:lastColumn="0" w:oddVBand="0" w:evenVBand="0" w:oddHBand="0" w:evenHBand="0" w:firstRowFirstColumn="0" w:firstRowLastColumn="0" w:lastRowFirstColumn="0" w:lastRowLastColumn="0"/>
            <w:tcW w:w="2792" w:type="pct"/>
          </w:tcPr>
          <w:p w14:paraId="14EC41E1" w14:textId="77777777" w:rsidR="00730E02" w:rsidRPr="004C63B2" w:rsidRDefault="00730E02" w:rsidP="00F175A7">
            <w:pPr>
              <w:spacing w:after="0" w:line="240" w:lineRule="auto"/>
              <w:rPr>
                <w:sz w:val="22"/>
              </w:rPr>
            </w:pPr>
            <w:r w:rsidRPr="004C63B2">
              <w:rPr>
                <w:sz w:val="22"/>
              </w:rPr>
              <w:t xml:space="preserve">Nombre de rapports sur le processus de la refonte globale des textes régissant le foncier au Burkina Faso </w:t>
            </w:r>
          </w:p>
        </w:tc>
        <w:tc>
          <w:tcPr>
            <w:tcW w:w="699" w:type="pct"/>
          </w:tcPr>
          <w:p w14:paraId="46A80451"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749" w:type="pct"/>
          </w:tcPr>
          <w:p w14:paraId="36BA7E61"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760" w:type="pct"/>
          </w:tcPr>
          <w:p w14:paraId="2B8F18BF"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r>
      <w:tr w:rsidR="00730E02" w:rsidRPr="004C63B2" w14:paraId="35E6A987" w14:textId="77777777" w:rsidTr="00730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2" w:type="pct"/>
          </w:tcPr>
          <w:p w14:paraId="5C856569" w14:textId="77777777" w:rsidR="00730E02" w:rsidRPr="004C63B2" w:rsidRDefault="00730E02" w:rsidP="00F175A7">
            <w:pPr>
              <w:spacing w:after="0" w:line="240" w:lineRule="auto"/>
              <w:rPr>
                <w:sz w:val="22"/>
              </w:rPr>
            </w:pPr>
            <w:r w:rsidRPr="004C63B2">
              <w:rPr>
                <w:sz w:val="22"/>
              </w:rPr>
              <w:t>Niveau de déploiement de la plateforme e-cadastre</w:t>
            </w:r>
          </w:p>
        </w:tc>
        <w:tc>
          <w:tcPr>
            <w:tcW w:w="699" w:type="pct"/>
          </w:tcPr>
          <w:p w14:paraId="04905CCB"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75%</w:t>
            </w:r>
          </w:p>
        </w:tc>
        <w:tc>
          <w:tcPr>
            <w:tcW w:w="749" w:type="pct"/>
          </w:tcPr>
          <w:p w14:paraId="31447D96"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100%</w:t>
            </w:r>
          </w:p>
        </w:tc>
        <w:tc>
          <w:tcPr>
            <w:tcW w:w="760" w:type="pct"/>
          </w:tcPr>
          <w:p w14:paraId="2B92B2EB"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100%</w:t>
            </w:r>
          </w:p>
        </w:tc>
      </w:tr>
      <w:tr w:rsidR="00730E02" w:rsidRPr="004C63B2" w14:paraId="5A27A9F7" w14:textId="77777777" w:rsidTr="00730E02">
        <w:trPr>
          <w:trHeight w:val="20"/>
        </w:trPr>
        <w:tc>
          <w:tcPr>
            <w:cnfStyle w:val="001000000000" w:firstRow="0" w:lastRow="0" w:firstColumn="1" w:lastColumn="0" w:oddVBand="0" w:evenVBand="0" w:oddHBand="0" w:evenHBand="0" w:firstRowFirstColumn="0" w:firstRowLastColumn="0" w:lastRowFirstColumn="0" w:lastRowLastColumn="0"/>
            <w:tcW w:w="2792" w:type="pct"/>
          </w:tcPr>
          <w:p w14:paraId="6D0276CF" w14:textId="77777777" w:rsidR="00730E02" w:rsidRPr="004C63B2" w:rsidRDefault="00730E02" w:rsidP="00F175A7">
            <w:pPr>
              <w:spacing w:after="0" w:line="240" w:lineRule="auto"/>
              <w:rPr>
                <w:sz w:val="22"/>
              </w:rPr>
            </w:pPr>
            <w:r w:rsidRPr="004C63B2">
              <w:rPr>
                <w:sz w:val="22"/>
              </w:rPr>
              <w:t>Disponibilité d’une base de données du cadastre foncier national</w:t>
            </w:r>
          </w:p>
        </w:tc>
        <w:tc>
          <w:tcPr>
            <w:tcW w:w="699" w:type="pct"/>
          </w:tcPr>
          <w:p w14:paraId="1294CA14"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749" w:type="pct"/>
          </w:tcPr>
          <w:p w14:paraId="711923E0"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c>
          <w:tcPr>
            <w:tcW w:w="760" w:type="pct"/>
          </w:tcPr>
          <w:p w14:paraId="6C823492"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r>
      <w:tr w:rsidR="00730E02" w:rsidRPr="004C63B2" w14:paraId="6C64CCD3" w14:textId="77777777" w:rsidTr="00730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2" w:type="pct"/>
          </w:tcPr>
          <w:p w14:paraId="3EB05C58" w14:textId="77777777" w:rsidR="00730E02" w:rsidRPr="004C63B2" w:rsidRDefault="00730E02" w:rsidP="00F175A7">
            <w:pPr>
              <w:spacing w:after="0" w:line="240" w:lineRule="auto"/>
              <w:rPr>
                <w:sz w:val="22"/>
              </w:rPr>
            </w:pPr>
            <w:r w:rsidRPr="004C63B2">
              <w:rPr>
                <w:sz w:val="22"/>
              </w:rPr>
              <w:t>Niveau de mobilisation et de numérisation des plans</w:t>
            </w:r>
          </w:p>
        </w:tc>
        <w:tc>
          <w:tcPr>
            <w:tcW w:w="699" w:type="pct"/>
          </w:tcPr>
          <w:p w14:paraId="0ED3803A"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749" w:type="pct"/>
          </w:tcPr>
          <w:p w14:paraId="62EAE5E5"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100</w:t>
            </w:r>
          </w:p>
        </w:tc>
        <w:tc>
          <w:tcPr>
            <w:tcW w:w="760" w:type="pct"/>
          </w:tcPr>
          <w:p w14:paraId="68825E34"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100</w:t>
            </w:r>
          </w:p>
        </w:tc>
      </w:tr>
    </w:tbl>
    <w:p w14:paraId="7212B5FB" w14:textId="1A19D481" w:rsidR="00730E02" w:rsidRPr="00E31E23" w:rsidRDefault="00730E02" w:rsidP="00730E02">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 2023 du CSD-GE, février 2024</w:t>
      </w:r>
    </w:p>
    <w:p w14:paraId="52DC5DC9" w14:textId="68A0FBB7"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De manière globale, les ressources utilisé</w:t>
      </w:r>
      <w:r w:rsidR="00AD0AB6">
        <w:rPr>
          <w:rFonts w:eastAsia="Calibri"/>
          <w:szCs w:val="24"/>
        </w:rPr>
        <w:t>e</w:t>
      </w:r>
      <w:r w:rsidRPr="00730E02">
        <w:rPr>
          <w:rFonts w:eastAsia="Calibri"/>
          <w:szCs w:val="24"/>
        </w:rPr>
        <w:t xml:space="preserve">s pour mettre en œuvre l’action 03025 sont de 36 124 896 FCFA sur une prévision de 330 000 000 FCFA, soit un taux d’exécution de 10,95%. Ce résultat s’explique par la prise en compte dans la prévision globale des montants </w:t>
      </w:r>
      <w:r w:rsidRPr="00730E02">
        <w:rPr>
          <w:rFonts w:eastAsia="Calibri"/>
          <w:szCs w:val="24"/>
        </w:rPr>
        <w:lastRenderedPageBreak/>
        <w:t>prévisionnels des travaux additionnels liés à l’extension de la base en vue de faciliter la jonction avec l’Observatoire urbain national.</w:t>
      </w:r>
    </w:p>
    <w:p w14:paraId="6B06CEBE" w14:textId="77777777"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La cinquième action est relative </w:t>
      </w:r>
      <w:r w:rsidRPr="008139E1">
        <w:rPr>
          <w:rFonts w:eastAsia="Calibri"/>
          <w:b/>
          <w:szCs w:val="24"/>
        </w:rPr>
        <w:t>à l’informatisation du système des marchés publics et de la comptabilité matière (03026)</w:t>
      </w:r>
      <w:r w:rsidRPr="00730E02">
        <w:rPr>
          <w:rFonts w:eastAsia="Calibri"/>
          <w:szCs w:val="24"/>
        </w:rPr>
        <w:t xml:space="preserve">. La cible de l’action pour l’année 2023 est de porter à trois (3) le nombre d’autorités contractantes où l’e-GP est déployé et à 100% la proportion des structures de l’Etat et de ses démembrements où le SIGCM est déployé. </w:t>
      </w:r>
    </w:p>
    <w:p w14:paraId="7F365059" w14:textId="77777777"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Au 31 décembre, le déploiement de e-GP n’est pas encore effectif car les travaux d’adaptation ne sont pas encore réalisés. Concernant le SIGCM, il est déployé auprès de 57,06% des structures de l’Etat et de ses démembrements pour une cible annuelle de 100%. </w:t>
      </w:r>
    </w:p>
    <w:p w14:paraId="61B553F3" w14:textId="24F85682"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Les niveaux de la réalisation des trois (03) produits programmés sont consignés dans le tableau ci-après. Tous les trois (03) indicateurs de produit</w:t>
      </w:r>
      <w:r w:rsidR="0035089E">
        <w:rPr>
          <w:rFonts w:eastAsia="Calibri"/>
          <w:szCs w:val="24"/>
        </w:rPr>
        <w:t>s</w:t>
      </w:r>
      <w:r w:rsidRPr="00730E02">
        <w:rPr>
          <w:rFonts w:eastAsia="Calibri"/>
          <w:szCs w:val="24"/>
        </w:rPr>
        <w:t xml:space="preserve"> ont atteint leur cible en fin 2023.</w:t>
      </w:r>
    </w:p>
    <w:p w14:paraId="04628798" w14:textId="19697E13" w:rsidR="00730E02" w:rsidRPr="00730E02" w:rsidRDefault="00730E02" w:rsidP="00F175A7">
      <w:pPr>
        <w:numPr>
          <w:ilvl w:val="0"/>
          <w:numId w:val="8"/>
        </w:numPr>
        <w:shd w:val="clear" w:color="auto" w:fill="FFFFFF"/>
        <w:spacing w:before="120" w:after="120" w:line="240" w:lineRule="auto"/>
        <w:ind w:left="0"/>
        <w:rPr>
          <w:rFonts w:eastAsia="Calibri"/>
          <w:szCs w:val="24"/>
        </w:rPr>
      </w:pPr>
      <w:r w:rsidRPr="00730E02">
        <w:rPr>
          <w:rFonts w:eastAsia="Calibri"/>
          <w:szCs w:val="24"/>
        </w:rPr>
        <w:t xml:space="preserve">Les avancées sont entre autres : (i) le démarrage des travaux de conception de la plateforme de gestion des marchés publics ; (ii) l’élaboration du compte central des matières de l’Etat et (iii) le déploiement du SIGCM dans 33 EPE et 20 Collectivités </w:t>
      </w:r>
      <w:r w:rsidR="0035089E">
        <w:rPr>
          <w:rFonts w:eastAsia="Calibri"/>
          <w:szCs w:val="24"/>
        </w:rPr>
        <w:t>t</w:t>
      </w:r>
      <w:r w:rsidRPr="00730E02">
        <w:rPr>
          <w:rFonts w:eastAsia="Calibri"/>
          <w:szCs w:val="24"/>
        </w:rPr>
        <w:t>erritoriales.</w:t>
      </w:r>
    </w:p>
    <w:p w14:paraId="52F87E6D" w14:textId="737B6349" w:rsidR="00730E02" w:rsidRPr="00F175A7" w:rsidRDefault="001732F8" w:rsidP="004C63B2">
      <w:pPr>
        <w:keepNext/>
        <w:keepLines/>
        <w:pBdr>
          <w:top w:val="nil"/>
          <w:left w:val="nil"/>
          <w:bottom w:val="nil"/>
          <w:right w:val="nil"/>
          <w:between w:val="nil"/>
        </w:pBdr>
        <w:spacing w:after="200" w:line="240" w:lineRule="auto"/>
        <w:rPr>
          <w:rFonts w:cs="Merriweather"/>
          <w:sz w:val="22"/>
        </w:rPr>
      </w:pPr>
      <w:bookmarkStart w:id="91" w:name="_Toc164503624"/>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37</w:t>
      </w:r>
      <w:r w:rsidRPr="00B51145">
        <w:rPr>
          <w:b/>
          <w:bCs/>
          <w:sz w:val="22"/>
          <w:u w:val="single"/>
        </w:rPr>
        <w:fldChar w:fldCharType="end"/>
      </w:r>
      <w:r w:rsidR="00730E02" w:rsidRPr="008D20C6">
        <w:rPr>
          <w:rFonts w:cs="Merriweather"/>
          <w:color w:val="44546A"/>
          <w:sz w:val="22"/>
        </w:rPr>
        <w:t xml:space="preserve">: </w:t>
      </w:r>
      <w:r w:rsidR="00730E02" w:rsidRPr="00F175A7">
        <w:rPr>
          <w:rFonts w:cs="Merriweather"/>
          <w:sz w:val="22"/>
        </w:rPr>
        <w:t>situation des indicateurs de produits de l’action « informatisation du système des marchés publics et de la comptabilité matière »</w:t>
      </w:r>
      <w:bookmarkEnd w:id="91"/>
      <w:r w:rsidR="00730E02" w:rsidRPr="00F175A7">
        <w:rPr>
          <w:rFonts w:cs="Merriweather"/>
          <w:sz w:val="22"/>
        </w:rPr>
        <w:t xml:space="preserve"> </w:t>
      </w:r>
    </w:p>
    <w:tbl>
      <w:tblPr>
        <w:tblStyle w:val="GridTable4-Accent111"/>
        <w:tblW w:w="5000" w:type="pct"/>
        <w:tblLayout w:type="fixed"/>
        <w:tblLook w:val="04A0" w:firstRow="1" w:lastRow="0" w:firstColumn="1" w:lastColumn="0" w:noHBand="0" w:noVBand="1"/>
      </w:tblPr>
      <w:tblGrid>
        <w:gridCol w:w="4844"/>
        <w:gridCol w:w="1233"/>
        <w:gridCol w:w="1693"/>
        <w:gridCol w:w="1246"/>
      </w:tblGrid>
      <w:tr w:rsidR="00730E02" w:rsidRPr="004C63B2" w14:paraId="51DB18DE" w14:textId="77777777" w:rsidTr="00F175A7">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6" w:type="pct"/>
            <w:shd w:val="clear" w:color="auto" w:fill="4472C4" w:themeFill="accent1"/>
          </w:tcPr>
          <w:p w14:paraId="2216FBE2" w14:textId="4352D774" w:rsidR="00730E02" w:rsidRPr="004C63B2" w:rsidRDefault="00730E02" w:rsidP="00F175A7">
            <w:pPr>
              <w:keepNext/>
              <w:keepLines/>
              <w:spacing w:after="0" w:line="240" w:lineRule="auto"/>
              <w:rPr>
                <w:sz w:val="22"/>
              </w:rPr>
            </w:pPr>
            <w:r w:rsidRPr="004C63B2">
              <w:rPr>
                <w:sz w:val="22"/>
              </w:rPr>
              <w:t xml:space="preserve">Indicateurs </w:t>
            </w:r>
          </w:p>
        </w:tc>
        <w:tc>
          <w:tcPr>
            <w:tcW w:w="684" w:type="pct"/>
            <w:shd w:val="clear" w:color="auto" w:fill="4472C4" w:themeFill="accent1"/>
          </w:tcPr>
          <w:p w14:paraId="66C9D03C"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939" w:type="pct"/>
            <w:shd w:val="clear" w:color="auto" w:fill="4472C4" w:themeFill="accent1"/>
          </w:tcPr>
          <w:p w14:paraId="67468468"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691" w:type="pct"/>
            <w:shd w:val="clear" w:color="auto" w:fill="4472C4" w:themeFill="accent1"/>
          </w:tcPr>
          <w:p w14:paraId="1752783A"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10B55D40" w14:textId="77777777" w:rsidTr="00730E02">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686" w:type="pct"/>
          </w:tcPr>
          <w:p w14:paraId="5D55E7A5" w14:textId="77777777" w:rsidR="00730E02" w:rsidRPr="004C63B2" w:rsidRDefault="00730E02" w:rsidP="00F175A7">
            <w:pPr>
              <w:keepNext/>
              <w:keepLines/>
              <w:spacing w:after="0" w:line="240" w:lineRule="auto"/>
              <w:rPr>
                <w:sz w:val="22"/>
              </w:rPr>
            </w:pPr>
            <w:r w:rsidRPr="004C63B2">
              <w:rPr>
                <w:sz w:val="22"/>
              </w:rPr>
              <w:t>Niveau de conception et d'opérationnalisation de la plateforme de gestion des marchés publics (%)</w:t>
            </w:r>
          </w:p>
        </w:tc>
        <w:tc>
          <w:tcPr>
            <w:tcW w:w="684" w:type="pct"/>
          </w:tcPr>
          <w:p w14:paraId="43A48D77"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42</w:t>
            </w:r>
          </w:p>
        </w:tc>
        <w:tc>
          <w:tcPr>
            <w:tcW w:w="939" w:type="pct"/>
          </w:tcPr>
          <w:p w14:paraId="1AD3F6FC"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48</w:t>
            </w:r>
          </w:p>
        </w:tc>
        <w:tc>
          <w:tcPr>
            <w:tcW w:w="691" w:type="pct"/>
          </w:tcPr>
          <w:p w14:paraId="50B6D279"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65</w:t>
            </w:r>
          </w:p>
        </w:tc>
      </w:tr>
      <w:tr w:rsidR="00730E02" w:rsidRPr="004C63B2" w14:paraId="361F3095" w14:textId="77777777" w:rsidTr="00730E02">
        <w:trPr>
          <w:trHeight w:val="523"/>
        </w:trPr>
        <w:tc>
          <w:tcPr>
            <w:cnfStyle w:val="001000000000" w:firstRow="0" w:lastRow="0" w:firstColumn="1" w:lastColumn="0" w:oddVBand="0" w:evenVBand="0" w:oddHBand="0" w:evenHBand="0" w:firstRowFirstColumn="0" w:firstRowLastColumn="0" w:lastRowFirstColumn="0" w:lastRowLastColumn="0"/>
            <w:tcW w:w="2686" w:type="pct"/>
          </w:tcPr>
          <w:p w14:paraId="18C72C4E" w14:textId="77777777" w:rsidR="00730E02" w:rsidRPr="004C63B2" w:rsidRDefault="00730E02" w:rsidP="00F175A7">
            <w:pPr>
              <w:keepNext/>
              <w:keepLines/>
              <w:spacing w:after="0" w:line="240" w:lineRule="auto"/>
              <w:rPr>
                <w:sz w:val="22"/>
              </w:rPr>
            </w:pPr>
            <w:r w:rsidRPr="004C63B2">
              <w:rPr>
                <w:sz w:val="22"/>
              </w:rPr>
              <w:t>Niveau d’exhaustivité du compte central des matières de l’Etat (%)</w:t>
            </w:r>
          </w:p>
        </w:tc>
        <w:tc>
          <w:tcPr>
            <w:tcW w:w="684" w:type="pct"/>
          </w:tcPr>
          <w:p w14:paraId="2BFB6DD3"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50</w:t>
            </w:r>
          </w:p>
        </w:tc>
        <w:tc>
          <w:tcPr>
            <w:tcW w:w="939" w:type="pct"/>
          </w:tcPr>
          <w:p w14:paraId="67B1080C"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100</w:t>
            </w:r>
          </w:p>
        </w:tc>
        <w:tc>
          <w:tcPr>
            <w:tcW w:w="691" w:type="pct"/>
          </w:tcPr>
          <w:p w14:paraId="0D8EB0BE"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65</w:t>
            </w:r>
          </w:p>
        </w:tc>
      </w:tr>
      <w:tr w:rsidR="00730E02" w:rsidRPr="004C63B2" w14:paraId="7B256DEE" w14:textId="77777777" w:rsidTr="00730E02">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686" w:type="pct"/>
          </w:tcPr>
          <w:p w14:paraId="65978983" w14:textId="7F166F60" w:rsidR="00730E02" w:rsidRPr="004C63B2" w:rsidRDefault="00730E02" w:rsidP="00F175A7">
            <w:pPr>
              <w:keepNext/>
              <w:keepLines/>
              <w:spacing w:after="0" w:line="240" w:lineRule="auto"/>
              <w:rPr>
                <w:sz w:val="22"/>
              </w:rPr>
            </w:pPr>
            <w:r w:rsidRPr="004C63B2">
              <w:rPr>
                <w:sz w:val="22"/>
              </w:rPr>
              <w:t xml:space="preserve">Niveau de déploiement de SIGCM dans les EPE et les Collectivités </w:t>
            </w:r>
            <w:r w:rsidR="0035089E">
              <w:rPr>
                <w:sz w:val="22"/>
              </w:rPr>
              <w:t>t</w:t>
            </w:r>
            <w:r w:rsidRPr="004C63B2">
              <w:rPr>
                <w:sz w:val="22"/>
              </w:rPr>
              <w:t>erritoriales (%)</w:t>
            </w:r>
          </w:p>
        </w:tc>
        <w:tc>
          <w:tcPr>
            <w:tcW w:w="684" w:type="pct"/>
          </w:tcPr>
          <w:p w14:paraId="01834813"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7,62</w:t>
            </w:r>
          </w:p>
        </w:tc>
        <w:tc>
          <w:tcPr>
            <w:tcW w:w="939" w:type="pct"/>
          </w:tcPr>
          <w:p w14:paraId="2470C072"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15</w:t>
            </w:r>
          </w:p>
        </w:tc>
        <w:tc>
          <w:tcPr>
            <w:tcW w:w="691" w:type="pct"/>
          </w:tcPr>
          <w:p w14:paraId="14938A18"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15</w:t>
            </w:r>
          </w:p>
        </w:tc>
      </w:tr>
    </w:tbl>
    <w:p w14:paraId="65F73649" w14:textId="7BB4FEE4" w:rsidR="00730E02" w:rsidRPr="00E31E23" w:rsidRDefault="00730E02" w:rsidP="004C63B2">
      <w:pPr>
        <w:keepNext/>
        <w:keepLines/>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 2023 du CSD-GE, février 2024</w:t>
      </w:r>
    </w:p>
    <w:p w14:paraId="57EA89A0"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Le niveau d’exécution financière des produits de l’action ressort à 76 %. Sur une prévision de 25 000 000 FCFA, 19 000 000 FCFA ont été dépensés.</w:t>
      </w:r>
    </w:p>
    <w:p w14:paraId="5BAEA9AC"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sixième action porte sur </w:t>
      </w:r>
      <w:r w:rsidRPr="008139E1">
        <w:rPr>
          <w:rFonts w:eastAsia="Calibri"/>
          <w:b/>
          <w:szCs w:val="24"/>
        </w:rPr>
        <w:t>l’amélioration de la gestion budgétaire et du patrimoine de l’Etat (03027</w:t>
      </w:r>
      <w:r w:rsidRPr="00056445">
        <w:rPr>
          <w:rFonts w:eastAsia="Calibri"/>
          <w:szCs w:val="24"/>
        </w:rPr>
        <w:t>), dont la situation de réalisation des indicateurs cibles de l’action est inscrite dans le Tableau 45. Au 31 décembre 2023, tous les trois (03) indicateurs de l’action ont atteint leur cible.</w:t>
      </w:r>
    </w:p>
    <w:p w14:paraId="56B01090" w14:textId="385A4FCD" w:rsidR="00730E02" w:rsidRPr="00E31E23" w:rsidRDefault="00FF704F" w:rsidP="00730E02">
      <w:pPr>
        <w:shd w:val="clear" w:color="auto" w:fill="FFFFFF"/>
        <w:spacing w:before="120" w:after="120" w:line="240" w:lineRule="auto"/>
        <w:rPr>
          <w:sz w:val="22"/>
        </w:rPr>
      </w:pPr>
      <w:bookmarkStart w:id="92" w:name="_Toc164503625"/>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38</w:t>
      </w:r>
      <w:r w:rsidRPr="00B51145">
        <w:rPr>
          <w:b/>
          <w:bCs/>
          <w:sz w:val="22"/>
          <w:u w:val="single"/>
        </w:rPr>
        <w:fldChar w:fldCharType="end"/>
      </w:r>
      <w:r w:rsidR="00730E02" w:rsidRPr="00E31E23">
        <w:rPr>
          <w:sz w:val="22"/>
        </w:rPr>
        <w:t xml:space="preserve"> : </w:t>
      </w:r>
      <w:r w:rsidR="004903D4">
        <w:rPr>
          <w:sz w:val="22"/>
        </w:rPr>
        <w:t>s</w:t>
      </w:r>
      <w:r w:rsidR="00730E02" w:rsidRPr="00E31E23">
        <w:rPr>
          <w:sz w:val="22"/>
        </w:rPr>
        <w:t>ituation des indicateurs de l’action « amélioration de la gestion budgétaire et du patrimoine »</w:t>
      </w:r>
      <w:bookmarkEnd w:id="92"/>
    </w:p>
    <w:tbl>
      <w:tblPr>
        <w:tblStyle w:val="GridTable4-Accent111"/>
        <w:tblW w:w="9300" w:type="dxa"/>
        <w:tblLayout w:type="fixed"/>
        <w:tblLook w:val="04A0" w:firstRow="1" w:lastRow="0" w:firstColumn="1" w:lastColumn="0" w:noHBand="0" w:noVBand="1"/>
      </w:tblPr>
      <w:tblGrid>
        <w:gridCol w:w="4945"/>
        <w:gridCol w:w="1350"/>
        <w:gridCol w:w="1530"/>
        <w:gridCol w:w="1475"/>
      </w:tblGrid>
      <w:tr w:rsidR="00730E02" w:rsidRPr="004C63B2" w14:paraId="7F8F0ACF" w14:textId="77777777" w:rsidTr="00F175A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945" w:type="dxa"/>
            <w:shd w:val="clear" w:color="auto" w:fill="4472C4" w:themeFill="accent1"/>
          </w:tcPr>
          <w:p w14:paraId="3B783F6D" w14:textId="61C6950F" w:rsidR="00730E02" w:rsidRPr="004C63B2" w:rsidRDefault="00730E02" w:rsidP="00F175A7">
            <w:pPr>
              <w:keepNext/>
              <w:keepLines/>
              <w:spacing w:after="0" w:line="240" w:lineRule="auto"/>
              <w:rPr>
                <w:sz w:val="22"/>
              </w:rPr>
            </w:pPr>
            <w:r w:rsidRPr="004C63B2">
              <w:rPr>
                <w:sz w:val="22"/>
              </w:rPr>
              <w:t xml:space="preserve">Indicateurs </w:t>
            </w:r>
          </w:p>
        </w:tc>
        <w:tc>
          <w:tcPr>
            <w:tcW w:w="1350" w:type="dxa"/>
            <w:shd w:val="clear" w:color="auto" w:fill="4472C4" w:themeFill="accent1"/>
          </w:tcPr>
          <w:p w14:paraId="0F260DA5"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1530" w:type="dxa"/>
            <w:shd w:val="clear" w:color="auto" w:fill="4472C4" w:themeFill="accent1"/>
          </w:tcPr>
          <w:p w14:paraId="41E62CA3"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1475" w:type="dxa"/>
            <w:shd w:val="clear" w:color="auto" w:fill="4472C4" w:themeFill="accent1"/>
          </w:tcPr>
          <w:p w14:paraId="364B3DCF"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798DBA00"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45" w:type="dxa"/>
          </w:tcPr>
          <w:p w14:paraId="2D9E9485" w14:textId="77777777" w:rsidR="00730E02" w:rsidRPr="004C63B2" w:rsidRDefault="00730E02" w:rsidP="00F175A7">
            <w:pPr>
              <w:spacing w:after="0" w:line="240" w:lineRule="auto"/>
              <w:rPr>
                <w:sz w:val="22"/>
              </w:rPr>
            </w:pPr>
            <w:r w:rsidRPr="004C63B2">
              <w:rPr>
                <w:sz w:val="22"/>
              </w:rPr>
              <w:t>Proportion des marchés publics exécutés selon les procédures de droit commun (%)</w:t>
            </w:r>
          </w:p>
        </w:tc>
        <w:tc>
          <w:tcPr>
            <w:tcW w:w="1350" w:type="dxa"/>
          </w:tcPr>
          <w:p w14:paraId="37B48CC1"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75,23</w:t>
            </w:r>
          </w:p>
        </w:tc>
        <w:tc>
          <w:tcPr>
            <w:tcW w:w="1530" w:type="dxa"/>
          </w:tcPr>
          <w:p w14:paraId="2488AB2C"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85,45</w:t>
            </w:r>
          </w:p>
        </w:tc>
        <w:tc>
          <w:tcPr>
            <w:tcW w:w="1475" w:type="dxa"/>
          </w:tcPr>
          <w:p w14:paraId="2A1B6F68" w14:textId="77777777" w:rsidR="00730E02" w:rsidRPr="004C63B2" w:rsidRDefault="00183DC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sdt>
              <w:sdtPr>
                <w:rPr>
                  <w:sz w:val="22"/>
                </w:rPr>
                <w:tag w:val="goog_rdk_3"/>
                <w:id w:val="585966676"/>
              </w:sdtPr>
              <w:sdtEndPr/>
              <w:sdtContent>
                <w:r w:rsidR="00730E02" w:rsidRPr="004C63B2">
                  <w:rPr>
                    <w:rFonts w:eastAsia="Nova Mono" w:cs="Nova Mono"/>
                    <w:sz w:val="22"/>
                  </w:rPr>
                  <w:t>≥ 85</w:t>
                </w:r>
              </w:sdtContent>
            </w:sdt>
          </w:p>
        </w:tc>
      </w:tr>
      <w:tr w:rsidR="00730E02" w:rsidRPr="004C63B2" w14:paraId="24F4282B" w14:textId="77777777" w:rsidTr="00056445">
        <w:trPr>
          <w:trHeight w:val="300"/>
        </w:trPr>
        <w:tc>
          <w:tcPr>
            <w:cnfStyle w:val="001000000000" w:firstRow="0" w:lastRow="0" w:firstColumn="1" w:lastColumn="0" w:oddVBand="0" w:evenVBand="0" w:oddHBand="0" w:evenHBand="0" w:firstRowFirstColumn="0" w:firstRowLastColumn="0" w:lastRowFirstColumn="0" w:lastRowLastColumn="0"/>
            <w:tcW w:w="4945" w:type="dxa"/>
          </w:tcPr>
          <w:p w14:paraId="4D258E4E" w14:textId="77777777" w:rsidR="00730E02" w:rsidRPr="004C63B2" w:rsidRDefault="00730E02" w:rsidP="00F175A7">
            <w:pPr>
              <w:spacing w:after="0" w:line="240" w:lineRule="auto"/>
              <w:rPr>
                <w:sz w:val="22"/>
              </w:rPr>
            </w:pPr>
            <w:r w:rsidRPr="004C63B2">
              <w:rPr>
                <w:sz w:val="22"/>
              </w:rPr>
              <w:t>Proportion des marchés publics exécutés selon les procédures exceptionnelles (%)</w:t>
            </w:r>
          </w:p>
        </w:tc>
        <w:tc>
          <w:tcPr>
            <w:tcW w:w="1350" w:type="dxa"/>
          </w:tcPr>
          <w:p w14:paraId="34D12D5D"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24,77</w:t>
            </w:r>
          </w:p>
        </w:tc>
        <w:tc>
          <w:tcPr>
            <w:tcW w:w="1530" w:type="dxa"/>
          </w:tcPr>
          <w:p w14:paraId="57C61942"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14,55</w:t>
            </w:r>
          </w:p>
        </w:tc>
        <w:tc>
          <w:tcPr>
            <w:tcW w:w="1475" w:type="dxa"/>
          </w:tcPr>
          <w:p w14:paraId="65C3D5F6"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rFonts w:ascii="Times New Roman" w:eastAsia="Times New Roman" w:hAnsi="Times New Roman" w:cs="Times New Roman"/>
                <w:sz w:val="22"/>
              </w:rPr>
              <w:t>˂</w:t>
            </w:r>
            <w:r w:rsidRPr="004C63B2">
              <w:rPr>
                <w:sz w:val="22"/>
              </w:rPr>
              <w:t xml:space="preserve"> 15</w:t>
            </w:r>
          </w:p>
        </w:tc>
      </w:tr>
      <w:tr w:rsidR="00730E02" w:rsidRPr="004C63B2" w14:paraId="7B38F524"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45" w:type="dxa"/>
          </w:tcPr>
          <w:p w14:paraId="45B5BF61" w14:textId="77777777" w:rsidR="00730E02" w:rsidRPr="004C63B2" w:rsidRDefault="00730E02" w:rsidP="00F175A7">
            <w:pPr>
              <w:spacing w:after="0" w:line="240" w:lineRule="auto"/>
              <w:rPr>
                <w:sz w:val="22"/>
              </w:rPr>
            </w:pPr>
            <w:r w:rsidRPr="004C63B2">
              <w:rPr>
                <w:sz w:val="22"/>
              </w:rPr>
              <w:t>Taux d'exécution du budget base LFI (%)</w:t>
            </w:r>
          </w:p>
        </w:tc>
        <w:tc>
          <w:tcPr>
            <w:tcW w:w="1350" w:type="dxa"/>
          </w:tcPr>
          <w:p w14:paraId="687BCA32"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100,80</w:t>
            </w:r>
          </w:p>
        </w:tc>
        <w:tc>
          <w:tcPr>
            <w:tcW w:w="1530" w:type="dxa"/>
          </w:tcPr>
          <w:p w14:paraId="7008D7D2"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108,89</w:t>
            </w:r>
          </w:p>
        </w:tc>
        <w:tc>
          <w:tcPr>
            <w:tcW w:w="1475" w:type="dxa"/>
          </w:tcPr>
          <w:p w14:paraId="1E4C9691"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95-105</w:t>
            </w:r>
          </w:p>
        </w:tc>
      </w:tr>
    </w:tbl>
    <w:p w14:paraId="53215652" w14:textId="73BCD209" w:rsidR="00730E02" w:rsidRPr="00E31E23" w:rsidRDefault="00730E02" w:rsidP="00730E02">
      <w:pPr>
        <w:rPr>
          <w:sz w:val="20"/>
          <w:szCs w:val="20"/>
        </w:rPr>
      </w:pPr>
      <w:r w:rsidRPr="00E31E23">
        <w:rPr>
          <w:b/>
          <w:sz w:val="20"/>
          <w:szCs w:val="20"/>
          <w:u w:val="single"/>
        </w:rPr>
        <w:lastRenderedPageBreak/>
        <w:t>Source :</w:t>
      </w:r>
      <w:r w:rsidRPr="00E31E23">
        <w:rPr>
          <w:sz w:val="20"/>
          <w:szCs w:val="20"/>
        </w:rPr>
        <w:t xml:space="preserve">  rapport </w:t>
      </w:r>
      <w:r w:rsidR="00603CB3">
        <w:rPr>
          <w:sz w:val="20"/>
          <w:szCs w:val="20"/>
        </w:rPr>
        <w:t xml:space="preserve">annuel </w:t>
      </w:r>
      <w:r w:rsidRPr="00E31E23">
        <w:rPr>
          <w:sz w:val="20"/>
          <w:szCs w:val="20"/>
        </w:rPr>
        <w:t>de performance 2023 du CSD-GE, février 2024</w:t>
      </w:r>
    </w:p>
    <w:p w14:paraId="40F96586" w14:textId="5B430528"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Cinq (05</w:t>
      </w:r>
      <w:r w:rsidR="0035089E">
        <w:rPr>
          <w:rFonts w:eastAsia="Calibri"/>
          <w:szCs w:val="24"/>
        </w:rPr>
        <w:t>)</w:t>
      </w:r>
      <w:r w:rsidRPr="00056445">
        <w:rPr>
          <w:rFonts w:eastAsia="Calibri"/>
          <w:szCs w:val="24"/>
        </w:rPr>
        <w:t xml:space="preserve"> produits ont été programmés dans le cadre de la réalisation de cette action. Les états d’évolution des indicateurs de ces produits sont présentés dans le tableau ci-dessous.</w:t>
      </w:r>
    </w:p>
    <w:p w14:paraId="3AB8A870" w14:textId="6EB9DA65"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Un seul produit a atteint sa cible sur les cinq (05). Les acquis obtenus concernent : (i) l’élaboration et la publication du budget citoyen sur le site web de la DGB ; (ii)l’accompagnement et la formation de 4 collectivités territoriales pour l'élaboration de leurs maquettes de programmes budgétaires et (iii) l’élaboration du Plan d’engagement des dépenses de l’Etat 2023 sur SI </w:t>
      </w:r>
      <w:proofErr w:type="spellStart"/>
      <w:r w:rsidRPr="00056445">
        <w:rPr>
          <w:rFonts w:eastAsia="Calibri"/>
          <w:szCs w:val="24"/>
        </w:rPr>
        <w:t>N@folo</w:t>
      </w:r>
      <w:proofErr w:type="spellEnd"/>
      <w:r w:rsidRPr="00056445">
        <w:rPr>
          <w:rFonts w:eastAsia="Calibri"/>
          <w:szCs w:val="24"/>
        </w:rPr>
        <w:t>.</w:t>
      </w:r>
    </w:p>
    <w:p w14:paraId="59229399" w14:textId="7F5B3FAB" w:rsidR="00730E02" w:rsidRPr="00F175A7" w:rsidRDefault="00FF704F" w:rsidP="004C63B2">
      <w:pPr>
        <w:keepNext/>
        <w:keepLines/>
        <w:pBdr>
          <w:top w:val="nil"/>
          <w:left w:val="nil"/>
          <w:bottom w:val="nil"/>
          <w:right w:val="nil"/>
          <w:between w:val="nil"/>
        </w:pBdr>
        <w:spacing w:after="200" w:line="240" w:lineRule="auto"/>
        <w:rPr>
          <w:rFonts w:cs="Merriweather"/>
          <w:b/>
          <w:sz w:val="22"/>
        </w:rPr>
      </w:pPr>
      <w:bookmarkStart w:id="93" w:name="_Toc164503626"/>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39</w:t>
      </w:r>
      <w:r w:rsidRPr="00B51145">
        <w:rPr>
          <w:b/>
          <w:bCs/>
          <w:sz w:val="22"/>
          <w:u w:val="single"/>
        </w:rPr>
        <w:fldChar w:fldCharType="end"/>
      </w:r>
      <w:r w:rsidR="00730E02" w:rsidRPr="008D20C6">
        <w:rPr>
          <w:rFonts w:cs="Merriweather"/>
          <w:color w:val="44546A"/>
          <w:sz w:val="22"/>
        </w:rPr>
        <w:t xml:space="preserve">: </w:t>
      </w:r>
      <w:r w:rsidR="00730E02" w:rsidRPr="00F175A7">
        <w:rPr>
          <w:rFonts w:cs="Merriweather"/>
          <w:sz w:val="22"/>
        </w:rPr>
        <w:t>situation des indicateurs de produits de l’action « amélioration de la gestion budgétaire et du patrimoine de l’Etat » au 31 décembre 2023</w:t>
      </w:r>
      <w:bookmarkEnd w:id="93"/>
    </w:p>
    <w:tbl>
      <w:tblPr>
        <w:tblStyle w:val="GridTable4-Accent111"/>
        <w:tblW w:w="5000" w:type="pct"/>
        <w:tblLayout w:type="fixed"/>
        <w:tblLook w:val="04A0" w:firstRow="1" w:lastRow="0" w:firstColumn="1" w:lastColumn="0" w:noHBand="0" w:noVBand="1"/>
      </w:tblPr>
      <w:tblGrid>
        <w:gridCol w:w="5396"/>
        <w:gridCol w:w="1260"/>
        <w:gridCol w:w="1170"/>
        <w:gridCol w:w="1190"/>
      </w:tblGrid>
      <w:tr w:rsidR="00730E02" w:rsidRPr="004C63B2" w14:paraId="7C3ABE5A" w14:textId="77777777" w:rsidTr="00F175A7">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1E85364A" w14:textId="3A7DABD0" w:rsidR="00730E02" w:rsidRPr="004C63B2" w:rsidRDefault="00730E02" w:rsidP="00F175A7">
            <w:pPr>
              <w:keepNext/>
              <w:keepLines/>
              <w:spacing w:after="0" w:line="240" w:lineRule="auto"/>
              <w:rPr>
                <w:sz w:val="22"/>
              </w:rPr>
            </w:pPr>
            <w:r w:rsidRPr="004C63B2">
              <w:rPr>
                <w:sz w:val="22"/>
              </w:rPr>
              <w:t xml:space="preserve">Indicateurs </w:t>
            </w:r>
          </w:p>
        </w:tc>
        <w:tc>
          <w:tcPr>
            <w:tcW w:w="699" w:type="pct"/>
            <w:shd w:val="clear" w:color="auto" w:fill="4472C4" w:themeFill="accent1"/>
          </w:tcPr>
          <w:p w14:paraId="77808953"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649" w:type="pct"/>
            <w:shd w:val="clear" w:color="auto" w:fill="4472C4" w:themeFill="accent1"/>
          </w:tcPr>
          <w:p w14:paraId="19212A31"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660" w:type="pct"/>
            <w:shd w:val="clear" w:color="auto" w:fill="4472C4" w:themeFill="accent1"/>
          </w:tcPr>
          <w:p w14:paraId="285C6927"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213D37BC"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2" w:type="pct"/>
          </w:tcPr>
          <w:p w14:paraId="74A583F2" w14:textId="77777777" w:rsidR="00730E02" w:rsidRPr="004C63B2" w:rsidRDefault="00730E02" w:rsidP="00F175A7">
            <w:pPr>
              <w:keepNext/>
              <w:keepLines/>
              <w:spacing w:after="0" w:line="240" w:lineRule="auto"/>
              <w:rPr>
                <w:sz w:val="22"/>
              </w:rPr>
            </w:pPr>
            <w:r w:rsidRPr="004C63B2">
              <w:rPr>
                <w:sz w:val="22"/>
              </w:rPr>
              <w:t>Disponibilité du budget citoyen</w:t>
            </w:r>
          </w:p>
        </w:tc>
        <w:tc>
          <w:tcPr>
            <w:tcW w:w="699" w:type="pct"/>
          </w:tcPr>
          <w:p w14:paraId="0CC3C17F"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49" w:type="pct"/>
          </w:tcPr>
          <w:p w14:paraId="4CE2CBE0"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c>
          <w:tcPr>
            <w:tcW w:w="660" w:type="pct"/>
          </w:tcPr>
          <w:p w14:paraId="33B426B2"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r>
      <w:tr w:rsidR="00730E02" w:rsidRPr="004C63B2" w14:paraId="447B905B" w14:textId="77777777" w:rsidTr="00056445">
        <w:trPr>
          <w:trHeight w:val="300"/>
        </w:trPr>
        <w:tc>
          <w:tcPr>
            <w:cnfStyle w:val="001000000000" w:firstRow="0" w:lastRow="0" w:firstColumn="1" w:lastColumn="0" w:oddVBand="0" w:evenVBand="0" w:oddHBand="0" w:evenHBand="0" w:firstRowFirstColumn="0" w:firstRowLastColumn="0" w:lastRowFirstColumn="0" w:lastRowLastColumn="0"/>
            <w:tcW w:w="2992" w:type="pct"/>
          </w:tcPr>
          <w:p w14:paraId="448FDC32" w14:textId="6AFC58F0" w:rsidR="00730E02" w:rsidRPr="004C63B2" w:rsidRDefault="00730E02" w:rsidP="00F175A7">
            <w:pPr>
              <w:keepNext/>
              <w:keepLines/>
              <w:spacing w:after="0" w:line="240" w:lineRule="auto"/>
              <w:rPr>
                <w:sz w:val="22"/>
              </w:rPr>
            </w:pPr>
            <w:r w:rsidRPr="004C63B2">
              <w:rPr>
                <w:sz w:val="22"/>
              </w:rPr>
              <w:t>Nombre d'opérateurs (EPE, CT, SE) basculés en mode budget</w:t>
            </w:r>
            <w:r w:rsidR="0035089E">
              <w:rPr>
                <w:sz w:val="22"/>
              </w:rPr>
              <w:t>-</w:t>
            </w:r>
            <w:r w:rsidRPr="004C63B2">
              <w:rPr>
                <w:sz w:val="22"/>
              </w:rPr>
              <w:t>programme</w:t>
            </w:r>
          </w:p>
        </w:tc>
        <w:tc>
          <w:tcPr>
            <w:tcW w:w="699" w:type="pct"/>
          </w:tcPr>
          <w:p w14:paraId="5DFF4D25"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49" w:type="pct"/>
          </w:tcPr>
          <w:p w14:paraId="263F5C42"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2</w:t>
            </w:r>
          </w:p>
        </w:tc>
        <w:tc>
          <w:tcPr>
            <w:tcW w:w="660" w:type="pct"/>
          </w:tcPr>
          <w:p w14:paraId="67C32551"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4</w:t>
            </w:r>
          </w:p>
        </w:tc>
      </w:tr>
      <w:tr w:rsidR="00730E02" w:rsidRPr="004C63B2" w14:paraId="4C93E463" w14:textId="77777777" w:rsidTr="0005644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992" w:type="pct"/>
          </w:tcPr>
          <w:p w14:paraId="535DDD88" w14:textId="348D9F17" w:rsidR="00730E02" w:rsidRPr="004C63B2" w:rsidRDefault="00730E02" w:rsidP="00F175A7">
            <w:pPr>
              <w:keepNext/>
              <w:keepLines/>
              <w:spacing w:after="0" w:line="240" w:lineRule="auto"/>
              <w:rPr>
                <w:sz w:val="22"/>
              </w:rPr>
            </w:pPr>
            <w:r w:rsidRPr="004C63B2">
              <w:rPr>
                <w:sz w:val="22"/>
              </w:rPr>
              <w:t>Nombre de textes relatifs à la commande publique relu</w:t>
            </w:r>
            <w:r w:rsidR="0035089E">
              <w:rPr>
                <w:sz w:val="22"/>
              </w:rPr>
              <w:t>s</w:t>
            </w:r>
          </w:p>
        </w:tc>
        <w:tc>
          <w:tcPr>
            <w:tcW w:w="699" w:type="pct"/>
          </w:tcPr>
          <w:p w14:paraId="53088884"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49" w:type="pct"/>
          </w:tcPr>
          <w:p w14:paraId="096A0F31"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60" w:type="pct"/>
          </w:tcPr>
          <w:p w14:paraId="44D5791B"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6</w:t>
            </w:r>
          </w:p>
        </w:tc>
      </w:tr>
      <w:tr w:rsidR="00730E02" w:rsidRPr="004C63B2" w14:paraId="5D970243" w14:textId="77777777" w:rsidTr="00056445">
        <w:trPr>
          <w:trHeight w:val="300"/>
        </w:trPr>
        <w:tc>
          <w:tcPr>
            <w:cnfStyle w:val="001000000000" w:firstRow="0" w:lastRow="0" w:firstColumn="1" w:lastColumn="0" w:oddVBand="0" w:evenVBand="0" w:oddHBand="0" w:evenHBand="0" w:firstRowFirstColumn="0" w:firstRowLastColumn="0" w:lastRowFirstColumn="0" w:lastRowLastColumn="0"/>
            <w:tcW w:w="2992" w:type="pct"/>
          </w:tcPr>
          <w:p w14:paraId="60AD932A" w14:textId="7731246B" w:rsidR="00730E02" w:rsidRPr="004C63B2" w:rsidRDefault="00730E02" w:rsidP="00F175A7">
            <w:pPr>
              <w:keepNext/>
              <w:keepLines/>
              <w:spacing w:after="0" w:line="240" w:lineRule="auto"/>
              <w:rPr>
                <w:sz w:val="22"/>
              </w:rPr>
            </w:pPr>
            <w:r w:rsidRPr="004C63B2">
              <w:rPr>
                <w:sz w:val="22"/>
              </w:rPr>
              <w:t>Nombre de textes encadrant l'achat et l'utilisation des moyens roulant</w:t>
            </w:r>
            <w:r w:rsidR="0035089E">
              <w:rPr>
                <w:sz w:val="22"/>
              </w:rPr>
              <w:t>s</w:t>
            </w:r>
            <w:r w:rsidRPr="004C63B2">
              <w:rPr>
                <w:sz w:val="22"/>
              </w:rPr>
              <w:t xml:space="preserve"> de l'Etat relus</w:t>
            </w:r>
          </w:p>
        </w:tc>
        <w:tc>
          <w:tcPr>
            <w:tcW w:w="699" w:type="pct"/>
          </w:tcPr>
          <w:p w14:paraId="7DF38CFE"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49" w:type="pct"/>
          </w:tcPr>
          <w:p w14:paraId="0374EB35"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c>
          <w:tcPr>
            <w:tcW w:w="660" w:type="pct"/>
          </w:tcPr>
          <w:p w14:paraId="376FF857" w14:textId="77777777" w:rsidR="00730E02" w:rsidRPr="004C63B2" w:rsidRDefault="00730E02"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2</w:t>
            </w:r>
          </w:p>
        </w:tc>
      </w:tr>
      <w:tr w:rsidR="00730E02" w:rsidRPr="004C63B2" w14:paraId="78A03E07"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2" w:type="pct"/>
          </w:tcPr>
          <w:p w14:paraId="053EAA52" w14:textId="77777777" w:rsidR="00730E02" w:rsidRPr="004C63B2" w:rsidRDefault="00730E02" w:rsidP="00F175A7">
            <w:pPr>
              <w:keepNext/>
              <w:keepLines/>
              <w:spacing w:after="0" w:line="240" w:lineRule="auto"/>
              <w:rPr>
                <w:sz w:val="22"/>
              </w:rPr>
            </w:pPr>
            <w:r w:rsidRPr="004C63B2">
              <w:rPr>
                <w:rFonts w:eastAsia="Merriweather"/>
                <w:sz w:val="22"/>
              </w:rPr>
              <w:t xml:space="preserve">Niveau d’opérationnalisation de la Phase II du SI </w:t>
            </w:r>
            <w:proofErr w:type="spellStart"/>
            <w:r w:rsidRPr="004C63B2">
              <w:rPr>
                <w:rFonts w:eastAsia="Merriweather"/>
                <w:sz w:val="22"/>
              </w:rPr>
              <w:t>N@folo</w:t>
            </w:r>
            <w:proofErr w:type="spellEnd"/>
            <w:r w:rsidRPr="004C63B2">
              <w:rPr>
                <w:rFonts w:eastAsia="Merriweather"/>
                <w:sz w:val="22"/>
              </w:rPr>
              <w:t xml:space="preserve"> (%)</w:t>
            </w:r>
          </w:p>
        </w:tc>
        <w:tc>
          <w:tcPr>
            <w:tcW w:w="699" w:type="pct"/>
          </w:tcPr>
          <w:p w14:paraId="5018C76E"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w:t>
            </w:r>
          </w:p>
        </w:tc>
        <w:tc>
          <w:tcPr>
            <w:tcW w:w="649" w:type="pct"/>
          </w:tcPr>
          <w:p w14:paraId="61A7B747"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25</w:t>
            </w:r>
          </w:p>
        </w:tc>
        <w:tc>
          <w:tcPr>
            <w:tcW w:w="660" w:type="pct"/>
          </w:tcPr>
          <w:p w14:paraId="7A2F0358" w14:textId="77777777" w:rsidR="00730E02" w:rsidRPr="004C63B2" w:rsidRDefault="00730E02"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30</w:t>
            </w:r>
          </w:p>
        </w:tc>
      </w:tr>
    </w:tbl>
    <w:p w14:paraId="36788483" w14:textId="7645954C" w:rsidR="00730E02" w:rsidRPr="00E31E23" w:rsidRDefault="00730E02" w:rsidP="004C63B2">
      <w:pPr>
        <w:keepNext/>
        <w:keepLines/>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 2023 du CSD-GE, février 2024</w:t>
      </w:r>
    </w:p>
    <w:p w14:paraId="488053B5" w14:textId="71A5D033"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une prévision financière de huit trente-neuf millions six cent cinquante-trois mille (830 653 000) FCFA, quatre cent cinquante-neuf millions six cent quatre-vingt-trois mille sept cent soixante-huit (459 683 768) ont été consommés</w:t>
      </w:r>
      <w:r w:rsidR="0035089E">
        <w:rPr>
          <w:rFonts w:eastAsia="Calibri"/>
          <w:szCs w:val="24"/>
        </w:rPr>
        <w:t>,</w:t>
      </w:r>
      <w:r w:rsidRPr="00056445">
        <w:rPr>
          <w:rFonts w:eastAsia="Calibri"/>
          <w:szCs w:val="24"/>
        </w:rPr>
        <w:t xml:space="preserve"> soit un taux d’exécution de 55,34%.</w:t>
      </w:r>
    </w:p>
    <w:p w14:paraId="7E18107B" w14:textId="6DECDFF4"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septième action à savoir : </w:t>
      </w:r>
      <w:r w:rsidRPr="008139E1">
        <w:rPr>
          <w:rFonts w:eastAsia="Calibri"/>
          <w:b/>
          <w:szCs w:val="24"/>
        </w:rPr>
        <w:t xml:space="preserve">diligence d'une enquête sur les flux financiers illicites dans le domaine minier (03028) </w:t>
      </w:r>
      <w:r w:rsidRPr="00056445">
        <w:rPr>
          <w:rFonts w:eastAsia="Calibri"/>
          <w:szCs w:val="24"/>
        </w:rPr>
        <w:t>est portée par le CSD-GE. Sa mise en œuvre en 2023 est appréciée à travers la disponibilité du rapport d’enquête sur les flux financiers illicites dans le domaine minier. A fin décembre 2023, le rapport est disponible.</w:t>
      </w:r>
    </w:p>
    <w:p w14:paraId="7C3D34B1" w14:textId="1CF8932F"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Il est attendu un seul produit de la mise en œuvre de cette action. Il s’agit de la réalisation d’une enquête sur les flux financiers illicites dans le domaine minier. A fin décembre 2023, le processus d’exécution du seul produit a été entièrement réalisé. </w:t>
      </w:r>
    </w:p>
    <w:p w14:paraId="531B6DCD" w14:textId="7B314C0A"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Le taux d’exécution financière est de plus de 100%. En effet, sur une prévision de 38</w:t>
      </w:r>
      <w:r w:rsidR="0035089E">
        <w:rPr>
          <w:rFonts w:eastAsia="Calibri"/>
          <w:szCs w:val="24"/>
        </w:rPr>
        <w:t> </w:t>
      </w:r>
      <w:r w:rsidRPr="00056445">
        <w:rPr>
          <w:rFonts w:eastAsia="Calibri"/>
          <w:szCs w:val="24"/>
        </w:rPr>
        <w:t>417</w:t>
      </w:r>
      <w:r w:rsidR="0035089E" w:rsidRPr="00B17BCE">
        <w:rPr>
          <w:rFonts w:eastAsia="Calibri"/>
          <w:szCs w:val="24"/>
        </w:rPr>
        <w:t> </w:t>
      </w:r>
      <w:r w:rsidRPr="00056445">
        <w:rPr>
          <w:rFonts w:eastAsia="Calibri"/>
          <w:szCs w:val="24"/>
        </w:rPr>
        <w:t xml:space="preserve">500 FCFA, </w:t>
      </w:r>
      <w:r w:rsidR="0035089E">
        <w:rPr>
          <w:rFonts w:eastAsia="Calibri"/>
          <w:szCs w:val="24"/>
        </w:rPr>
        <w:t xml:space="preserve">au total </w:t>
      </w:r>
      <w:r w:rsidRPr="00056445">
        <w:rPr>
          <w:rFonts w:eastAsia="Calibri"/>
          <w:szCs w:val="24"/>
        </w:rPr>
        <w:t>43</w:t>
      </w:r>
      <w:r w:rsidR="0035089E">
        <w:rPr>
          <w:rFonts w:eastAsia="Calibri"/>
          <w:szCs w:val="24"/>
        </w:rPr>
        <w:t> </w:t>
      </w:r>
      <w:r w:rsidRPr="00056445">
        <w:rPr>
          <w:rFonts w:eastAsia="Calibri"/>
          <w:szCs w:val="24"/>
        </w:rPr>
        <w:t>315</w:t>
      </w:r>
      <w:r w:rsidR="0035089E" w:rsidRPr="00B17BCE">
        <w:rPr>
          <w:rFonts w:eastAsia="Calibri"/>
          <w:szCs w:val="24"/>
        </w:rPr>
        <w:t> </w:t>
      </w:r>
      <w:r w:rsidRPr="00056445">
        <w:rPr>
          <w:rFonts w:eastAsia="Calibri"/>
          <w:szCs w:val="24"/>
        </w:rPr>
        <w:t xml:space="preserve">800 FCFA, ont été dépensés. </w:t>
      </w:r>
    </w:p>
    <w:p w14:paraId="5E5022EB"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huitième action porte sur </w:t>
      </w:r>
      <w:r w:rsidRPr="008139E1">
        <w:rPr>
          <w:rFonts w:eastAsia="Calibri"/>
          <w:b/>
          <w:szCs w:val="24"/>
        </w:rPr>
        <w:t>l’assainissement du marché intérieur (03029)</w:t>
      </w:r>
      <w:r w:rsidRPr="00056445">
        <w:rPr>
          <w:rFonts w:eastAsia="Calibri"/>
          <w:szCs w:val="24"/>
        </w:rPr>
        <w:t xml:space="preserve"> et a pour cible de porter à 315 le nombre de cas de fraude, d’usage de faux réprimés. A fin décembre 2023, la cible n’a pas été atteinte car seulement 307 cas ont été réprimés. </w:t>
      </w:r>
    </w:p>
    <w:p w14:paraId="43587C38" w14:textId="0ADEFA9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A fin décembre 2023, des huit (08) produits concourant à la réalisation de l’action, seuls trois (03) ont atteint leur cible. Les avancées obtenu</w:t>
      </w:r>
      <w:r w:rsidR="0035089E">
        <w:rPr>
          <w:rFonts w:eastAsia="Calibri"/>
          <w:szCs w:val="24"/>
        </w:rPr>
        <w:t>e</w:t>
      </w:r>
      <w:r w:rsidRPr="00056445">
        <w:rPr>
          <w:rFonts w:eastAsia="Calibri"/>
          <w:szCs w:val="24"/>
        </w:rPr>
        <w:t xml:space="preserve">s concernent entre autres : (i) la répression de 307cas de fraude et d’usage de faux, dans les domaines de la contrebande, de  </w:t>
      </w:r>
      <w:r w:rsidRPr="00056445">
        <w:rPr>
          <w:rFonts w:eastAsia="Calibri"/>
          <w:szCs w:val="24"/>
        </w:rPr>
        <w:lastRenderedPageBreak/>
        <w:t>l’importation sans déclaration de douanes, de  l’importation sans titre, de la fraude à la TVA, etc. ; (ii) le contrôle de 167 entreprises sur l'application de la règlementation douanière et fiscale et (iii) la réalisation de deux (02) spots publicitaires télévisuels en matière de lutte contre la fraude douanière, fiscale, commerciale et environnementale et la diffusion de deux (02) spots publicitaires télévisuels en matière de lutte contre la fraude douanière, fiscale, commerciale et environnementale.</w:t>
      </w:r>
    </w:p>
    <w:p w14:paraId="34A24AEF" w14:textId="5EEF27BD"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En revanche, le système informatisé de lutte contre la fraude, la loi portant création, composition, attribution</w:t>
      </w:r>
      <w:r w:rsidR="0035089E">
        <w:rPr>
          <w:rFonts w:eastAsia="Calibri"/>
          <w:szCs w:val="24"/>
        </w:rPr>
        <w:t>s</w:t>
      </w:r>
      <w:r w:rsidRPr="00056445">
        <w:rPr>
          <w:rFonts w:eastAsia="Calibri"/>
          <w:szCs w:val="24"/>
        </w:rPr>
        <w:t xml:space="preserve"> et fonctionnement de la CNLF et la stratégie globale de lutte contre la fraude ainsi que la diffusion des spots publicitaires n’ont pu être </w:t>
      </w:r>
      <w:proofErr w:type="spellStart"/>
      <w:r w:rsidRPr="00056445">
        <w:rPr>
          <w:rFonts w:eastAsia="Calibri"/>
          <w:szCs w:val="24"/>
        </w:rPr>
        <w:t>disponibilisé</w:t>
      </w:r>
      <w:r w:rsidR="0035089E">
        <w:rPr>
          <w:rFonts w:eastAsia="Calibri"/>
          <w:szCs w:val="24"/>
        </w:rPr>
        <w:t>s</w:t>
      </w:r>
      <w:proofErr w:type="spellEnd"/>
      <w:r w:rsidRPr="00056445">
        <w:rPr>
          <w:rFonts w:eastAsia="Calibri"/>
          <w:szCs w:val="24"/>
        </w:rPr>
        <w:t>.</w:t>
      </w:r>
    </w:p>
    <w:p w14:paraId="51217D74" w14:textId="118AD574" w:rsidR="00730E02" w:rsidRPr="00F175A7" w:rsidRDefault="00FF704F" w:rsidP="00730E02">
      <w:pPr>
        <w:pBdr>
          <w:top w:val="nil"/>
          <w:left w:val="nil"/>
          <w:bottom w:val="nil"/>
          <w:right w:val="nil"/>
          <w:between w:val="nil"/>
        </w:pBdr>
        <w:spacing w:after="200" w:line="240" w:lineRule="auto"/>
        <w:rPr>
          <w:rFonts w:cs="Merriweather"/>
          <w:sz w:val="22"/>
        </w:rPr>
      </w:pPr>
      <w:bookmarkStart w:id="94" w:name="_Toc164503627"/>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40</w:t>
      </w:r>
      <w:r w:rsidRPr="00B51145">
        <w:rPr>
          <w:b/>
          <w:bCs/>
          <w:sz w:val="22"/>
          <w:u w:val="single"/>
        </w:rPr>
        <w:fldChar w:fldCharType="end"/>
      </w:r>
      <w:r w:rsidR="00730E02" w:rsidRPr="008D20C6">
        <w:rPr>
          <w:rFonts w:cs="Merriweather"/>
          <w:color w:val="44546A"/>
          <w:sz w:val="22"/>
        </w:rPr>
        <w:t xml:space="preserve">: </w:t>
      </w:r>
      <w:r w:rsidR="00730E02" w:rsidRPr="00F175A7">
        <w:rPr>
          <w:rFonts w:cs="Merriweather"/>
          <w:sz w:val="22"/>
        </w:rPr>
        <w:t>situation des indicateurs de produits de l’action « assainissement du marché intérieur » au 31 décembre 2023</w:t>
      </w:r>
      <w:bookmarkEnd w:id="94"/>
    </w:p>
    <w:tbl>
      <w:tblPr>
        <w:tblStyle w:val="GridTable4-Accent111"/>
        <w:tblW w:w="5000" w:type="pct"/>
        <w:tblLayout w:type="fixed"/>
        <w:tblLook w:val="04A0" w:firstRow="1" w:lastRow="0" w:firstColumn="1" w:lastColumn="0" w:noHBand="0" w:noVBand="1"/>
      </w:tblPr>
      <w:tblGrid>
        <w:gridCol w:w="5396"/>
        <w:gridCol w:w="1170"/>
        <w:gridCol w:w="1188"/>
        <w:gridCol w:w="1262"/>
      </w:tblGrid>
      <w:tr w:rsidR="00730E02" w:rsidRPr="004C63B2" w14:paraId="792CF860"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0CD6A1B0" w14:textId="503FE360" w:rsidR="00730E02" w:rsidRPr="004C63B2" w:rsidRDefault="00730E02" w:rsidP="00F175A7">
            <w:pPr>
              <w:spacing w:after="0" w:line="240" w:lineRule="auto"/>
              <w:rPr>
                <w:sz w:val="22"/>
              </w:rPr>
            </w:pPr>
            <w:r w:rsidRPr="004C63B2">
              <w:rPr>
                <w:sz w:val="22"/>
              </w:rPr>
              <w:t xml:space="preserve">Indicateurs </w:t>
            </w:r>
          </w:p>
        </w:tc>
        <w:tc>
          <w:tcPr>
            <w:tcW w:w="649" w:type="pct"/>
            <w:shd w:val="clear" w:color="auto" w:fill="4472C4" w:themeFill="accent1"/>
          </w:tcPr>
          <w:p w14:paraId="2105888C" w14:textId="77777777" w:rsidR="00730E02" w:rsidRPr="004C63B2"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659" w:type="pct"/>
            <w:shd w:val="clear" w:color="auto" w:fill="4472C4" w:themeFill="accent1"/>
          </w:tcPr>
          <w:p w14:paraId="6C5431C2" w14:textId="77777777" w:rsidR="00730E02" w:rsidRPr="004C63B2"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700" w:type="pct"/>
            <w:shd w:val="clear" w:color="auto" w:fill="4472C4" w:themeFill="accent1"/>
          </w:tcPr>
          <w:p w14:paraId="7505C394" w14:textId="77777777" w:rsidR="00730E02" w:rsidRPr="004C63B2"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7B10EDE3"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4D418591" w14:textId="77777777" w:rsidR="00730E02" w:rsidRPr="004C63B2" w:rsidRDefault="00730E02" w:rsidP="00F175A7">
            <w:pPr>
              <w:spacing w:after="0" w:line="240" w:lineRule="auto"/>
              <w:rPr>
                <w:sz w:val="22"/>
              </w:rPr>
            </w:pPr>
            <w:r w:rsidRPr="004C63B2">
              <w:rPr>
                <w:sz w:val="22"/>
              </w:rPr>
              <w:t xml:space="preserve">Nombre de cas de fraude, d'usage de faux réprimés </w:t>
            </w:r>
          </w:p>
        </w:tc>
        <w:tc>
          <w:tcPr>
            <w:tcW w:w="649" w:type="pct"/>
          </w:tcPr>
          <w:p w14:paraId="65ADEDE8"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558</w:t>
            </w:r>
          </w:p>
        </w:tc>
        <w:tc>
          <w:tcPr>
            <w:tcW w:w="659" w:type="pct"/>
          </w:tcPr>
          <w:p w14:paraId="5C8CBC24"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307</w:t>
            </w:r>
          </w:p>
        </w:tc>
        <w:tc>
          <w:tcPr>
            <w:tcW w:w="700" w:type="pct"/>
          </w:tcPr>
          <w:p w14:paraId="1E1A8945"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315</w:t>
            </w:r>
          </w:p>
        </w:tc>
      </w:tr>
      <w:tr w:rsidR="00730E02" w:rsidRPr="004C63B2" w14:paraId="0CE45601"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538304CA" w14:textId="77777777" w:rsidR="00730E02" w:rsidRPr="004C63B2" w:rsidRDefault="00730E02" w:rsidP="00F175A7">
            <w:pPr>
              <w:spacing w:after="0" w:line="240" w:lineRule="auto"/>
              <w:rPr>
                <w:sz w:val="22"/>
              </w:rPr>
            </w:pPr>
            <w:r w:rsidRPr="004C63B2">
              <w:rPr>
                <w:sz w:val="22"/>
              </w:rPr>
              <w:t>Nombre d'entreprises contrôlées sur l'application de la réglementation en matière douanière, fiscale, commerciale et environnementale</w:t>
            </w:r>
          </w:p>
        </w:tc>
        <w:tc>
          <w:tcPr>
            <w:tcW w:w="649" w:type="pct"/>
          </w:tcPr>
          <w:p w14:paraId="645BA5CD"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114</w:t>
            </w:r>
          </w:p>
        </w:tc>
        <w:tc>
          <w:tcPr>
            <w:tcW w:w="659" w:type="pct"/>
          </w:tcPr>
          <w:p w14:paraId="2AF4A34F"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167</w:t>
            </w:r>
          </w:p>
        </w:tc>
        <w:tc>
          <w:tcPr>
            <w:tcW w:w="700" w:type="pct"/>
          </w:tcPr>
          <w:p w14:paraId="0629CE84"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150</w:t>
            </w:r>
          </w:p>
        </w:tc>
      </w:tr>
      <w:tr w:rsidR="00730E02" w:rsidRPr="004C63B2" w14:paraId="7FAA1121"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2EC412BF" w14:textId="6555C22B" w:rsidR="00730E02" w:rsidRPr="004C63B2" w:rsidRDefault="00730E02" w:rsidP="0035089E">
            <w:pPr>
              <w:spacing w:after="0" w:line="240" w:lineRule="auto"/>
              <w:rPr>
                <w:sz w:val="22"/>
              </w:rPr>
            </w:pPr>
            <w:r w:rsidRPr="004C63B2">
              <w:rPr>
                <w:sz w:val="22"/>
              </w:rPr>
              <w:t>Nombre de sorties</w:t>
            </w:r>
            <w:r w:rsidR="0035089E">
              <w:rPr>
                <w:sz w:val="22"/>
              </w:rPr>
              <w:t>-</w:t>
            </w:r>
            <w:r w:rsidRPr="004C63B2">
              <w:rPr>
                <w:sz w:val="22"/>
              </w:rPr>
              <w:t>terrain pour le contrôle de la régularité</w:t>
            </w:r>
            <w:r w:rsidR="0035089E">
              <w:rPr>
                <w:sz w:val="22"/>
              </w:rPr>
              <w:t>,</w:t>
            </w:r>
            <w:r w:rsidRPr="004C63B2">
              <w:rPr>
                <w:sz w:val="22"/>
              </w:rPr>
              <w:t xml:space="preserve"> de la détention et de la destination des marchandises en circulation ou en transit effectué</w:t>
            </w:r>
            <w:r w:rsidR="0035089E">
              <w:rPr>
                <w:sz w:val="22"/>
              </w:rPr>
              <w:t>e</w:t>
            </w:r>
            <w:r w:rsidRPr="004C63B2">
              <w:rPr>
                <w:sz w:val="22"/>
              </w:rPr>
              <w:t xml:space="preserve">s </w:t>
            </w:r>
          </w:p>
        </w:tc>
        <w:tc>
          <w:tcPr>
            <w:tcW w:w="649" w:type="pct"/>
          </w:tcPr>
          <w:p w14:paraId="330FED93"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300</w:t>
            </w:r>
          </w:p>
        </w:tc>
        <w:tc>
          <w:tcPr>
            <w:tcW w:w="659" w:type="pct"/>
          </w:tcPr>
          <w:p w14:paraId="0519DF1F"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779</w:t>
            </w:r>
          </w:p>
        </w:tc>
        <w:tc>
          <w:tcPr>
            <w:tcW w:w="700" w:type="pct"/>
          </w:tcPr>
          <w:p w14:paraId="4C915D03"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520</w:t>
            </w:r>
          </w:p>
        </w:tc>
      </w:tr>
      <w:tr w:rsidR="00730E02" w:rsidRPr="004C63B2" w14:paraId="38B8F0BC"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3A602569" w14:textId="77777777" w:rsidR="00730E02" w:rsidRPr="004C63B2" w:rsidRDefault="00730E02" w:rsidP="00F175A7">
            <w:pPr>
              <w:spacing w:after="0" w:line="240" w:lineRule="auto"/>
              <w:rPr>
                <w:sz w:val="22"/>
              </w:rPr>
            </w:pPr>
            <w:r w:rsidRPr="004C63B2">
              <w:rPr>
                <w:sz w:val="22"/>
              </w:rPr>
              <w:t xml:space="preserve">Nombre de spots publicitaires radiophoniques ou télévisuels en matière douanière, fiscale, commerciale et environnementale produits </w:t>
            </w:r>
          </w:p>
        </w:tc>
        <w:tc>
          <w:tcPr>
            <w:tcW w:w="649" w:type="pct"/>
          </w:tcPr>
          <w:p w14:paraId="158801E4"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59" w:type="pct"/>
          </w:tcPr>
          <w:p w14:paraId="1DBD4C04"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2</w:t>
            </w:r>
          </w:p>
        </w:tc>
        <w:tc>
          <w:tcPr>
            <w:tcW w:w="700" w:type="pct"/>
          </w:tcPr>
          <w:p w14:paraId="0219F42C"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2</w:t>
            </w:r>
          </w:p>
        </w:tc>
      </w:tr>
      <w:tr w:rsidR="00730E02" w:rsidRPr="004C63B2" w14:paraId="2BEEECE8"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29F83158" w14:textId="77777777" w:rsidR="00730E02" w:rsidRPr="004C63B2" w:rsidRDefault="00730E02" w:rsidP="00F175A7">
            <w:pPr>
              <w:spacing w:after="0" w:line="240" w:lineRule="auto"/>
              <w:rPr>
                <w:sz w:val="22"/>
              </w:rPr>
            </w:pPr>
            <w:r w:rsidRPr="004C63B2">
              <w:rPr>
                <w:sz w:val="22"/>
              </w:rPr>
              <w:t xml:space="preserve">Nombre de spots publicitaires radiophoniques ou télévisuels en matière douanière, fiscale, commerciale et environnementale diffusés </w:t>
            </w:r>
          </w:p>
        </w:tc>
        <w:tc>
          <w:tcPr>
            <w:tcW w:w="649" w:type="pct"/>
          </w:tcPr>
          <w:p w14:paraId="3189CDAB"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59" w:type="pct"/>
          </w:tcPr>
          <w:p w14:paraId="0EA3E4A7"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2</w:t>
            </w:r>
          </w:p>
        </w:tc>
        <w:tc>
          <w:tcPr>
            <w:tcW w:w="700" w:type="pct"/>
          </w:tcPr>
          <w:p w14:paraId="408791BE"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6</w:t>
            </w:r>
          </w:p>
        </w:tc>
      </w:tr>
      <w:tr w:rsidR="00730E02" w:rsidRPr="004C63B2" w14:paraId="05AB1848"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080353AE" w14:textId="77777777" w:rsidR="00730E02" w:rsidRPr="004C63B2" w:rsidRDefault="00730E02" w:rsidP="00F175A7">
            <w:pPr>
              <w:spacing w:after="0" w:line="240" w:lineRule="auto"/>
              <w:rPr>
                <w:sz w:val="22"/>
              </w:rPr>
            </w:pPr>
            <w:r w:rsidRPr="004C63B2">
              <w:rPr>
                <w:sz w:val="22"/>
              </w:rPr>
              <w:t xml:space="preserve">Disponibilité d’un système informatisé de lutte contre la fraude </w:t>
            </w:r>
          </w:p>
        </w:tc>
        <w:tc>
          <w:tcPr>
            <w:tcW w:w="649" w:type="pct"/>
          </w:tcPr>
          <w:p w14:paraId="02ADF40F"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59" w:type="pct"/>
          </w:tcPr>
          <w:p w14:paraId="66789F9D"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700" w:type="pct"/>
          </w:tcPr>
          <w:p w14:paraId="3C9044C5"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r>
      <w:tr w:rsidR="00730E02" w:rsidRPr="004C63B2" w14:paraId="39A44935"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0FCF260D" w14:textId="6944EBA1" w:rsidR="00730E02" w:rsidRPr="004C63B2" w:rsidRDefault="00730E02" w:rsidP="00F175A7">
            <w:pPr>
              <w:spacing w:after="0" w:line="240" w:lineRule="auto"/>
              <w:rPr>
                <w:sz w:val="22"/>
              </w:rPr>
            </w:pPr>
            <w:r w:rsidRPr="004C63B2">
              <w:rPr>
                <w:sz w:val="22"/>
              </w:rPr>
              <w:t>Disponibilité de la loi portant création, composition, attribution</w:t>
            </w:r>
            <w:r w:rsidR="0035089E">
              <w:rPr>
                <w:sz w:val="22"/>
              </w:rPr>
              <w:t>s</w:t>
            </w:r>
            <w:r w:rsidRPr="004C63B2">
              <w:rPr>
                <w:sz w:val="22"/>
              </w:rPr>
              <w:t xml:space="preserve"> et fonctionnement de la CNLF </w:t>
            </w:r>
          </w:p>
        </w:tc>
        <w:tc>
          <w:tcPr>
            <w:tcW w:w="649" w:type="pct"/>
          </w:tcPr>
          <w:p w14:paraId="18F3746D"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59" w:type="pct"/>
          </w:tcPr>
          <w:p w14:paraId="4EC639D0"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700" w:type="pct"/>
          </w:tcPr>
          <w:p w14:paraId="25A4AD97"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r>
      <w:tr w:rsidR="00730E02" w:rsidRPr="004C63B2" w14:paraId="5349FBC8"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6E993770" w14:textId="2606C84F" w:rsidR="00730E02" w:rsidRPr="004C63B2" w:rsidRDefault="00730E02" w:rsidP="00F175A7">
            <w:pPr>
              <w:spacing w:after="0" w:line="240" w:lineRule="auto"/>
              <w:rPr>
                <w:sz w:val="22"/>
              </w:rPr>
            </w:pPr>
            <w:r w:rsidRPr="004C63B2">
              <w:rPr>
                <w:sz w:val="22"/>
              </w:rPr>
              <w:t xml:space="preserve">Disponibilité de </w:t>
            </w:r>
            <w:r w:rsidR="0035089E">
              <w:rPr>
                <w:sz w:val="22"/>
              </w:rPr>
              <w:t>s</w:t>
            </w:r>
            <w:r w:rsidRPr="004C63B2">
              <w:rPr>
                <w:sz w:val="22"/>
              </w:rPr>
              <w:t xml:space="preserve">tratégie globale de lutte contre la fraude </w:t>
            </w:r>
          </w:p>
        </w:tc>
        <w:tc>
          <w:tcPr>
            <w:tcW w:w="649" w:type="pct"/>
          </w:tcPr>
          <w:p w14:paraId="06F0C4F1"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59" w:type="pct"/>
          </w:tcPr>
          <w:p w14:paraId="5DC011C3"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700" w:type="pct"/>
          </w:tcPr>
          <w:p w14:paraId="2C76593B"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r>
    </w:tbl>
    <w:p w14:paraId="584D0F35" w14:textId="71CCC6C7" w:rsidR="00730E02" w:rsidRPr="00E31E23" w:rsidRDefault="00730E02" w:rsidP="00730E02">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 xml:space="preserve">de performance </w:t>
      </w:r>
      <w:r w:rsidR="00DC770F">
        <w:rPr>
          <w:sz w:val="20"/>
          <w:szCs w:val="20"/>
        </w:rPr>
        <w:t>2023</w:t>
      </w:r>
      <w:r w:rsidRPr="00E31E23">
        <w:rPr>
          <w:sz w:val="20"/>
          <w:szCs w:val="20"/>
        </w:rPr>
        <w:t xml:space="preserve"> du CSD-GE, février 2024</w:t>
      </w:r>
    </w:p>
    <w:p w14:paraId="1F4D3F25" w14:textId="651EE2DB"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Le taux de mise en œuvre des produits de cette action est de 34,19%. Sur une prévision de 153</w:t>
      </w:r>
      <w:r w:rsidR="0035089E" w:rsidRPr="00B17BCE">
        <w:rPr>
          <w:rFonts w:eastAsia="Calibri"/>
          <w:szCs w:val="24"/>
        </w:rPr>
        <w:t> </w:t>
      </w:r>
      <w:r w:rsidRPr="00056445">
        <w:rPr>
          <w:rFonts w:eastAsia="Calibri"/>
          <w:szCs w:val="24"/>
        </w:rPr>
        <w:t>000</w:t>
      </w:r>
      <w:r w:rsidR="0035089E" w:rsidRPr="00B17BCE">
        <w:rPr>
          <w:rFonts w:eastAsia="Calibri"/>
          <w:szCs w:val="24"/>
        </w:rPr>
        <w:t> </w:t>
      </w:r>
      <w:r w:rsidRPr="00056445">
        <w:rPr>
          <w:rFonts w:eastAsia="Calibri"/>
          <w:szCs w:val="24"/>
        </w:rPr>
        <w:t>000 FCFA, seulement 52</w:t>
      </w:r>
      <w:r w:rsidR="0035089E">
        <w:rPr>
          <w:rFonts w:eastAsia="Calibri"/>
          <w:szCs w:val="24"/>
        </w:rPr>
        <w:t> </w:t>
      </w:r>
      <w:r w:rsidRPr="00056445">
        <w:rPr>
          <w:rFonts w:eastAsia="Calibri"/>
          <w:szCs w:val="24"/>
        </w:rPr>
        <w:t>322</w:t>
      </w:r>
      <w:r w:rsidR="0035089E" w:rsidRPr="00B17BCE">
        <w:rPr>
          <w:rFonts w:eastAsia="Calibri"/>
          <w:szCs w:val="24"/>
        </w:rPr>
        <w:t> </w:t>
      </w:r>
      <w:r w:rsidRPr="00056445">
        <w:rPr>
          <w:rFonts w:eastAsia="Calibri"/>
          <w:szCs w:val="24"/>
        </w:rPr>
        <w:t>670 FCFA ont été dépensés</w:t>
      </w:r>
      <w:r w:rsidR="0035089E">
        <w:rPr>
          <w:rFonts w:eastAsia="Calibri"/>
          <w:szCs w:val="24"/>
        </w:rPr>
        <w:t>.</w:t>
      </w:r>
      <w:r w:rsidRPr="00056445">
        <w:rPr>
          <w:rFonts w:eastAsia="Calibri"/>
          <w:szCs w:val="24"/>
        </w:rPr>
        <w:t xml:space="preserve"> </w:t>
      </w:r>
    </w:p>
    <w:p w14:paraId="717C2E94" w14:textId="6CF1E983"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neuvième action porte sur </w:t>
      </w:r>
      <w:r w:rsidRPr="008139E1">
        <w:rPr>
          <w:rFonts w:eastAsia="Calibri"/>
          <w:b/>
          <w:szCs w:val="24"/>
        </w:rPr>
        <w:t xml:space="preserve">l’élaboration d’une nouvelle </w:t>
      </w:r>
      <w:r w:rsidR="0035089E">
        <w:rPr>
          <w:rFonts w:eastAsia="Calibri"/>
          <w:b/>
          <w:szCs w:val="24"/>
        </w:rPr>
        <w:t>E</w:t>
      </w:r>
      <w:r w:rsidRPr="008139E1">
        <w:rPr>
          <w:rFonts w:eastAsia="Calibri"/>
          <w:b/>
          <w:szCs w:val="24"/>
        </w:rPr>
        <w:t>tude nationale prospective (03030)</w:t>
      </w:r>
      <w:r w:rsidRPr="00056445">
        <w:rPr>
          <w:rFonts w:eastAsia="Calibri"/>
          <w:szCs w:val="24"/>
        </w:rPr>
        <w:t>. L’objectif pour 2023 est de poursuivre le processus de réalisation de cette étude attendue en 2025.</w:t>
      </w:r>
    </w:p>
    <w:p w14:paraId="4413D030"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Pour la mise en œuvre de cette action, cinq produits ont été programmés dont quatre ont atteint leur cible. Les acquis concernent entre autres la validation et l’élaboration du : (i) rapport de l’étude rétrospective macroéconomique ; (ii) rapport de l’étude rétrospective sociale. (iii) rapport de l'étude rétrospective politique et (iv) rapport de diagnostic stratégique.</w:t>
      </w:r>
    </w:p>
    <w:p w14:paraId="472694FC" w14:textId="4D955B73" w:rsidR="00730E02" w:rsidRPr="00F175A7" w:rsidRDefault="00FF704F" w:rsidP="00730E02">
      <w:pPr>
        <w:pBdr>
          <w:top w:val="nil"/>
          <w:left w:val="nil"/>
          <w:bottom w:val="nil"/>
          <w:right w:val="nil"/>
          <w:between w:val="nil"/>
        </w:pBdr>
        <w:spacing w:after="200" w:line="240" w:lineRule="auto"/>
        <w:rPr>
          <w:rFonts w:cs="Merriweather"/>
          <w:iCs/>
          <w:sz w:val="22"/>
        </w:rPr>
      </w:pPr>
      <w:bookmarkStart w:id="95" w:name="_Toc164503628"/>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41</w:t>
      </w:r>
      <w:r w:rsidRPr="00B51145">
        <w:rPr>
          <w:b/>
          <w:bCs/>
          <w:sz w:val="22"/>
          <w:u w:val="single"/>
        </w:rPr>
        <w:fldChar w:fldCharType="end"/>
      </w:r>
      <w:r w:rsidR="00730E02" w:rsidRPr="008D20C6">
        <w:rPr>
          <w:rFonts w:cs="Merriweather"/>
          <w:iCs/>
          <w:color w:val="44546A"/>
          <w:sz w:val="22"/>
        </w:rPr>
        <w:t xml:space="preserve">: </w:t>
      </w:r>
      <w:r w:rsidR="00730E02" w:rsidRPr="00F175A7">
        <w:rPr>
          <w:rFonts w:cs="Merriweather"/>
          <w:iCs/>
          <w:sz w:val="22"/>
        </w:rPr>
        <w:t>situation des indicateurs de produits de l’action « élaboration d’une nouvelle Etude nationale prospective » au 31 décembre 2023</w:t>
      </w:r>
      <w:bookmarkEnd w:id="95"/>
    </w:p>
    <w:tbl>
      <w:tblPr>
        <w:tblStyle w:val="GridTable4-Accent111"/>
        <w:tblW w:w="5000" w:type="pct"/>
        <w:tblLayout w:type="fixed"/>
        <w:tblLook w:val="04A0" w:firstRow="1" w:lastRow="0" w:firstColumn="1" w:lastColumn="0" w:noHBand="0" w:noVBand="1"/>
      </w:tblPr>
      <w:tblGrid>
        <w:gridCol w:w="5486"/>
        <w:gridCol w:w="1170"/>
        <w:gridCol w:w="1170"/>
        <w:gridCol w:w="1190"/>
      </w:tblGrid>
      <w:tr w:rsidR="00730E02" w:rsidRPr="004C63B2" w14:paraId="65D5E598" w14:textId="77777777" w:rsidTr="00F175A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042" w:type="pct"/>
            <w:shd w:val="clear" w:color="auto" w:fill="4472C4" w:themeFill="accent1"/>
          </w:tcPr>
          <w:p w14:paraId="2E2E4F54" w14:textId="0BEB602B" w:rsidR="00730E02" w:rsidRPr="004C63B2" w:rsidRDefault="00730E02" w:rsidP="00F175A7">
            <w:pPr>
              <w:keepNext/>
              <w:keepLines/>
              <w:spacing w:after="0" w:line="240" w:lineRule="auto"/>
              <w:rPr>
                <w:sz w:val="22"/>
              </w:rPr>
            </w:pPr>
            <w:r w:rsidRPr="004C63B2">
              <w:rPr>
                <w:sz w:val="22"/>
              </w:rPr>
              <w:t xml:space="preserve">Indicateurs </w:t>
            </w:r>
          </w:p>
        </w:tc>
        <w:tc>
          <w:tcPr>
            <w:tcW w:w="649" w:type="pct"/>
            <w:shd w:val="clear" w:color="auto" w:fill="4472C4" w:themeFill="accent1"/>
          </w:tcPr>
          <w:p w14:paraId="41A623CE"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649" w:type="pct"/>
            <w:shd w:val="clear" w:color="auto" w:fill="4472C4" w:themeFill="accent1"/>
          </w:tcPr>
          <w:p w14:paraId="1DB86AF5"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660" w:type="pct"/>
            <w:shd w:val="clear" w:color="auto" w:fill="4472C4" w:themeFill="accent1"/>
          </w:tcPr>
          <w:p w14:paraId="46EBF9AB"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472F0B50"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2" w:type="pct"/>
          </w:tcPr>
          <w:p w14:paraId="59D5D534" w14:textId="44123742" w:rsidR="00730E02" w:rsidRPr="004C63B2" w:rsidRDefault="00730E02" w:rsidP="00F175A7">
            <w:pPr>
              <w:spacing w:after="0" w:line="240" w:lineRule="auto"/>
              <w:rPr>
                <w:sz w:val="22"/>
              </w:rPr>
            </w:pPr>
            <w:r w:rsidRPr="004C63B2">
              <w:rPr>
                <w:sz w:val="22"/>
              </w:rPr>
              <w:t xml:space="preserve">Disponibilité du rapport de </w:t>
            </w:r>
            <w:r w:rsidRPr="004C63B2">
              <w:rPr>
                <w:rFonts w:eastAsia="Times New Roman" w:cs="Times New Roman"/>
                <w:sz w:val="22"/>
              </w:rPr>
              <w:t>l’étude rétrospective macroéconomique pour l’ENP post</w:t>
            </w:r>
            <w:r w:rsidR="0035089E">
              <w:rPr>
                <w:rFonts w:eastAsia="Times New Roman" w:cs="Times New Roman"/>
                <w:sz w:val="22"/>
              </w:rPr>
              <w:t>-</w:t>
            </w:r>
            <w:r w:rsidRPr="004C63B2">
              <w:rPr>
                <w:rFonts w:eastAsia="Times New Roman" w:cs="Times New Roman"/>
                <w:sz w:val="22"/>
              </w:rPr>
              <w:t>2025</w:t>
            </w:r>
          </w:p>
        </w:tc>
        <w:tc>
          <w:tcPr>
            <w:tcW w:w="649" w:type="pct"/>
          </w:tcPr>
          <w:p w14:paraId="7B6115B0"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49" w:type="pct"/>
          </w:tcPr>
          <w:p w14:paraId="5689ED0F"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c>
          <w:tcPr>
            <w:tcW w:w="660" w:type="pct"/>
          </w:tcPr>
          <w:p w14:paraId="0458367D"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r>
      <w:tr w:rsidR="00730E02" w:rsidRPr="004C63B2" w14:paraId="464AFA11" w14:textId="77777777" w:rsidTr="00056445">
        <w:trPr>
          <w:trHeight w:val="300"/>
        </w:trPr>
        <w:tc>
          <w:tcPr>
            <w:cnfStyle w:val="001000000000" w:firstRow="0" w:lastRow="0" w:firstColumn="1" w:lastColumn="0" w:oddVBand="0" w:evenVBand="0" w:oddHBand="0" w:evenHBand="0" w:firstRowFirstColumn="0" w:firstRowLastColumn="0" w:lastRowFirstColumn="0" w:lastRowLastColumn="0"/>
            <w:tcW w:w="3042" w:type="pct"/>
          </w:tcPr>
          <w:p w14:paraId="72D1D4DA" w14:textId="09DEC854" w:rsidR="00730E02" w:rsidRPr="004C63B2" w:rsidRDefault="00730E02" w:rsidP="00F175A7">
            <w:pPr>
              <w:spacing w:after="0" w:line="240" w:lineRule="auto"/>
              <w:rPr>
                <w:sz w:val="22"/>
              </w:rPr>
            </w:pPr>
            <w:r w:rsidRPr="004C63B2">
              <w:rPr>
                <w:rFonts w:eastAsia="Times New Roman" w:cs="Times New Roman"/>
                <w:sz w:val="22"/>
              </w:rPr>
              <w:t>Disponibilité du rapport de l’étude rétrospective sociale pour l’ENP post</w:t>
            </w:r>
            <w:r w:rsidR="0035089E">
              <w:rPr>
                <w:rFonts w:eastAsia="Times New Roman" w:cs="Times New Roman"/>
                <w:sz w:val="22"/>
              </w:rPr>
              <w:t>-</w:t>
            </w:r>
            <w:r w:rsidRPr="004C63B2">
              <w:rPr>
                <w:rFonts w:eastAsia="Times New Roman" w:cs="Times New Roman"/>
                <w:sz w:val="22"/>
              </w:rPr>
              <w:t>2025</w:t>
            </w:r>
          </w:p>
        </w:tc>
        <w:tc>
          <w:tcPr>
            <w:tcW w:w="649" w:type="pct"/>
          </w:tcPr>
          <w:p w14:paraId="76DF9266"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49" w:type="pct"/>
          </w:tcPr>
          <w:p w14:paraId="7A003FC6"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c>
          <w:tcPr>
            <w:tcW w:w="660" w:type="pct"/>
          </w:tcPr>
          <w:p w14:paraId="769B7E58"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r>
      <w:tr w:rsidR="00730E02" w:rsidRPr="004C63B2" w14:paraId="36D89A3E" w14:textId="77777777" w:rsidTr="0005644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042" w:type="pct"/>
          </w:tcPr>
          <w:p w14:paraId="45684102" w14:textId="42B800D4" w:rsidR="00730E02" w:rsidRPr="004C63B2" w:rsidRDefault="00730E02" w:rsidP="00F175A7">
            <w:pPr>
              <w:spacing w:after="0" w:line="240" w:lineRule="auto"/>
              <w:rPr>
                <w:sz w:val="22"/>
              </w:rPr>
            </w:pPr>
            <w:r w:rsidRPr="004C63B2">
              <w:rPr>
                <w:rFonts w:eastAsia="Times New Roman" w:cs="Times New Roman"/>
                <w:sz w:val="22"/>
              </w:rPr>
              <w:t>Disponibilité du rapport de l’étude rétrospective sécuritaire pour l’ENP post</w:t>
            </w:r>
            <w:r w:rsidR="0035089E">
              <w:rPr>
                <w:rFonts w:eastAsia="Times New Roman" w:cs="Times New Roman"/>
                <w:sz w:val="22"/>
              </w:rPr>
              <w:t>-</w:t>
            </w:r>
            <w:r w:rsidRPr="004C63B2">
              <w:rPr>
                <w:rFonts w:eastAsia="Times New Roman" w:cs="Times New Roman"/>
                <w:sz w:val="22"/>
              </w:rPr>
              <w:t xml:space="preserve">2025 </w:t>
            </w:r>
          </w:p>
        </w:tc>
        <w:tc>
          <w:tcPr>
            <w:tcW w:w="649" w:type="pct"/>
          </w:tcPr>
          <w:p w14:paraId="4B92B39B"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49" w:type="pct"/>
          </w:tcPr>
          <w:p w14:paraId="56011EE5"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60" w:type="pct"/>
          </w:tcPr>
          <w:p w14:paraId="040B0C04"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r>
      <w:tr w:rsidR="00730E02" w:rsidRPr="004C63B2" w14:paraId="1177E7AE" w14:textId="77777777" w:rsidTr="00056445">
        <w:trPr>
          <w:trHeight w:val="300"/>
        </w:trPr>
        <w:tc>
          <w:tcPr>
            <w:cnfStyle w:val="001000000000" w:firstRow="0" w:lastRow="0" w:firstColumn="1" w:lastColumn="0" w:oddVBand="0" w:evenVBand="0" w:oddHBand="0" w:evenHBand="0" w:firstRowFirstColumn="0" w:firstRowLastColumn="0" w:lastRowFirstColumn="0" w:lastRowLastColumn="0"/>
            <w:tcW w:w="3042" w:type="pct"/>
          </w:tcPr>
          <w:p w14:paraId="2EA21D7B" w14:textId="28049557" w:rsidR="00730E02" w:rsidRPr="004C63B2" w:rsidRDefault="00730E02" w:rsidP="00F175A7">
            <w:pPr>
              <w:spacing w:after="0" w:line="240" w:lineRule="auto"/>
              <w:rPr>
                <w:sz w:val="22"/>
              </w:rPr>
            </w:pPr>
            <w:r w:rsidRPr="004C63B2">
              <w:rPr>
                <w:rFonts w:eastAsia="Times New Roman" w:cs="Times New Roman"/>
                <w:sz w:val="22"/>
              </w:rPr>
              <w:t>Disponibilité</w:t>
            </w:r>
            <w:r w:rsidRPr="004C63B2">
              <w:rPr>
                <w:rFonts w:eastAsia="Times New Roman" w:cs="Times New Roman"/>
                <w:color w:val="000000"/>
                <w:sz w:val="22"/>
              </w:rPr>
              <w:t xml:space="preserve"> du rapport de l'étude rétrospective politique pour l'ENP post</w:t>
            </w:r>
            <w:r w:rsidR="0035089E">
              <w:rPr>
                <w:rFonts w:eastAsia="Times New Roman" w:cs="Times New Roman"/>
                <w:color w:val="000000"/>
                <w:sz w:val="22"/>
              </w:rPr>
              <w:t>-</w:t>
            </w:r>
            <w:r w:rsidRPr="004C63B2">
              <w:rPr>
                <w:rFonts w:eastAsia="Times New Roman" w:cs="Times New Roman"/>
                <w:color w:val="000000"/>
                <w:sz w:val="22"/>
              </w:rPr>
              <w:t>2025</w:t>
            </w:r>
          </w:p>
        </w:tc>
        <w:tc>
          <w:tcPr>
            <w:tcW w:w="649" w:type="pct"/>
          </w:tcPr>
          <w:p w14:paraId="1C51D32C"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0</w:t>
            </w:r>
          </w:p>
        </w:tc>
        <w:tc>
          <w:tcPr>
            <w:tcW w:w="649" w:type="pct"/>
          </w:tcPr>
          <w:p w14:paraId="0A1F1083"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c>
          <w:tcPr>
            <w:tcW w:w="660" w:type="pct"/>
          </w:tcPr>
          <w:p w14:paraId="64C916AD"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w:t>
            </w:r>
          </w:p>
        </w:tc>
      </w:tr>
      <w:tr w:rsidR="00730E02" w:rsidRPr="004C63B2" w14:paraId="6FDA593F"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2" w:type="pct"/>
          </w:tcPr>
          <w:p w14:paraId="3FFFC937" w14:textId="52E1F9A7" w:rsidR="00730E02" w:rsidRPr="004C63B2" w:rsidRDefault="00730E02" w:rsidP="00F175A7">
            <w:pPr>
              <w:spacing w:after="0" w:line="240" w:lineRule="auto"/>
              <w:rPr>
                <w:sz w:val="22"/>
              </w:rPr>
            </w:pPr>
            <w:r w:rsidRPr="004C63B2">
              <w:rPr>
                <w:rFonts w:eastAsia="Times New Roman" w:cs="Times New Roman"/>
                <w:sz w:val="22"/>
              </w:rPr>
              <w:t>Disponibilité</w:t>
            </w:r>
            <w:r w:rsidRPr="004C63B2">
              <w:rPr>
                <w:rFonts w:eastAsia="Times New Roman" w:cs="Times New Roman"/>
                <w:color w:val="000000"/>
                <w:sz w:val="22"/>
              </w:rPr>
              <w:t xml:space="preserve"> du rapport du diagnostic stratégique pour l'ENP post</w:t>
            </w:r>
            <w:r w:rsidR="0035089E">
              <w:rPr>
                <w:rFonts w:eastAsia="Times New Roman" w:cs="Times New Roman"/>
                <w:color w:val="000000"/>
                <w:sz w:val="22"/>
              </w:rPr>
              <w:t>-</w:t>
            </w:r>
            <w:r w:rsidRPr="004C63B2">
              <w:rPr>
                <w:rFonts w:eastAsia="Times New Roman" w:cs="Times New Roman"/>
                <w:color w:val="000000"/>
                <w:sz w:val="22"/>
              </w:rPr>
              <w:t>2025</w:t>
            </w:r>
          </w:p>
        </w:tc>
        <w:tc>
          <w:tcPr>
            <w:tcW w:w="649" w:type="pct"/>
          </w:tcPr>
          <w:p w14:paraId="52D71600"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49" w:type="pct"/>
          </w:tcPr>
          <w:p w14:paraId="2073E1BB"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c>
          <w:tcPr>
            <w:tcW w:w="660" w:type="pct"/>
          </w:tcPr>
          <w:p w14:paraId="18A793B6"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r>
    </w:tbl>
    <w:p w14:paraId="269EC591" w14:textId="2DC02912" w:rsidR="00730E02" w:rsidRPr="00E31E23" w:rsidRDefault="00730E02" w:rsidP="00730E02">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de performance 2023 du CSD-GE, février 2024</w:t>
      </w:r>
    </w:p>
    <w:p w14:paraId="340E12EF" w14:textId="079EF174" w:rsidR="00730E02" w:rsidRPr="00056445" w:rsidRDefault="0035089E"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730E02" w:rsidRPr="00056445">
        <w:rPr>
          <w:rFonts w:eastAsia="Calibri"/>
          <w:szCs w:val="24"/>
        </w:rPr>
        <w:t xml:space="preserve"> plan budgétaire, le niveau d’exécution des produits de l’action s’élève à 55,03 %. Sur une prévision de 90</w:t>
      </w:r>
      <w:r>
        <w:rPr>
          <w:rFonts w:eastAsia="Calibri"/>
          <w:szCs w:val="24"/>
        </w:rPr>
        <w:t> </w:t>
      </w:r>
      <w:r w:rsidR="00730E02" w:rsidRPr="00056445">
        <w:rPr>
          <w:rFonts w:eastAsia="Calibri"/>
          <w:szCs w:val="24"/>
        </w:rPr>
        <w:t>466</w:t>
      </w:r>
      <w:r w:rsidRPr="00B17BCE">
        <w:rPr>
          <w:rFonts w:eastAsia="Calibri"/>
          <w:szCs w:val="24"/>
        </w:rPr>
        <w:t> </w:t>
      </w:r>
      <w:r w:rsidR="00730E02" w:rsidRPr="00056445">
        <w:rPr>
          <w:rFonts w:eastAsia="Calibri"/>
          <w:szCs w:val="24"/>
        </w:rPr>
        <w:t xml:space="preserve">358 FCFA, </w:t>
      </w:r>
      <w:r>
        <w:rPr>
          <w:rFonts w:eastAsia="Calibri"/>
          <w:szCs w:val="24"/>
        </w:rPr>
        <w:t xml:space="preserve">au total </w:t>
      </w:r>
      <w:r w:rsidR="00730E02" w:rsidRPr="00056445">
        <w:rPr>
          <w:rFonts w:eastAsia="Calibri"/>
          <w:szCs w:val="24"/>
        </w:rPr>
        <w:t>49</w:t>
      </w:r>
      <w:r>
        <w:rPr>
          <w:rFonts w:eastAsia="Calibri"/>
          <w:szCs w:val="24"/>
        </w:rPr>
        <w:t> </w:t>
      </w:r>
      <w:r w:rsidR="00730E02" w:rsidRPr="00056445">
        <w:rPr>
          <w:rFonts w:eastAsia="Calibri"/>
          <w:szCs w:val="24"/>
        </w:rPr>
        <w:t>781</w:t>
      </w:r>
      <w:r w:rsidRPr="00B17BCE">
        <w:rPr>
          <w:rFonts w:eastAsia="Calibri"/>
          <w:szCs w:val="24"/>
        </w:rPr>
        <w:t> </w:t>
      </w:r>
      <w:r w:rsidR="00730E02" w:rsidRPr="00056445">
        <w:rPr>
          <w:rFonts w:eastAsia="Calibri"/>
          <w:szCs w:val="24"/>
        </w:rPr>
        <w:t xml:space="preserve">423 FCFA ont été dépensés. </w:t>
      </w:r>
    </w:p>
    <w:p w14:paraId="1AF92AB3"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dixième action porte sur </w:t>
      </w:r>
      <w:r w:rsidRPr="008139E1">
        <w:rPr>
          <w:rFonts w:eastAsia="Calibri"/>
          <w:b/>
          <w:szCs w:val="24"/>
        </w:rPr>
        <w:t>la production de rapports thématiques (03031)</w:t>
      </w:r>
      <w:r w:rsidRPr="00056445">
        <w:rPr>
          <w:rFonts w:eastAsia="Calibri"/>
          <w:szCs w:val="24"/>
        </w:rPr>
        <w:t xml:space="preserve"> dans le cadre du suivi des Objectif du développement durable (ODD). En 2023, il est attendu la disponibilité du rapport national volontaire. Au 31 décembre 2023, ledit rapport est disponible. </w:t>
      </w:r>
    </w:p>
    <w:p w14:paraId="63E7E0A1" w14:textId="77A195F3"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Trois (03) produits ont été programmés au titre de cette action en 2023. Au 31 décembre 2023, deux (02) produits ont été réalisés.</w:t>
      </w:r>
      <w:r w:rsidR="0035089E">
        <w:rPr>
          <w:rFonts w:eastAsia="Calibri"/>
          <w:szCs w:val="24"/>
        </w:rPr>
        <w:t xml:space="preserve"> I</w:t>
      </w:r>
      <w:r w:rsidRPr="00056445">
        <w:rPr>
          <w:rFonts w:eastAsia="Calibri"/>
          <w:szCs w:val="24"/>
        </w:rPr>
        <w:t>l s’agit de la disponibilité : (i) du rapport national volontaire de suivi de la mise en œuvre des ODD et (ii) du rapport régional sur la mise en œuvre des ODD.</w:t>
      </w:r>
    </w:p>
    <w:p w14:paraId="51A164E4"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Le troisième produit relatif à l’élaboration du projet de renforcement du cadre de planification et d’études prospectives n’est pas disponible. Cependant, un PRODOC provisoire du projet de renforcement du cadre de planification et d’études prospectives est disponible.</w:t>
      </w:r>
    </w:p>
    <w:p w14:paraId="37A867F4" w14:textId="2E99AE4B" w:rsidR="00730E02" w:rsidRPr="00056445" w:rsidRDefault="0035089E"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730E02" w:rsidRPr="00056445">
        <w:rPr>
          <w:rFonts w:eastAsia="Calibri"/>
          <w:szCs w:val="24"/>
        </w:rPr>
        <w:t xml:space="preserve"> plan financier, le taux d’exécution financière de l’action est ressorti à 69,81%. En effet, sur une prévision annuelle de 101</w:t>
      </w:r>
      <w:r>
        <w:rPr>
          <w:rFonts w:eastAsia="Calibri"/>
          <w:szCs w:val="24"/>
        </w:rPr>
        <w:t> </w:t>
      </w:r>
      <w:r w:rsidR="00730E02" w:rsidRPr="00056445">
        <w:rPr>
          <w:rFonts w:eastAsia="Calibri"/>
          <w:szCs w:val="24"/>
        </w:rPr>
        <w:t>054</w:t>
      </w:r>
      <w:r w:rsidRPr="00B17BCE">
        <w:rPr>
          <w:rFonts w:eastAsia="Calibri"/>
          <w:szCs w:val="24"/>
        </w:rPr>
        <w:t> </w:t>
      </w:r>
      <w:r w:rsidR="00730E02" w:rsidRPr="00056445">
        <w:rPr>
          <w:rFonts w:eastAsia="Calibri"/>
          <w:szCs w:val="24"/>
        </w:rPr>
        <w:t xml:space="preserve">174 FCFA, </w:t>
      </w:r>
      <w:r w:rsidR="00DC770F">
        <w:rPr>
          <w:rFonts w:eastAsia="Calibri"/>
          <w:szCs w:val="24"/>
        </w:rPr>
        <w:t xml:space="preserve">au total </w:t>
      </w:r>
      <w:r w:rsidR="00730E02" w:rsidRPr="00056445">
        <w:rPr>
          <w:rFonts w:eastAsia="Calibri"/>
          <w:szCs w:val="24"/>
        </w:rPr>
        <w:t>70</w:t>
      </w:r>
      <w:r>
        <w:rPr>
          <w:rFonts w:eastAsia="Calibri"/>
          <w:szCs w:val="24"/>
        </w:rPr>
        <w:t> </w:t>
      </w:r>
      <w:r w:rsidR="00730E02" w:rsidRPr="00056445">
        <w:rPr>
          <w:rFonts w:eastAsia="Calibri"/>
          <w:szCs w:val="24"/>
        </w:rPr>
        <w:t>550</w:t>
      </w:r>
      <w:r w:rsidRPr="00B17BCE">
        <w:rPr>
          <w:rFonts w:eastAsia="Calibri"/>
          <w:szCs w:val="24"/>
        </w:rPr>
        <w:t> </w:t>
      </w:r>
      <w:r w:rsidR="00730E02" w:rsidRPr="00056445">
        <w:rPr>
          <w:rFonts w:eastAsia="Calibri"/>
          <w:szCs w:val="24"/>
        </w:rPr>
        <w:t>810 FCFA ont été dépensé</w:t>
      </w:r>
      <w:r w:rsidR="00DC770F">
        <w:rPr>
          <w:rFonts w:eastAsia="Calibri"/>
          <w:szCs w:val="24"/>
        </w:rPr>
        <w:t>s</w:t>
      </w:r>
      <w:r w:rsidR="00730E02" w:rsidRPr="00056445">
        <w:rPr>
          <w:rFonts w:eastAsia="Calibri"/>
          <w:szCs w:val="24"/>
        </w:rPr>
        <w:t xml:space="preserve">. </w:t>
      </w:r>
    </w:p>
    <w:p w14:paraId="52A8CF69" w14:textId="58C046F1"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onzième action concerne </w:t>
      </w:r>
      <w:r w:rsidRPr="008139E1">
        <w:rPr>
          <w:rFonts w:eastAsia="Calibri"/>
          <w:b/>
          <w:szCs w:val="24"/>
        </w:rPr>
        <w:t>l’audit des ministères et Institutions (03032).</w:t>
      </w:r>
      <w:r w:rsidRPr="00056445">
        <w:rPr>
          <w:rFonts w:eastAsia="Calibri"/>
          <w:szCs w:val="24"/>
        </w:rPr>
        <w:t xml:space="preserve"> Cette action est appréciée à travers deux indicateurs d’actions</w:t>
      </w:r>
      <w:r w:rsidR="0035089E">
        <w:rPr>
          <w:rFonts w:eastAsia="Calibri"/>
          <w:szCs w:val="24"/>
        </w:rPr>
        <w:t>,</w:t>
      </w:r>
      <w:r w:rsidRPr="00056445">
        <w:rPr>
          <w:rFonts w:eastAsia="Calibri"/>
          <w:szCs w:val="24"/>
        </w:rPr>
        <w:t xml:space="preserve"> à savoir</w:t>
      </w:r>
      <w:r w:rsidR="00987C47">
        <w:rPr>
          <w:rFonts w:eastAsia="Calibri"/>
          <w:szCs w:val="24"/>
        </w:rPr>
        <w:t xml:space="preserve"> </w:t>
      </w:r>
      <w:r w:rsidRPr="00056445">
        <w:rPr>
          <w:rFonts w:eastAsia="Calibri"/>
          <w:szCs w:val="24"/>
        </w:rPr>
        <w:t xml:space="preserve">(i) le taux de mise en œuvre des recommandations des audits et (ii) le nombre de missions de suivi des recommandations. Au 31 décembre 2023, sept missions de suivi des recommandations ont été réalisées sur les sept prévues. </w:t>
      </w:r>
    </w:p>
    <w:p w14:paraId="3129CBD5"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Les indicateurs des produits programmés pour la réalisation de cette action ont connu des évolutions importantes. La situation est faite dans le tableau ci-dessous. Trois (03) indicateurs de produits sur cinq (05) ont atteint leur cible à fin décembre 2023. Les avancées </w:t>
      </w:r>
      <w:r w:rsidRPr="00056445">
        <w:rPr>
          <w:rFonts w:eastAsia="Calibri"/>
          <w:szCs w:val="24"/>
        </w:rPr>
        <w:lastRenderedPageBreak/>
        <w:t xml:space="preserve">obtenues concernent l’audit de douze (12) ministères, six (06) entreprises publiques et dix (10) établissements publics. </w:t>
      </w:r>
    </w:p>
    <w:p w14:paraId="2B7D784E" w14:textId="45EA1FC7" w:rsidR="00730E02" w:rsidRPr="00F175A7" w:rsidRDefault="00E01815" w:rsidP="00730E02">
      <w:pPr>
        <w:pBdr>
          <w:top w:val="nil"/>
          <w:left w:val="nil"/>
          <w:bottom w:val="nil"/>
          <w:right w:val="nil"/>
          <w:between w:val="nil"/>
        </w:pBdr>
        <w:spacing w:after="200" w:line="240" w:lineRule="auto"/>
        <w:rPr>
          <w:rFonts w:cs="Merriweather"/>
          <w:iCs/>
          <w:sz w:val="22"/>
        </w:rPr>
      </w:pPr>
      <w:bookmarkStart w:id="96" w:name="_Toc164503629"/>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42</w:t>
      </w:r>
      <w:r w:rsidRPr="00B51145">
        <w:rPr>
          <w:b/>
          <w:bCs/>
          <w:sz w:val="22"/>
          <w:u w:val="single"/>
        </w:rPr>
        <w:fldChar w:fldCharType="end"/>
      </w:r>
      <w:r w:rsidR="00730E02" w:rsidRPr="008D20C6">
        <w:rPr>
          <w:rFonts w:cs="Merriweather"/>
          <w:iCs/>
          <w:color w:val="44546A"/>
          <w:sz w:val="22"/>
        </w:rPr>
        <w:t xml:space="preserve">: </w:t>
      </w:r>
      <w:r w:rsidR="00730E02" w:rsidRPr="00F175A7">
        <w:rPr>
          <w:rFonts w:cs="Merriweather"/>
          <w:iCs/>
          <w:sz w:val="22"/>
        </w:rPr>
        <w:t>situation des indicateurs de produits de l’action «</w:t>
      </w:r>
      <w:r w:rsidR="00987C47">
        <w:rPr>
          <w:rFonts w:cs="Merriweather"/>
          <w:iCs/>
          <w:sz w:val="22"/>
        </w:rPr>
        <w:t xml:space="preserve"> </w:t>
      </w:r>
      <w:r w:rsidR="00730E02" w:rsidRPr="00F175A7">
        <w:rPr>
          <w:rFonts w:cs="Merriweather"/>
          <w:iCs/>
          <w:sz w:val="22"/>
        </w:rPr>
        <w:t>audit des ministères et Institutions » au 31 décembre 2023</w:t>
      </w:r>
      <w:bookmarkEnd w:id="96"/>
    </w:p>
    <w:tbl>
      <w:tblPr>
        <w:tblStyle w:val="GridTable4-Accent111"/>
        <w:tblW w:w="5000" w:type="pct"/>
        <w:tblLayout w:type="fixed"/>
        <w:tblLook w:val="04A0" w:firstRow="1" w:lastRow="0" w:firstColumn="1" w:lastColumn="0" w:noHBand="0" w:noVBand="1"/>
      </w:tblPr>
      <w:tblGrid>
        <w:gridCol w:w="5396"/>
        <w:gridCol w:w="1170"/>
        <w:gridCol w:w="1170"/>
        <w:gridCol w:w="1280"/>
      </w:tblGrid>
      <w:tr w:rsidR="00730E02" w:rsidRPr="004C63B2" w14:paraId="6C34EEB9" w14:textId="77777777" w:rsidTr="0005644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992" w:type="pct"/>
          </w:tcPr>
          <w:p w14:paraId="077D1E95" w14:textId="4BA1946D" w:rsidR="00730E02" w:rsidRPr="004C63B2" w:rsidRDefault="00730E02" w:rsidP="00F175A7">
            <w:pPr>
              <w:keepNext/>
              <w:keepLines/>
              <w:spacing w:after="0" w:line="240" w:lineRule="auto"/>
              <w:rPr>
                <w:sz w:val="22"/>
              </w:rPr>
            </w:pPr>
            <w:r w:rsidRPr="004C63B2">
              <w:rPr>
                <w:sz w:val="22"/>
              </w:rPr>
              <w:t xml:space="preserve">Indicateurs </w:t>
            </w:r>
          </w:p>
        </w:tc>
        <w:tc>
          <w:tcPr>
            <w:tcW w:w="649" w:type="pct"/>
          </w:tcPr>
          <w:p w14:paraId="660AF03A"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2022</w:t>
            </w:r>
          </w:p>
        </w:tc>
        <w:tc>
          <w:tcPr>
            <w:tcW w:w="649" w:type="pct"/>
          </w:tcPr>
          <w:p w14:paraId="4CAEC074"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Réal. 2023</w:t>
            </w:r>
          </w:p>
        </w:tc>
        <w:tc>
          <w:tcPr>
            <w:tcW w:w="710" w:type="pct"/>
          </w:tcPr>
          <w:p w14:paraId="671A04BF" w14:textId="77777777" w:rsidR="00730E02" w:rsidRPr="004C63B2" w:rsidRDefault="00730E02"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4C63B2">
              <w:rPr>
                <w:sz w:val="22"/>
              </w:rPr>
              <w:t>Cible 2023</w:t>
            </w:r>
          </w:p>
        </w:tc>
      </w:tr>
      <w:tr w:rsidR="00730E02" w:rsidRPr="004C63B2" w14:paraId="0E94063D" w14:textId="77777777" w:rsidTr="0005644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992" w:type="pct"/>
          </w:tcPr>
          <w:p w14:paraId="45B71928" w14:textId="77777777" w:rsidR="00730E02" w:rsidRPr="004C63B2" w:rsidRDefault="00730E02" w:rsidP="00F175A7">
            <w:pPr>
              <w:keepNext/>
              <w:keepLines/>
              <w:spacing w:after="0" w:line="240" w:lineRule="auto"/>
              <w:rPr>
                <w:color w:val="FFFFFF"/>
                <w:sz w:val="22"/>
              </w:rPr>
            </w:pPr>
            <w:r w:rsidRPr="004C63B2">
              <w:rPr>
                <w:rFonts w:eastAsia="Times New Roman" w:cs="Times New Roman"/>
                <w:color w:val="000000"/>
                <w:sz w:val="22"/>
              </w:rPr>
              <w:t xml:space="preserve">Nombre de ministères et institutions audités </w:t>
            </w:r>
          </w:p>
        </w:tc>
        <w:tc>
          <w:tcPr>
            <w:tcW w:w="649" w:type="pct"/>
          </w:tcPr>
          <w:p w14:paraId="1C4CE761"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p>
        </w:tc>
        <w:tc>
          <w:tcPr>
            <w:tcW w:w="649" w:type="pct"/>
          </w:tcPr>
          <w:p w14:paraId="4D553187"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12</w:t>
            </w:r>
          </w:p>
        </w:tc>
        <w:tc>
          <w:tcPr>
            <w:tcW w:w="710" w:type="pct"/>
          </w:tcPr>
          <w:p w14:paraId="5859F836"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w:t>
            </w:r>
          </w:p>
        </w:tc>
      </w:tr>
      <w:tr w:rsidR="00730E02" w:rsidRPr="004C63B2" w14:paraId="0CB36559" w14:textId="77777777" w:rsidTr="00056445">
        <w:trPr>
          <w:trHeight w:val="300"/>
        </w:trPr>
        <w:tc>
          <w:tcPr>
            <w:cnfStyle w:val="001000000000" w:firstRow="0" w:lastRow="0" w:firstColumn="1" w:lastColumn="0" w:oddVBand="0" w:evenVBand="0" w:oddHBand="0" w:evenHBand="0" w:firstRowFirstColumn="0" w:firstRowLastColumn="0" w:lastRowFirstColumn="0" w:lastRowLastColumn="0"/>
            <w:tcW w:w="2992" w:type="pct"/>
          </w:tcPr>
          <w:p w14:paraId="5FC004BC" w14:textId="77777777" w:rsidR="00730E02" w:rsidRPr="004C63B2" w:rsidRDefault="00730E02" w:rsidP="00F175A7">
            <w:pPr>
              <w:spacing w:after="0" w:line="240" w:lineRule="auto"/>
              <w:rPr>
                <w:sz w:val="22"/>
              </w:rPr>
            </w:pPr>
            <w:r w:rsidRPr="004C63B2">
              <w:rPr>
                <w:rFonts w:eastAsia="Times New Roman" w:cs="Times New Roman"/>
                <w:color w:val="000000"/>
                <w:sz w:val="22"/>
              </w:rPr>
              <w:t>Nombre d</w:t>
            </w:r>
            <w:r w:rsidRPr="004C63B2">
              <w:rPr>
                <w:rFonts w:eastAsia="Times New Roman" w:cs="Times New Roman"/>
                <w:sz w:val="22"/>
              </w:rPr>
              <w:t>’</w:t>
            </w:r>
            <w:r w:rsidRPr="004C63B2">
              <w:rPr>
                <w:rFonts w:eastAsia="Times New Roman" w:cs="Times New Roman"/>
                <w:color w:val="000000"/>
                <w:sz w:val="22"/>
              </w:rPr>
              <w:t>entreprises publiques auditées</w:t>
            </w:r>
          </w:p>
        </w:tc>
        <w:tc>
          <w:tcPr>
            <w:tcW w:w="649" w:type="pct"/>
          </w:tcPr>
          <w:p w14:paraId="64829170"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8</w:t>
            </w:r>
          </w:p>
        </w:tc>
        <w:tc>
          <w:tcPr>
            <w:tcW w:w="649" w:type="pct"/>
          </w:tcPr>
          <w:p w14:paraId="00125A2C"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6</w:t>
            </w:r>
          </w:p>
        </w:tc>
        <w:tc>
          <w:tcPr>
            <w:tcW w:w="710" w:type="pct"/>
          </w:tcPr>
          <w:p w14:paraId="5B19ED59"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5</w:t>
            </w:r>
          </w:p>
        </w:tc>
      </w:tr>
      <w:tr w:rsidR="00730E02" w:rsidRPr="004C63B2" w14:paraId="3D8664B8"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2" w:type="pct"/>
          </w:tcPr>
          <w:p w14:paraId="5943CBAA" w14:textId="77777777" w:rsidR="00730E02" w:rsidRPr="004C63B2" w:rsidRDefault="00730E02" w:rsidP="00F175A7">
            <w:pPr>
              <w:spacing w:after="0" w:line="240" w:lineRule="auto"/>
              <w:rPr>
                <w:sz w:val="22"/>
              </w:rPr>
            </w:pPr>
            <w:r w:rsidRPr="004C63B2">
              <w:rPr>
                <w:rFonts w:eastAsia="Times New Roman" w:cs="Times New Roman"/>
                <w:color w:val="000000"/>
                <w:sz w:val="22"/>
              </w:rPr>
              <w:t>Nombre d</w:t>
            </w:r>
            <w:r w:rsidRPr="004C63B2">
              <w:rPr>
                <w:rFonts w:eastAsia="Times New Roman" w:cs="Times New Roman"/>
                <w:sz w:val="22"/>
              </w:rPr>
              <w:t>’</w:t>
            </w:r>
            <w:r w:rsidRPr="004C63B2">
              <w:rPr>
                <w:rFonts w:eastAsia="Times New Roman" w:cs="Times New Roman"/>
                <w:color w:val="000000"/>
                <w:sz w:val="22"/>
              </w:rPr>
              <w:t>établissements publics audités</w:t>
            </w:r>
          </w:p>
        </w:tc>
        <w:tc>
          <w:tcPr>
            <w:tcW w:w="649" w:type="pct"/>
          </w:tcPr>
          <w:p w14:paraId="18E92BC7"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w:t>
            </w:r>
          </w:p>
        </w:tc>
        <w:tc>
          <w:tcPr>
            <w:tcW w:w="649" w:type="pct"/>
          </w:tcPr>
          <w:p w14:paraId="44411DCD"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w:t>
            </w:r>
          </w:p>
        </w:tc>
        <w:tc>
          <w:tcPr>
            <w:tcW w:w="710" w:type="pct"/>
          </w:tcPr>
          <w:p w14:paraId="11211745"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10</w:t>
            </w:r>
          </w:p>
        </w:tc>
      </w:tr>
      <w:tr w:rsidR="00730E02" w:rsidRPr="004C63B2" w14:paraId="386F2AB8" w14:textId="77777777" w:rsidTr="00056445">
        <w:trPr>
          <w:trHeight w:val="113"/>
        </w:trPr>
        <w:tc>
          <w:tcPr>
            <w:cnfStyle w:val="001000000000" w:firstRow="0" w:lastRow="0" w:firstColumn="1" w:lastColumn="0" w:oddVBand="0" w:evenVBand="0" w:oddHBand="0" w:evenHBand="0" w:firstRowFirstColumn="0" w:firstRowLastColumn="0" w:lastRowFirstColumn="0" w:lastRowLastColumn="0"/>
            <w:tcW w:w="2992" w:type="pct"/>
          </w:tcPr>
          <w:p w14:paraId="67D2B897" w14:textId="77777777" w:rsidR="00730E02" w:rsidRPr="004C63B2" w:rsidRDefault="00730E02" w:rsidP="00F175A7">
            <w:pPr>
              <w:spacing w:after="0" w:line="240" w:lineRule="auto"/>
              <w:rPr>
                <w:sz w:val="22"/>
              </w:rPr>
            </w:pPr>
            <w:r w:rsidRPr="004C63B2">
              <w:rPr>
                <w:rFonts w:eastAsia="Times New Roman" w:cs="Times New Roman"/>
                <w:color w:val="000000"/>
                <w:sz w:val="22"/>
              </w:rPr>
              <w:t>Nombre de projets et programmes audités</w:t>
            </w:r>
          </w:p>
        </w:tc>
        <w:tc>
          <w:tcPr>
            <w:tcW w:w="649" w:type="pct"/>
          </w:tcPr>
          <w:p w14:paraId="1A005937"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10</w:t>
            </w:r>
          </w:p>
        </w:tc>
        <w:tc>
          <w:tcPr>
            <w:tcW w:w="649" w:type="pct"/>
          </w:tcPr>
          <w:p w14:paraId="1A6B5D16"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21</w:t>
            </w:r>
          </w:p>
        </w:tc>
        <w:tc>
          <w:tcPr>
            <w:tcW w:w="710" w:type="pct"/>
          </w:tcPr>
          <w:p w14:paraId="23DEE11F" w14:textId="77777777" w:rsidR="00730E02" w:rsidRPr="004C63B2"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4C63B2">
              <w:rPr>
                <w:sz w:val="22"/>
              </w:rPr>
              <w:t>40</w:t>
            </w:r>
          </w:p>
        </w:tc>
      </w:tr>
      <w:tr w:rsidR="00730E02" w:rsidRPr="004C63B2" w14:paraId="23790EC8"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2" w:type="pct"/>
          </w:tcPr>
          <w:p w14:paraId="1BC6A120" w14:textId="77777777" w:rsidR="00730E02" w:rsidRPr="004C63B2" w:rsidRDefault="00730E02" w:rsidP="00F175A7">
            <w:pPr>
              <w:spacing w:after="0" w:line="240" w:lineRule="auto"/>
              <w:rPr>
                <w:sz w:val="22"/>
              </w:rPr>
            </w:pPr>
            <w:r w:rsidRPr="004C63B2">
              <w:rPr>
                <w:rFonts w:eastAsia="Times New Roman" w:cs="Times New Roman"/>
                <w:sz w:val="22"/>
              </w:rPr>
              <w:t>Disponibilité du rapport d’audit</w:t>
            </w:r>
          </w:p>
        </w:tc>
        <w:tc>
          <w:tcPr>
            <w:tcW w:w="649" w:type="pct"/>
          </w:tcPr>
          <w:p w14:paraId="2E1FF8A8"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649" w:type="pct"/>
          </w:tcPr>
          <w:p w14:paraId="1B930912"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0</w:t>
            </w:r>
          </w:p>
        </w:tc>
        <w:tc>
          <w:tcPr>
            <w:tcW w:w="710" w:type="pct"/>
          </w:tcPr>
          <w:p w14:paraId="72CFA851" w14:textId="77777777" w:rsidR="00730E02" w:rsidRPr="004C63B2"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4C63B2">
              <w:rPr>
                <w:sz w:val="22"/>
              </w:rPr>
              <w:t>1</w:t>
            </w:r>
          </w:p>
        </w:tc>
      </w:tr>
    </w:tbl>
    <w:p w14:paraId="7638E319" w14:textId="21CACBEE" w:rsidR="00730E02" w:rsidRPr="00E31E23" w:rsidRDefault="00730E02" w:rsidP="00730E02">
      <w:pPr>
        <w:rPr>
          <w:sz w:val="20"/>
          <w:szCs w:val="20"/>
        </w:rPr>
      </w:pP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 xml:space="preserve">de performance </w:t>
      </w:r>
      <w:r w:rsidR="00CB69FF">
        <w:rPr>
          <w:sz w:val="20"/>
          <w:szCs w:val="20"/>
        </w:rPr>
        <w:t>2023</w:t>
      </w:r>
      <w:r w:rsidRPr="00E31E23">
        <w:rPr>
          <w:sz w:val="20"/>
          <w:szCs w:val="20"/>
        </w:rPr>
        <w:t xml:space="preserve"> du CSD-GE, février 2024 </w:t>
      </w:r>
    </w:p>
    <w:p w14:paraId="7F6D2B1E" w14:textId="20C71768"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une prévision financière de 53</w:t>
      </w:r>
      <w:r w:rsidR="00987C47">
        <w:rPr>
          <w:rFonts w:eastAsia="Calibri"/>
          <w:szCs w:val="24"/>
        </w:rPr>
        <w:t> </w:t>
      </w:r>
      <w:r w:rsidRPr="00056445">
        <w:rPr>
          <w:rFonts w:eastAsia="Calibri"/>
          <w:szCs w:val="24"/>
        </w:rPr>
        <w:t>250</w:t>
      </w:r>
      <w:r w:rsidR="00987C47" w:rsidRPr="00B17BCE">
        <w:rPr>
          <w:rFonts w:eastAsia="Calibri"/>
          <w:szCs w:val="24"/>
        </w:rPr>
        <w:t> </w:t>
      </w:r>
      <w:r w:rsidRPr="00056445">
        <w:rPr>
          <w:rFonts w:eastAsia="Calibri"/>
          <w:szCs w:val="24"/>
        </w:rPr>
        <w:t>000 FCFA, les dépenses exécuté</w:t>
      </w:r>
      <w:r w:rsidR="00987C47">
        <w:rPr>
          <w:rFonts w:eastAsia="Calibri"/>
          <w:szCs w:val="24"/>
        </w:rPr>
        <w:t>e</w:t>
      </w:r>
      <w:r w:rsidRPr="00056445">
        <w:rPr>
          <w:rFonts w:eastAsia="Calibri"/>
          <w:szCs w:val="24"/>
        </w:rPr>
        <w:t>s pour l’obtention des produits s’élèvent à 50</w:t>
      </w:r>
      <w:r w:rsidR="00987C47">
        <w:rPr>
          <w:rFonts w:eastAsia="Calibri"/>
          <w:szCs w:val="24"/>
        </w:rPr>
        <w:t> </w:t>
      </w:r>
      <w:r w:rsidRPr="00056445">
        <w:rPr>
          <w:rFonts w:eastAsia="Calibri"/>
          <w:szCs w:val="24"/>
        </w:rPr>
        <w:t>951</w:t>
      </w:r>
      <w:r w:rsidR="00987C47" w:rsidRPr="00B17BCE">
        <w:rPr>
          <w:rFonts w:eastAsia="Calibri"/>
          <w:szCs w:val="24"/>
        </w:rPr>
        <w:t> </w:t>
      </w:r>
      <w:r w:rsidRPr="00056445">
        <w:rPr>
          <w:rFonts w:eastAsia="Calibri"/>
          <w:szCs w:val="24"/>
        </w:rPr>
        <w:t>000 FCFA, soit un taux d’exécution financière de 95,68%.</w:t>
      </w:r>
    </w:p>
    <w:p w14:paraId="1A1C139D" w14:textId="60D02CFF"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F175A7">
        <w:rPr>
          <w:rFonts w:eastAsia="Calibri"/>
          <w:b/>
          <w:szCs w:val="24"/>
        </w:rPr>
        <w:t>Le renforcement du fonctionnement des pôles judiciaires spécialisés (03033)</w:t>
      </w:r>
      <w:r w:rsidRPr="00056445">
        <w:rPr>
          <w:rFonts w:eastAsia="Calibri"/>
          <w:szCs w:val="24"/>
        </w:rPr>
        <w:t xml:space="preserve"> est la douzième action en matière de promotion de la gouvernance économique avec pour cible l’enrôlement de 75 dossiers ECOFI en 2023.</w:t>
      </w:r>
    </w:p>
    <w:p w14:paraId="42292F4C" w14:textId="54284ECB"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Pour la mise en œuvre de cette action, un seul produit est programmé en 2023. Il s’agit de l’élaboration d’un rapport sur le fonctionnement des pôles ECOFI. En fin d’année 2023, ce rapport n’est pas disponible. Un nouveau consultant a été recruté </w:t>
      </w:r>
      <w:r w:rsidR="00063AD2">
        <w:rPr>
          <w:rFonts w:eastAsia="Calibri"/>
          <w:szCs w:val="24"/>
        </w:rPr>
        <w:t xml:space="preserve">à cet effet </w:t>
      </w:r>
      <w:r w:rsidRPr="00056445">
        <w:rPr>
          <w:rFonts w:eastAsia="Calibri"/>
          <w:szCs w:val="24"/>
        </w:rPr>
        <w:t>en remplacement du premier qui avait désisté.</w:t>
      </w:r>
    </w:p>
    <w:p w14:paraId="41085877" w14:textId="56ADB133"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Quant à la </w:t>
      </w:r>
      <w:r w:rsidR="00CB69FF" w:rsidRPr="00056445">
        <w:rPr>
          <w:rFonts w:eastAsia="Calibri"/>
          <w:szCs w:val="24"/>
        </w:rPr>
        <w:t>treizième</w:t>
      </w:r>
      <w:r w:rsidR="00CB69FF">
        <w:rPr>
          <w:rFonts w:eastAsia="Calibri"/>
          <w:szCs w:val="24"/>
        </w:rPr>
        <w:t xml:space="preserve"> action </w:t>
      </w:r>
      <w:r w:rsidRPr="00056445">
        <w:rPr>
          <w:rFonts w:eastAsia="Calibri"/>
          <w:szCs w:val="24"/>
        </w:rPr>
        <w:t xml:space="preserve">relative à </w:t>
      </w:r>
      <w:r w:rsidRPr="00F175A7">
        <w:rPr>
          <w:rFonts w:eastAsia="Calibri"/>
          <w:b/>
          <w:szCs w:val="24"/>
        </w:rPr>
        <w:t>l’optimisation de la mobilisation des ressources</w:t>
      </w:r>
      <w:r w:rsidRPr="00056445">
        <w:rPr>
          <w:rFonts w:eastAsia="Calibri"/>
          <w:szCs w:val="24"/>
        </w:rPr>
        <w:t>, elle vise à porter à 100% le taux de réalisation des recouvrements de recettes intérieures et d’améliorer le taux de pression fiscale. Au 31 décembre le « taux de réalisation des recouvrements de recettes intérieures » est de 99,23% pour une cible annuelle de 100%. Quant au « taux de pression fiscale », il s’est établi à 17,8% pour une cible d’au moins 20%. La situation de mise en œuvre des produits de l’action est présentée dans le tableau ci-dessous.</w:t>
      </w:r>
    </w:p>
    <w:p w14:paraId="7836AF9C"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les sept (07) indicateurs de produits qui concourent à la réalisation de cette action, six (06) ont atteint leur cible à fin décembre 2023.</w:t>
      </w:r>
    </w:p>
    <w:p w14:paraId="64FBE077" w14:textId="6F4D2E0B" w:rsidR="00730E02"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Les acquis obtenus sont entre autres : (i) la tenue de deux (02) sessions de la cellule technique de gestion de la facture normalisée ; (ii) la formation des agents des impôts sur la nouvelle version du logiciel CERTITRACK et l’organisation de contrôles sur l’application de la facture normalisée ; (iii) l’opérationnalisation à plus de 85,89% de la facture normalisée au niveau du RNI ; (iv)l’opérationnalisation à hauteur de 57,06 % de la facture normalisée au niveau du RSI et (v) l’opérationnalisations de la plateforme e-douanes. </w:t>
      </w:r>
    </w:p>
    <w:p w14:paraId="7EEC41F8" w14:textId="77777777" w:rsidR="006470A9" w:rsidRPr="00056445" w:rsidRDefault="006470A9" w:rsidP="00BC7825">
      <w:pPr>
        <w:shd w:val="clear" w:color="auto" w:fill="FFFFFF"/>
        <w:spacing w:before="120" w:after="120" w:line="240" w:lineRule="auto"/>
        <w:rPr>
          <w:rFonts w:eastAsia="Calibri"/>
          <w:szCs w:val="24"/>
        </w:rPr>
      </w:pPr>
    </w:p>
    <w:p w14:paraId="2DDF2B8B" w14:textId="0B5C0361" w:rsidR="00730E02" w:rsidRPr="00F175A7" w:rsidRDefault="00B1457E" w:rsidP="00730E02">
      <w:pPr>
        <w:pBdr>
          <w:top w:val="nil"/>
          <w:left w:val="nil"/>
          <w:bottom w:val="nil"/>
          <w:right w:val="nil"/>
          <w:between w:val="nil"/>
        </w:pBdr>
        <w:spacing w:after="200" w:line="240" w:lineRule="auto"/>
        <w:rPr>
          <w:rFonts w:cs="Merriweather"/>
          <w:sz w:val="22"/>
        </w:rPr>
      </w:pPr>
      <w:bookmarkStart w:id="97" w:name="_Toc164503630"/>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43</w:t>
      </w:r>
      <w:r w:rsidRPr="00B51145">
        <w:rPr>
          <w:b/>
          <w:bCs/>
          <w:sz w:val="22"/>
          <w:u w:val="single"/>
        </w:rPr>
        <w:fldChar w:fldCharType="end"/>
      </w:r>
      <w:r w:rsidR="00730E02" w:rsidRPr="005A2852">
        <w:rPr>
          <w:rFonts w:cs="Merriweather"/>
          <w:color w:val="44546A"/>
          <w:sz w:val="22"/>
        </w:rPr>
        <w:t>:</w:t>
      </w:r>
      <w:r w:rsidR="00730E02" w:rsidRPr="008D20C6">
        <w:rPr>
          <w:rFonts w:cs="Merriweather"/>
          <w:color w:val="44546A"/>
          <w:sz w:val="22"/>
        </w:rPr>
        <w:t xml:space="preserve"> </w:t>
      </w:r>
      <w:r w:rsidR="00730E02" w:rsidRPr="00F175A7">
        <w:rPr>
          <w:rFonts w:cs="Merriweather"/>
          <w:sz w:val="22"/>
        </w:rPr>
        <w:t>situation des indicateurs de produits de l’action « optimisation de la mobilisation des ressources » au 31 décembre 2023</w:t>
      </w:r>
      <w:bookmarkEnd w:id="97"/>
    </w:p>
    <w:tbl>
      <w:tblPr>
        <w:tblStyle w:val="GridTable4-Accent111"/>
        <w:tblW w:w="5000" w:type="pct"/>
        <w:tblLayout w:type="fixed"/>
        <w:tblLook w:val="04A0" w:firstRow="1" w:lastRow="0" w:firstColumn="1" w:lastColumn="0" w:noHBand="0" w:noVBand="1"/>
      </w:tblPr>
      <w:tblGrid>
        <w:gridCol w:w="5034"/>
        <w:gridCol w:w="1351"/>
        <w:gridCol w:w="1417"/>
        <w:gridCol w:w="1214"/>
      </w:tblGrid>
      <w:tr w:rsidR="00730E02" w:rsidRPr="00780F1B" w14:paraId="6BF5711D" w14:textId="77777777" w:rsidTr="00F175A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792" w:type="pct"/>
            <w:shd w:val="clear" w:color="auto" w:fill="4472C4" w:themeFill="accent1"/>
          </w:tcPr>
          <w:p w14:paraId="65964611" w14:textId="17F865EE" w:rsidR="00730E02" w:rsidRPr="00780F1B" w:rsidRDefault="00730E02" w:rsidP="00F175A7">
            <w:pPr>
              <w:spacing w:after="0" w:line="240" w:lineRule="auto"/>
              <w:rPr>
                <w:sz w:val="22"/>
              </w:rPr>
            </w:pPr>
            <w:r w:rsidRPr="00780F1B">
              <w:rPr>
                <w:sz w:val="22"/>
              </w:rPr>
              <w:t xml:space="preserve">Indicateurs </w:t>
            </w:r>
          </w:p>
        </w:tc>
        <w:tc>
          <w:tcPr>
            <w:tcW w:w="749" w:type="pct"/>
            <w:shd w:val="clear" w:color="auto" w:fill="4472C4" w:themeFill="accent1"/>
          </w:tcPr>
          <w:p w14:paraId="510ADA75" w14:textId="77777777" w:rsidR="00730E02" w:rsidRPr="00780F1B"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780F1B">
              <w:rPr>
                <w:sz w:val="22"/>
              </w:rPr>
              <w:t>Réal. 2022</w:t>
            </w:r>
          </w:p>
        </w:tc>
        <w:tc>
          <w:tcPr>
            <w:tcW w:w="786" w:type="pct"/>
            <w:shd w:val="clear" w:color="auto" w:fill="4472C4" w:themeFill="accent1"/>
          </w:tcPr>
          <w:p w14:paraId="286BA401" w14:textId="77777777" w:rsidR="00730E02" w:rsidRPr="00780F1B"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780F1B">
              <w:rPr>
                <w:sz w:val="22"/>
              </w:rPr>
              <w:t>Réal. 2023</w:t>
            </w:r>
          </w:p>
        </w:tc>
        <w:tc>
          <w:tcPr>
            <w:tcW w:w="673" w:type="pct"/>
            <w:shd w:val="clear" w:color="auto" w:fill="4472C4" w:themeFill="accent1"/>
          </w:tcPr>
          <w:p w14:paraId="447F8A9D" w14:textId="77777777" w:rsidR="00730E02" w:rsidRPr="00780F1B"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780F1B">
              <w:rPr>
                <w:sz w:val="22"/>
              </w:rPr>
              <w:t>Cible 2023</w:t>
            </w:r>
          </w:p>
        </w:tc>
      </w:tr>
      <w:tr w:rsidR="00730E02" w:rsidRPr="00780F1B" w14:paraId="6CA2FDC1" w14:textId="77777777" w:rsidTr="0005644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92" w:type="pct"/>
          </w:tcPr>
          <w:p w14:paraId="42015BB3" w14:textId="10D9BE8F" w:rsidR="00730E02" w:rsidRPr="00780F1B" w:rsidRDefault="00730E02" w:rsidP="00F175A7">
            <w:pPr>
              <w:spacing w:after="0" w:line="240" w:lineRule="auto"/>
              <w:rPr>
                <w:sz w:val="22"/>
              </w:rPr>
            </w:pPr>
            <w:r w:rsidRPr="00780F1B">
              <w:rPr>
                <w:sz w:val="22"/>
              </w:rPr>
              <w:t>Niveau de mise en œuvre de la facture normalisée au niveau du RNI</w:t>
            </w:r>
          </w:p>
        </w:tc>
        <w:tc>
          <w:tcPr>
            <w:tcW w:w="749" w:type="pct"/>
          </w:tcPr>
          <w:p w14:paraId="4927A6BD"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83,48%</w:t>
            </w:r>
          </w:p>
        </w:tc>
        <w:tc>
          <w:tcPr>
            <w:tcW w:w="786" w:type="pct"/>
          </w:tcPr>
          <w:p w14:paraId="113469CB"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85,89%</w:t>
            </w:r>
          </w:p>
        </w:tc>
        <w:tc>
          <w:tcPr>
            <w:tcW w:w="673" w:type="pct"/>
          </w:tcPr>
          <w:p w14:paraId="22CB4F03"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85%</w:t>
            </w:r>
          </w:p>
        </w:tc>
      </w:tr>
      <w:tr w:rsidR="00730E02" w:rsidRPr="00780F1B" w14:paraId="55B06841" w14:textId="77777777" w:rsidTr="00056445">
        <w:trPr>
          <w:trHeight w:val="540"/>
        </w:trPr>
        <w:tc>
          <w:tcPr>
            <w:cnfStyle w:val="001000000000" w:firstRow="0" w:lastRow="0" w:firstColumn="1" w:lastColumn="0" w:oddVBand="0" w:evenVBand="0" w:oddHBand="0" w:evenHBand="0" w:firstRowFirstColumn="0" w:firstRowLastColumn="0" w:lastRowFirstColumn="0" w:lastRowLastColumn="0"/>
            <w:tcW w:w="2792" w:type="pct"/>
          </w:tcPr>
          <w:p w14:paraId="43EDC2E2" w14:textId="0C703C42" w:rsidR="00730E02" w:rsidRPr="00780F1B" w:rsidRDefault="00730E02" w:rsidP="00F175A7">
            <w:pPr>
              <w:spacing w:after="0" w:line="240" w:lineRule="auto"/>
              <w:rPr>
                <w:sz w:val="22"/>
              </w:rPr>
            </w:pPr>
            <w:r w:rsidRPr="00780F1B">
              <w:rPr>
                <w:sz w:val="22"/>
              </w:rPr>
              <w:t>Niveau de mise en œuvre de la facture normalisée au niveau du RSI</w:t>
            </w:r>
          </w:p>
        </w:tc>
        <w:tc>
          <w:tcPr>
            <w:tcW w:w="749" w:type="pct"/>
          </w:tcPr>
          <w:p w14:paraId="135A35FD"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18%</w:t>
            </w:r>
          </w:p>
        </w:tc>
        <w:tc>
          <w:tcPr>
            <w:tcW w:w="786" w:type="pct"/>
          </w:tcPr>
          <w:p w14:paraId="06D5F53E"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57,06%</w:t>
            </w:r>
          </w:p>
        </w:tc>
        <w:tc>
          <w:tcPr>
            <w:tcW w:w="673" w:type="pct"/>
          </w:tcPr>
          <w:p w14:paraId="592E0631"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25%</w:t>
            </w:r>
          </w:p>
        </w:tc>
      </w:tr>
      <w:tr w:rsidR="00730E02" w:rsidRPr="00780F1B" w14:paraId="634BDDF1" w14:textId="77777777" w:rsidTr="0005644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92" w:type="pct"/>
          </w:tcPr>
          <w:p w14:paraId="6B9C7960" w14:textId="48C46E51" w:rsidR="00730E02" w:rsidRPr="00780F1B" w:rsidRDefault="00730E02" w:rsidP="00F175A7">
            <w:pPr>
              <w:spacing w:after="0" w:line="240" w:lineRule="auto"/>
              <w:rPr>
                <w:sz w:val="22"/>
              </w:rPr>
            </w:pPr>
            <w:r w:rsidRPr="00780F1B">
              <w:rPr>
                <w:sz w:val="22"/>
              </w:rPr>
              <w:t>Niveau de mise en œuvre de la facture normalisée au niveau de la CME</w:t>
            </w:r>
          </w:p>
        </w:tc>
        <w:tc>
          <w:tcPr>
            <w:tcW w:w="749" w:type="pct"/>
          </w:tcPr>
          <w:p w14:paraId="6CE94A10"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18%</w:t>
            </w:r>
          </w:p>
        </w:tc>
        <w:tc>
          <w:tcPr>
            <w:tcW w:w="786" w:type="pct"/>
          </w:tcPr>
          <w:p w14:paraId="4CCB411F"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28,66%</w:t>
            </w:r>
          </w:p>
        </w:tc>
        <w:tc>
          <w:tcPr>
            <w:tcW w:w="673" w:type="pct"/>
          </w:tcPr>
          <w:p w14:paraId="2C8E1F19"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25%</w:t>
            </w:r>
          </w:p>
        </w:tc>
      </w:tr>
      <w:tr w:rsidR="00730E02" w:rsidRPr="00780F1B" w14:paraId="0948ECF7" w14:textId="77777777" w:rsidTr="00056445">
        <w:trPr>
          <w:trHeight w:val="540"/>
        </w:trPr>
        <w:tc>
          <w:tcPr>
            <w:cnfStyle w:val="001000000000" w:firstRow="0" w:lastRow="0" w:firstColumn="1" w:lastColumn="0" w:oddVBand="0" w:evenVBand="0" w:oddHBand="0" w:evenHBand="0" w:firstRowFirstColumn="0" w:firstRowLastColumn="0" w:lastRowFirstColumn="0" w:lastRowLastColumn="0"/>
            <w:tcW w:w="2792" w:type="pct"/>
          </w:tcPr>
          <w:p w14:paraId="708E5AE9" w14:textId="77777777" w:rsidR="00730E02" w:rsidRPr="00780F1B" w:rsidRDefault="00730E02" w:rsidP="00F175A7">
            <w:pPr>
              <w:spacing w:after="0" w:line="240" w:lineRule="auto"/>
              <w:rPr>
                <w:sz w:val="22"/>
              </w:rPr>
            </w:pPr>
            <w:r w:rsidRPr="00780F1B">
              <w:rPr>
                <w:sz w:val="22"/>
              </w:rPr>
              <w:t xml:space="preserve">Disponibilité d’un système de facture normalisée électronique certifié </w:t>
            </w:r>
          </w:p>
        </w:tc>
        <w:tc>
          <w:tcPr>
            <w:tcW w:w="749" w:type="pct"/>
          </w:tcPr>
          <w:p w14:paraId="2042A039"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0</w:t>
            </w:r>
          </w:p>
        </w:tc>
        <w:tc>
          <w:tcPr>
            <w:tcW w:w="786" w:type="pct"/>
          </w:tcPr>
          <w:p w14:paraId="37095CAF"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0</w:t>
            </w:r>
          </w:p>
        </w:tc>
        <w:tc>
          <w:tcPr>
            <w:tcW w:w="673" w:type="pct"/>
          </w:tcPr>
          <w:p w14:paraId="7D358554"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1</w:t>
            </w:r>
          </w:p>
        </w:tc>
      </w:tr>
      <w:tr w:rsidR="00730E02" w:rsidRPr="00780F1B" w14:paraId="09ACBD52" w14:textId="77777777" w:rsidTr="0005644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92" w:type="pct"/>
          </w:tcPr>
          <w:p w14:paraId="4DB7868A" w14:textId="77777777" w:rsidR="00730E02" w:rsidRPr="00780F1B" w:rsidRDefault="00730E02" w:rsidP="00F175A7">
            <w:pPr>
              <w:spacing w:after="0" w:line="240" w:lineRule="auto"/>
              <w:rPr>
                <w:sz w:val="22"/>
              </w:rPr>
            </w:pPr>
            <w:r w:rsidRPr="00780F1B">
              <w:rPr>
                <w:sz w:val="22"/>
              </w:rPr>
              <w:t>Disponibilité d’un dispositif juridique et d’un mécanisme de délivrance de quitus fiscal</w:t>
            </w:r>
          </w:p>
        </w:tc>
        <w:tc>
          <w:tcPr>
            <w:tcW w:w="749" w:type="pct"/>
          </w:tcPr>
          <w:p w14:paraId="14B12890"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Non</w:t>
            </w:r>
          </w:p>
        </w:tc>
        <w:tc>
          <w:tcPr>
            <w:tcW w:w="786" w:type="pct"/>
          </w:tcPr>
          <w:p w14:paraId="6B6DDA47"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Oui</w:t>
            </w:r>
          </w:p>
        </w:tc>
        <w:tc>
          <w:tcPr>
            <w:tcW w:w="673" w:type="pct"/>
          </w:tcPr>
          <w:p w14:paraId="705BB7F2"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Oui</w:t>
            </w:r>
          </w:p>
        </w:tc>
      </w:tr>
      <w:tr w:rsidR="00730E02" w:rsidRPr="00780F1B" w14:paraId="70117D64" w14:textId="77777777" w:rsidTr="00056445">
        <w:trPr>
          <w:trHeight w:val="540"/>
        </w:trPr>
        <w:tc>
          <w:tcPr>
            <w:cnfStyle w:val="001000000000" w:firstRow="0" w:lastRow="0" w:firstColumn="1" w:lastColumn="0" w:oddVBand="0" w:evenVBand="0" w:oddHBand="0" w:evenHBand="0" w:firstRowFirstColumn="0" w:firstRowLastColumn="0" w:lastRowFirstColumn="0" w:lastRowLastColumn="0"/>
            <w:tcW w:w="2792" w:type="pct"/>
          </w:tcPr>
          <w:p w14:paraId="42E7B6C0" w14:textId="77777777" w:rsidR="00730E02" w:rsidRPr="00780F1B" w:rsidRDefault="00730E02" w:rsidP="00F175A7">
            <w:pPr>
              <w:spacing w:after="0" w:line="240" w:lineRule="auto"/>
              <w:rPr>
                <w:sz w:val="22"/>
              </w:rPr>
            </w:pPr>
            <w:r w:rsidRPr="00780F1B">
              <w:rPr>
                <w:sz w:val="22"/>
              </w:rPr>
              <w:t>Nombre de quitus délivrés/nombre de personnes soumises à l’obligation du quitus fiscal</w:t>
            </w:r>
          </w:p>
        </w:tc>
        <w:tc>
          <w:tcPr>
            <w:tcW w:w="749" w:type="pct"/>
          </w:tcPr>
          <w:p w14:paraId="4E5AB3EC"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0%</w:t>
            </w:r>
          </w:p>
        </w:tc>
        <w:tc>
          <w:tcPr>
            <w:tcW w:w="786" w:type="pct"/>
          </w:tcPr>
          <w:p w14:paraId="08B54C37"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100%</w:t>
            </w:r>
          </w:p>
        </w:tc>
        <w:tc>
          <w:tcPr>
            <w:tcW w:w="673" w:type="pct"/>
          </w:tcPr>
          <w:p w14:paraId="2E39878A" w14:textId="77777777" w:rsidR="00730E02" w:rsidRPr="00780F1B"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780F1B">
              <w:rPr>
                <w:sz w:val="22"/>
              </w:rPr>
              <w:t>100%</w:t>
            </w:r>
          </w:p>
        </w:tc>
      </w:tr>
      <w:tr w:rsidR="00730E02" w:rsidRPr="00780F1B" w14:paraId="375B3CE0" w14:textId="77777777" w:rsidTr="000564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2" w:type="pct"/>
          </w:tcPr>
          <w:p w14:paraId="6A04515F" w14:textId="77777777" w:rsidR="00730E02" w:rsidRPr="00780F1B" w:rsidRDefault="00730E02" w:rsidP="00F175A7">
            <w:pPr>
              <w:spacing w:after="0" w:line="240" w:lineRule="auto"/>
              <w:rPr>
                <w:sz w:val="22"/>
              </w:rPr>
            </w:pPr>
            <w:r w:rsidRPr="00780F1B">
              <w:rPr>
                <w:sz w:val="22"/>
              </w:rPr>
              <w:t>Fonctionnalité de la plateforme e-douanes</w:t>
            </w:r>
          </w:p>
        </w:tc>
        <w:tc>
          <w:tcPr>
            <w:tcW w:w="749" w:type="pct"/>
          </w:tcPr>
          <w:p w14:paraId="42B2A704"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Non</w:t>
            </w:r>
          </w:p>
        </w:tc>
        <w:tc>
          <w:tcPr>
            <w:tcW w:w="786" w:type="pct"/>
          </w:tcPr>
          <w:p w14:paraId="5ABE27CF"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 xml:space="preserve">Oui </w:t>
            </w:r>
          </w:p>
        </w:tc>
        <w:tc>
          <w:tcPr>
            <w:tcW w:w="673" w:type="pct"/>
          </w:tcPr>
          <w:p w14:paraId="4C0A047E" w14:textId="77777777" w:rsidR="00730E02" w:rsidRPr="00780F1B"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780F1B">
              <w:rPr>
                <w:sz w:val="22"/>
              </w:rPr>
              <w:t>Oui</w:t>
            </w:r>
          </w:p>
        </w:tc>
      </w:tr>
    </w:tbl>
    <w:p w14:paraId="423B34D1" w14:textId="298CBE0C" w:rsidR="00730E02" w:rsidRPr="00E31E23" w:rsidRDefault="00730E02" w:rsidP="00730E02">
      <w:pPr>
        <w:rPr>
          <w:sz w:val="20"/>
          <w:szCs w:val="20"/>
        </w:rPr>
      </w:pPr>
      <w:r w:rsidRPr="00E31E23">
        <w:rPr>
          <w:sz w:val="20"/>
          <w:szCs w:val="20"/>
        </w:rPr>
        <w:t xml:space="preserve"> </w:t>
      </w:r>
      <w:r w:rsidRPr="00E31E23">
        <w:rPr>
          <w:b/>
          <w:sz w:val="20"/>
          <w:szCs w:val="20"/>
          <w:u w:val="single"/>
        </w:rPr>
        <w:t>Source</w:t>
      </w:r>
      <w:r w:rsidRPr="00E31E23">
        <w:rPr>
          <w:sz w:val="20"/>
          <w:szCs w:val="20"/>
        </w:rPr>
        <w:t xml:space="preserve"> : rapport </w:t>
      </w:r>
      <w:r w:rsidR="00603CB3">
        <w:rPr>
          <w:sz w:val="20"/>
          <w:szCs w:val="20"/>
        </w:rPr>
        <w:t xml:space="preserve">annuel </w:t>
      </w:r>
      <w:r w:rsidRPr="00E31E23">
        <w:rPr>
          <w:sz w:val="20"/>
          <w:szCs w:val="20"/>
        </w:rPr>
        <w:t xml:space="preserve">de performance </w:t>
      </w:r>
      <w:r w:rsidR="00CB69FF">
        <w:rPr>
          <w:sz w:val="20"/>
          <w:szCs w:val="20"/>
        </w:rPr>
        <w:t>2023</w:t>
      </w:r>
      <w:r w:rsidRPr="00E31E23">
        <w:rPr>
          <w:sz w:val="20"/>
          <w:szCs w:val="20"/>
        </w:rPr>
        <w:t xml:space="preserve"> du CSD-GE, février 2024</w:t>
      </w:r>
    </w:p>
    <w:p w14:paraId="74660ECA" w14:textId="5D2C2938"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Le taux d’exécution financière des produits de l’action est de 69,62%%. En effet, sur une prévision financière de 532 343 588 FCFA, </w:t>
      </w:r>
      <w:r w:rsidR="00CB69FF">
        <w:rPr>
          <w:rFonts w:eastAsia="Calibri"/>
          <w:szCs w:val="24"/>
        </w:rPr>
        <w:t xml:space="preserve">ce sont </w:t>
      </w:r>
      <w:r w:rsidRPr="00056445">
        <w:rPr>
          <w:rFonts w:eastAsia="Calibri"/>
          <w:szCs w:val="24"/>
        </w:rPr>
        <w:t xml:space="preserve">370 600 000 FCFA </w:t>
      </w:r>
      <w:r w:rsidR="00CB69FF">
        <w:rPr>
          <w:rFonts w:eastAsia="Calibri"/>
          <w:szCs w:val="24"/>
        </w:rPr>
        <w:t xml:space="preserve">qui </w:t>
      </w:r>
      <w:r w:rsidRPr="00056445">
        <w:rPr>
          <w:rFonts w:eastAsia="Calibri"/>
          <w:szCs w:val="24"/>
        </w:rPr>
        <w:t xml:space="preserve">ont été dépensés. </w:t>
      </w:r>
    </w:p>
    <w:p w14:paraId="0A52458F" w14:textId="32C8F810" w:rsidR="00730E02" w:rsidRPr="00056445" w:rsidRDefault="00730E02" w:rsidP="00F175A7">
      <w:pPr>
        <w:numPr>
          <w:ilvl w:val="0"/>
          <w:numId w:val="8"/>
        </w:numPr>
        <w:shd w:val="clear" w:color="auto" w:fill="FFFFFF"/>
        <w:spacing w:before="120" w:after="120" w:line="240" w:lineRule="auto"/>
        <w:ind w:left="0"/>
        <w:rPr>
          <w:rFonts w:eastAsia="Calibri"/>
          <w:szCs w:val="24"/>
        </w:rPr>
      </w:pPr>
      <w:bookmarkStart w:id="98" w:name="_heading=h.3ep43zb" w:colFirst="0" w:colLast="0"/>
      <w:bookmarkStart w:id="99" w:name="_heading=h.1tuee74" w:colFirst="0" w:colLast="0"/>
      <w:bookmarkStart w:id="100" w:name="_heading=h.4du1wux" w:colFirst="0" w:colLast="0"/>
      <w:bookmarkEnd w:id="98"/>
      <w:bookmarkEnd w:id="99"/>
      <w:bookmarkEnd w:id="100"/>
      <w:r w:rsidRPr="00056445">
        <w:rPr>
          <w:rFonts w:eastAsia="Calibri"/>
          <w:szCs w:val="24"/>
        </w:rPr>
        <w:t xml:space="preserve">Concernant la quatorzième action 03038 relative à la </w:t>
      </w:r>
      <w:r w:rsidRPr="008139E1">
        <w:rPr>
          <w:rFonts w:eastAsia="Calibri"/>
          <w:b/>
          <w:szCs w:val="24"/>
        </w:rPr>
        <w:t>« mise en place d’un mécanisme de financement de la planification, de l’aménagement urbain et du logement »</w:t>
      </w:r>
      <w:r w:rsidRPr="00056445">
        <w:rPr>
          <w:rFonts w:eastAsia="Calibri"/>
          <w:szCs w:val="24"/>
        </w:rPr>
        <w:t xml:space="preserve">, elle a pour cible annuelle de porter le « taux de mise en place des organes du Fonds national pour les aménagements urbains et le logement (FONAUL) » à 80% en 2023. Ce niveau est atteint au 31 décembre. Les résultats enregistrés sont la disponibilité des projets de </w:t>
      </w:r>
      <w:r w:rsidR="00987C47">
        <w:rPr>
          <w:rFonts w:eastAsia="Calibri"/>
          <w:szCs w:val="24"/>
        </w:rPr>
        <w:t>d</w:t>
      </w:r>
      <w:r w:rsidRPr="00056445">
        <w:rPr>
          <w:rFonts w:eastAsia="Calibri"/>
          <w:szCs w:val="24"/>
        </w:rPr>
        <w:t xml:space="preserve">écret de création du FONAUL et de ses statuts, de même que les équipements prévus pour son opérationnalisation. Cette performance a été rendue possible grâce à l’opérationnalisation du FONAUL. </w:t>
      </w:r>
    </w:p>
    <w:p w14:paraId="11434144"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le plan financier, l’action a nécessité des dépenses de l’ordre de 75 000 000 FCFA sur une prévision de 100 000 000 FCFA, soit un taux d’exécution financière de 75%.</w:t>
      </w:r>
    </w:p>
    <w:p w14:paraId="5C2B77A9" w14:textId="699ECB39" w:rsidR="006470A9"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Relativement à la quinzième action </w:t>
      </w:r>
      <w:r w:rsidRPr="00F175A7">
        <w:rPr>
          <w:rFonts w:eastAsia="Calibri"/>
          <w:b/>
          <w:szCs w:val="24"/>
        </w:rPr>
        <w:t>03039 « réforme des textes régissant le foncier et de la prévention des dérives en matière de construction et de foncier</w:t>
      </w:r>
      <w:r w:rsidRPr="00056445">
        <w:rPr>
          <w:rFonts w:eastAsia="Calibri"/>
          <w:szCs w:val="24"/>
        </w:rPr>
        <w:t> », mesurée par le « nombre de lois adoptées », l’ambition affichée est d’adopter deux lois en 2023. A fin décembre 2023, une seule loi a été adoptée. Pour la mise en œuvre de l’action, quatre (04) produits sont programmés dont les niveaux de réalisation sont enregistrés dans le tableau ci-dessous.</w:t>
      </w:r>
    </w:p>
    <w:p w14:paraId="0BE73E13" w14:textId="77777777" w:rsidR="006470A9" w:rsidRDefault="006470A9">
      <w:pPr>
        <w:spacing w:after="0" w:line="240" w:lineRule="auto"/>
        <w:jc w:val="left"/>
        <w:rPr>
          <w:rFonts w:eastAsia="Calibri"/>
          <w:szCs w:val="24"/>
        </w:rPr>
      </w:pPr>
      <w:r>
        <w:rPr>
          <w:rFonts w:eastAsia="Calibri"/>
          <w:szCs w:val="24"/>
        </w:rPr>
        <w:br w:type="page"/>
      </w:r>
    </w:p>
    <w:p w14:paraId="0A9A83D0" w14:textId="261DB9CF" w:rsidR="00730E02" w:rsidRPr="00F175A7" w:rsidRDefault="00B1457E" w:rsidP="00730E02">
      <w:pPr>
        <w:pBdr>
          <w:top w:val="nil"/>
          <w:left w:val="nil"/>
          <w:bottom w:val="nil"/>
          <w:right w:val="nil"/>
          <w:between w:val="nil"/>
        </w:pBdr>
        <w:spacing w:after="200" w:line="240" w:lineRule="auto"/>
        <w:rPr>
          <w:rFonts w:cs="Merriweather"/>
          <w:sz w:val="22"/>
        </w:rPr>
      </w:pPr>
      <w:bookmarkStart w:id="101" w:name="_Toc164503631"/>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44</w:t>
      </w:r>
      <w:r w:rsidRPr="00B51145">
        <w:rPr>
          <w:b/>
          <w:bCs/>
          <w:sz w:val="22"/>
          <w:u w:val="single"/>
        </w:rPr>
        <w:fldChar w:fldCharType="end"/>
      </w:r>
      <w:r w:rsidR="00730E02" w:rsidRPr="008D20C6">
        <w:rPr>
          <w:rFonts w:cs="Merriweather"/>
          <w:color w:val="44546A"/>
          <w:sz w:val="22"/>
        </w:rPr>
        <w:t xml:space="preserve">: </w:t>
      </w:r>
      <w:r w:rsidR="00730E02" w:rsidRPr="00F175A7">
        <w:rPr>
          <w:rFonts w:cs="Merriweather"/>
          <w:sz w:val="22"/>
        </w:rPr>
        <w:t>situation des indicateurs de produits de l’action 03039 au 31 décembre 2023</w:t>
      </w:r>
      <w:bookmarkEnd w:id="101"/>
      <w:r w:rsidR="00730E02" w:rsidRPr="00F175A7">
        <w:rPr>
          <w:rFonts w:cs="Merriweather"/>
          <w:sz w:val="22"/>
        </w:rPr>
        <w:t xml:space="preserve"> </w:t>
      </w:r>
    </w:p>
    <w:tbl>
      <w:tblPr>
        <w:tblStyle w:val="GridTable4-Accent111"/>
        <w:tblW w:w="5000" w:type="pct"/>
        <w:tblLayout w:type="fixed"/>
        <w:tblLook w:val="04A0" w:firstRow="1" w:lastRow="0" w:firstColumn="1" w:lastColumn="0" w:noHBand="0" w:noVBand="1"/>
      </w:tblPr>
      <w:tblGrid>
        <w:gridCol w:w="4885"/>
        <w:gridCol w:w="1491"/>
        <w:gridCol w:w="1273"/>
        <w:gridCol w:w="1367"/>
      </w:tblGrid>
      <w:tr w:rsidR="00730E02" w:rsidRPr="00780F1B" w14:paraId="3AA2B21F"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9" w:type="pct"/>
            <w:shd w:val="clear" w:color="auto" w:fill="4472C4" w:themeFill="accent1"/>
          </w:tcPr>
          <w:p w14:paraId="64BF67E0" w14:textId="77777777" w:rsidR="00730E02" w:rsidRPr="00780F1B" w:rsidRDefault="00730E02" w:rsidP="00E52836">
            <w:pPr>
              <w:keepNext/>
              <w:keepLines/>
              <w:spacing w:after="0" w:line="240" w:lineRule="auto"/>
              <w:rPr>
                <w:sz w:val="22"/>
              </w:rPr>
            </w:pPr>
            <w:r w:rsidRPr="00780F1B">
              <w:rPr>
                <w:sz w:val="22"/>
              </w:rPr>
              <w:t xml:space="preserve">Indicateur </w:t>
            </w:r>
          </w:p>
        </w:tc>
        <w:tc>
          <w:tcPr>
            <w:tcW w:w="827" w:type="pct"/>
            <w:shd w:val="clear" w:color="auto" w:fill="4472C4" w:themeFill="accent1"/>
          </w:tcPr>
          <w:p w14:paraId="1E00E7C0" w14:textId="77777777" w:rsidR="00730E02" w:rsidRPr="00780F1B" w:rsidRDefault="00730E02"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780F1B">
              <w:rPr>
                <w:sz w:val="22"/>
              </w:rPr>
              <w:t>Réal. 2022</w:t>
            </w:r>
          </w:p>
        </w:tc>
        <w:tc>
          <w:tcPr>
            <w:tcW w:w="706" w:type="pct"/>
            <w:shd w:val="clear" w:color="auto" w:fill="4472C4" w:themeFill="accent1"/>
          </w:tcPr>
          <w:p w14:paraId="23C76F64" w14:textId="77777777" w:rsidR="00730E02" w:rsidRPr="00780F1B" w:rsidRDefault="00730E02"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780F1B">
              <w:rPr>
                <w:sz w:val="22"/>
              </w:rPr>
              <w:t>Réal. 2023</w:t>
            </w:r>
          </w:p>
        </w:tc>
        <w:tc>
          <w:tcPr>
            <w:tcW w:w="758" w:type="pct"/>
            <w:shd w:val="clear" w:color="auto" w:fill="4472C4" w:themeFill="accent1"/>
          </w:tcPr>
          <w:p w14:paraId="35092379" w14:textId="77777777" w:rsidR="00730E02" w:rsidRPr="00780F1B" w:rsidRDefault="00730E02"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780F1B">
              <w:rPr>
                <w:sz w:val="22"/>
              </w:rPr>
              <w:t>Cible 2023</w:t>
            </w:r>
          </w:p>
        </w:tc>
      </w:tr>
      <w:tr w:rsidR="00730E02" w:rsidRPr="00780F1B" w14:paraId="685BD193" w14:textId="77777777" w:rsidTr="00F175A7">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709" w:type="pct"/>
          </w:tcPr>
          <w:p w14:paraId="0E982EF3" w14:textId="62E14119" w:rsidR="00730E02" w:rsidRPr="00780F1B" w:rsidRDefault="00730E02" w:rsidP="00987C47">
            <w:pPr>
              <w:keepNext/>
              <w:keepLines/>
              <w:spacing w:after="0" w:line="240" w:lineRule="auto"/>
              <w:rPr>
                <w:b w:val="0"/>
                <w:sz w:val="22"/>
              </w:rPr>
            </w:pPr>
            <w:r w:rsidRPr="00780F1B">
              <w:rPr>
                <w:sz w:val="22"/>
              </w:rPr>
              <w:t xml:space="preserve">Adoption de la loi </w:t>
            </w:r>
            <w:r w:rsidRPr="00780F1B">
              <w:rPr>
                <w:color w:val="000000"/>
                <w:sz w:val="22"/>
              </w:rPr>
              <w:t xml:space="preserve">portant code de l’urbanisme et de la construction </w:t>
            </w:r>
          </w:p>
        </w:tc>
        <w:tc>
          <w:tcPr>
            <w:tcW w:w="827" w:type="pct"/>
          </w:tcPr>
          <w:p w14:paraId="7F4DD207" w14:textId="77777777" w:rsidR="00730E02" w:rsidRPr="00780F1B"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780F1B">
              <w:rPr>
                <w:sz w:val="22"/>
              </w:rPr>
              <w:t>0</w:t>
            </w:r>
          </w:p>
        </w:tc>
        <w:tc>
          <w:tcPr>
            <w:tcW w:w="706" w:type="pct"/>
          </w:tcPr>
          <w:p w14:paraId="677F47C2" w14:textId="77777777" w:rsidR="00730E02" w:rsidRPr="00780F1B"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780F1B">
              <w:rPr>
                <w:sz w:val="22"/>
              </w:rPr>
              <w:t>0</w:t>
            </w:r>
          </w:p>
        </w:tc>
        <w:tc>
          <w:tcPr>
            <w:tcW w:w="758" w:type="pct"/>
          </w:tcPr>
          <w:p w14:paraId="18F0C900" w14:textId="77777777" w:rsidR="00730E02" w:rsidRPr="00780F1B"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780F1B">
              <w:rPr>
                <w:sz w:val="22"/>
              </w:rPr>
              <w:t>1</w:t>
            </w:r>
          </w:p>
        </w:tc>
      </w:tr>
      <w:tr w:rsidR="00730E02" w:rsidRPr="00780F1B" w14:paraId="707CE39B"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709" w:type="pct"/>
          </w:tcPr>
          <w:p w14:paraId="2583E6AC" w14:textId="77777777" w:rsidR="00730E02" w:rsidRPr="00780F1B" w:rsidRDefault="00730E02" w:rsidP="00E52836">
            <w:pPr>
              <w:keepNext/>
              <w:keepLines/>
              <w:spacing w:after="0" w:line="240" w:lineRule="auto"/>
              <w:rPr>
                <w:b w:val="0"/>
                <w:sz w:val="22"/>
              </w:rPr>
            </w:pPr>
            <w:r w:rsidRPr="00780F1B">
              <w:rPr>
                <w:sz w:val="22"/>
              </w:rPr>
              <w:t xml:space="preserve">Adoption de la loi </w:t>
            </w:r>
            <w:r w:rsidRPr="00780F1B">
              <w:rPr>
                <w:color w:val="000000"/>
                <w:sz w:val="22"/>
              </w:rPr>
              <w:t>sur la promotion immobilière</w:t>
            </w:r>
          </w:p>
        </w:tc>
        <w:tc>
          <w:tcPr>
            <w:tcW w:w="827" w:type="pct"/>
          </w:tcPr>
          <w:p w14:paraId="50350809" w14:textId="77777777" w:rsidR="00730E02" w:rsidRPr="00780F1B"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780F1B">
              <w:rPr>
                <w:sz w:val="22"/>
              </w:rPr>
              <w:t>0</w:t>
            </w:r>
          </w:p>
        </w:tc>
        <w:tc>
          <w:tcPr>
            <w:tcW w:w="706" w:type="pct"/>
          </w:tcPr>
          <w:p w14:paraId="1D8219EA" w14:textId="77777777" w:rsidR="00730E02" w:rsidRPr="00780F1B"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780F1B">
              <w:rPr>
                <w:sz w:val="22"/>
              </w:rPr>
              <w:t>1</w:t>
            </w:r>
          </w:p>
        </w:tc>
        <w:tc>
          <w:tcPr>
            <w:tcW w:w="758" w:type="pct"/>
          </w:tcPr>
          <w:p w14:paraId="2328D4EA" w14:textId="77777777" w:rsidR="00730E02" w:rsidRPr="00780F1B"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780F1B">
              <w:rPr>
                <w:sz w:val="22"/>
              </w:rPr>
              <w:t>1</w:t>
            </w:r>
          </w:p>
        </w:tc>
      </w:tr>
      <w:tr w:rsidR="00730E02" w:rsidRPr="00780F1B" w14:paraId="4871B43B"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9" w:type="pct"/>
          </w:tcPr>
          <w:p w14:paraId="02349FE8" w14:textId="77777777" w:rsidR="00730E02" w:rsidRPr="00780F1B" w:rsidRDefault="00730E02" w:rsidP="00E52836">
            <w:pPr>
              <w:keepNext/>
              <w:keepLines/>
              <w:spacing w:after="0" w:line="240" w:lineRule="auto"/>
              <w:rPr>
                <w:b w:val="0"/>
                <w:sz w:val="22"/>
              </w:rPr>
            </w:pPr>
            <w:r w:rsidRPr="00780F1B">
              <w:rPr>
                <w:sz w:val="22"/>
              </w:rPr>
              <w:t>Nombre d’aménagements et de constructions contrôlés</w:t>
            </w:r>
          </w:p>
        </w:tc>
        <w:tc>
          <w:tcPr>
            <w:tcW w:w="827" w:type="pct"/>
          </w:tcPr>
          <w:p w14:paraId="37E73EA7" w14:textId="77777777" w:rsidR="00730E02" w:rsidRPr="00780F1B"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780F1B">
              <w:rPr>
                <w:sz w:val="22"/>
              </w:rPr>
              <w:t>750</w:t>
            </w:r>
          </w:p>
        </w:tc>
        <w:tc>
          <w:tcPr>
            <w:tcW w:w="706" w:type="pct"/>
          </w:tcPr>
          <w:p w14:paraId="3D5B6F6D" w14:textId="77777777" w:rsidR="00730E02" w:rsidRPr="00780F1B"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780F1B">
              <w:rPr>
                <w:sz w:val="22"/>
              </w:rPr>
              <w:t>2 950</w:t>
            </w:r>
          </w:p>
        </w:tc>
        <w:tc>
          <w:tcPr>
            <w:tcW w:w="758" w:type="pct"/>
          </w:tcPr>
          <w:p w14:paraId="77CE8282" w14:textId="77777777" w:rsidR="00730E02" w:rsidRPr="00780F1B" w:rsidRDefault="00730E02"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780F1B">
              <w:rPr>
                <w:sz w:val="22"/>
              </w:rPr>
              <w:t>1 000</w:t>
            </w:r>
          </w:p>
        </w:tc>
      </w:tr>
      <w:tr w:rsidR="00730E02" w:rsidRPr="00780F1B" w14:paraId="2EDE5CB6"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709" w:type="pct"/>
          </w:tcPr>
          <w:p w14:paraId="4D1C10C7" w14:textId="77777777" w:rsidR="00730E02" w:rsidRPr="00780F1B" w:rsidRDefault="00730E02" w:rsidP="00E52836">
            <w:pPr>
              <w:keepNext/>
              <w:keepLines/>
              <w:spacing w:after="0" w:line="240" w:lineRule="auto"/>
              <w:rPr>
                <w:b w:val="0"/>
                <w:sz w:val="22"/>
              </w:rPr>
            </w:pPr>
            <w:r w:rsidRPr="00780F1B">
              <w:rPr>
                <w:sz w:val="22"/>
              </w:rPr>
              <w:t xml:space="preserve">Disponibilité du rapport de l’étude </w:t>
            </w:r>
            <w:r w:rsidRPr="00780F1B">
              <w:rPr>
                <w:color w:val="000000"/>
                <w:sz w:val="22"/>
              </w:rPr>
              <w:t>en vue du plafonnement des prix de parcelles à usage d’habitation</w:t>
            </w:r>
          </w:p>
        </w:tc>
        <w:tc>
          <w:tcPr>
            <w:tcW w:w="827" w:type="pct"/>
          </w:tcPr>
          <w:p w14:paraId="48BC77DC" w14:textId="77777777" w:rsidR="00730E02" w:rsidRPr="00780F1B"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780F1B">
              <w:rPr>
                <w:sz w:val="22"/>
              </w:rPr>
              <w:t>0</w:t>
            </w:r>
          </w:p>
        </w:tc>
        <w:tc>
          <w:tcPr>
            <w:tcW w:w="706" w:type="pct"/>
          </w:tcPr>
          <w:p w14:paraId="014F1D66" w14:textId="77777777" w:rsidR="00730E02" w:rsidRPr="00780F1B"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780F1B">
              <w:rPr>
                <w:sz w:val="22"/>
              </w:rPr>
              <w:t>0</w:t>
            </w:r>
          </w:p>
        </w:tc>
        <w:tc>
          <w:tcPr>
            <w:tcW w:w="758" w:type="pct"/>
          </w:tcPr>
          <w:p w14:paraId="532789CD" w14:textId="77777777" w:rsidR="00730E02" w:rsidRPr="00780F1B" w:rsidRDefault="00730E02"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780F1B">
              <w:rPr>
                <w:sz w:val="22"/>
              </w:rPr>
              <w:t>1</w:t>
            </w:r>
          </w:p>
        </w:tc>
      </w:tr>
    </w:tbl>
    <w:p w14:paraId="23976BE4" w14:textId="0EE002BA" w:rsidR="00730E02" w:rsidRPr="00F93BA5" w:rsidRDefault="00730E02" w:rsidP="00730E02">
      <w:pPr>
        <w:spacing w:line="240" w:lineRule="auto"/>
        <w:rPr>
          <w:sz w:val="20"/>
          <w:szCs w:val="20"/>
        </w:rPr>
      </w:pPr>
      <w:r w:rsidRPr="00F93BA5">
        <w:rPr>
          <w:b/>
          <w:sz w:val="20"/>
          <w:szCs w:val="20"/>
          <w:u w:val="single"/>
        </w:rPr>
        <w:t>Source</w:t>
      </w:r>
      <w:r w:rsidRPr="00F93BA5">
        <w:rPr>
          <w:sz w:val="20"/>
          <w:szCs w:val="20"/>
        </w:rPr>
        <w:t xml:space="preserve"> : rapport </w:t>
      </w:r>
      <w:r w:rsidR="00603CB3">
        <w:rPr>
          <w:sz w:val="20"/>
          <w:szCs w:val="20"/>
        </w:rPr>
        <w:t xml:space="preserve">annuel </w:t>
      </w:r>
      <w:r w:rsidRPr="00F93BA5">
        <w:rPr>
          <w:sz w:val="20"/>
          <w:szCs w:val="20"/>
        </w:rPr>
        <w:t xml:space="preserve">de performance 2023 du </w:t>
      </w:r>
      <w:r w:rsidR="00CB69FF">
        <w:rPr>
          <w:sz w:val="20"/>
          <w:szCs w:val="20"/>
        </w:rPr>
        <w:t>CSD-</w:t>
      </w:r>
      <w:r w:rsidRPr="00F93BA5">
        <w:rPr>
          <w:sz w:val="20"/>
          <w:szCs w:val="20"/>
        </w:rPr>
        <w:t>ITCH, février 2024</w:t>
      </w:r>
    </w:p>
    <w:p w14:paraId="0312BF08" w14:textId="02F91CD5"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Deux (02) indicateurs sur quatre (04) ont atteint leur cible</w:t>
      </w:r>
      <w:r w:rsidR="00987C47">
        <w:rPr>
          <w:rFonts w:eastAsia="Calibri"/>
          <w:szCs w:val="24"/>
        </w:rPr>
        <w:t>,</w:t>
      </w:r>
      <w:r w:rsidRPr="00056445">
        <w:rPr>
          <w:rFonts w:eastAsia="Calibri"/>
          <w:szCs w:val="24"/>
        </w:rPr>
        <w:t xml:space="preserve"> notamment l’adoption de la </w:t>
      </w:r>
      <w:r w:rsidR="00987C47">
        <w:rPr>
          <w:rFonts w:eastAsia="Calibri"/>
          <w:szCs w:val="24"/>
        </w:rPr>
        <w:t>l</w:t>
      </w:r>
      <w:r w:rsidRPr="00056445">
        <w:rPr>
          <w:rFonts w:eastAsia="Calibri"/>
          <w:szCs w:val="24"/>
        </w:rPr>
        <w:t>oi sur la promotion immobilière et le contrôle de 200 aménagements et de 2 750 constructions. Pour ce qui est de la loi, elle a été adoptée avec quatre (04) décrets d’application</w:t>
      </w:r>
      <w:r w:rsidR="00987C47">
        <w:rPr>
          <w:rStyle w:val="Appelnotedebasdep"/>
          <w:rFonts w:eastAsia="Calibri"/>
          <w:szCs w:val="24"/>
        </w:rPr>
        <w:footnoteReference w:id="4"/>
      </w:r>
      <w:r w:rsidRPr="00056445">
        <w:rPr>
          <w:rFonts w:eastAsia="Calibri"/>
          <w:szCs w:val="24"/>
        </w:rPr>
        <w:t xml:space="preserve">. Quant aux opérations de contrôle des aménagements et des constructions, le niveau atteint est la résultante de la pleine opérationnalisation de l’Office national du contrôle des aménagements et des constructions ainsi que le concours des Directions régionales en charge de l’urbanisme. </w:t>
      </w:r>
    </w:p>
    <w:p w14:paraId="0137480A" w14:textId="588D7C30"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La loi portant code de l’urbanisme et de la construction rencontre quelques difficultés</w:t>
      </w:r>
      <w:r w:rsidR="00987C47">
        <w:rPr>
          <w:rFonts w:eastAsia="Calibri"/>
          <w:szCs w:val="24"/>
        </w:rPr>
        <w:t>,</w:t>
      </w:r>
      <w:r w:rsidRPr="00056445">
        <w:rPr>
          <w:rFonts w:eastAsia="Calibri"/>
          <w:szCs w:val="24"/>
        </w:rPr>
        <w:t xml:space="preserve"> notamment les changements institutionnels et les problèmes de coordination y relatifs. En dépit de ces difficultés, le processus est engagé avec la rencontre de cadrage, la formation sur la </w:t>
      </w:r>
      <w:proofErr w:type="spellStart"/>
      <w:r w:rsidRPr="00056445">
        <w:rPr>
          <w:rFonts w:eastAsia="Calibri"/>
          <w:szCs w:val="24"/>
        </w:rPr>
        <w:t>légistique</w:t>
      </w:r>
      <w:proofErr w:type="spellEnd"/>
      <w:r w:rsidRPr="00056445">
        <w:rPr>
          <w:rFonts w:eastAsia="Calibri"/>
          <w:szCs w:val="24"/>
        </w:rPr>
        <w:t xml:space="preserve"> et l’élaboration du premier </w:t>
      </w:r>
      <w:proofErr w:type="spellStart"/>
      <w:r w:rsidRPr="00056445">
        <w:rPr>
          <w:rFonts w:eastAsia="Calibri"/>
          <w:szCs w:val="24"/>
        </w:rPr>
        <w:t>draft</w:t>
      </w:r>
      <w:proofErr w:type="spellEnd"/>
      <w:r w:rsidRPr="00056445">
        <w:rPr>
          <w:rFonts w:eastAsia="Calibri"/>
          <w:szCs w:val="24"/>
        </w:rPr>
        <w:t xml:space="preserve">. </w:t>
      </w:r>
    </w:p>
    <w:p w14:paraId="40D3489B" w14:textId="29D3D4F9" w:rsidR="00730E02" w:rsidRPr="00056445" w:rsidRDefault="00987C47"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730E02" w:rsidRPr="00056445">
        <w:rPr>
          <w:rFonts w:eastAsia="Calibri"/>
          <w:szCs w:val="24"/>
        </w:rPr>
        <w:t xml:space="preserve"> plan des ressources financières, un montant de 275 246 096 FCFA a été engagé sur une prévision de 1 140 000 000 FCFA, soit un taux d’exécution de 24,14%. Ce niveau de réalisation s’explique par l’implication d’un grand nombre de parties prenantes (relativement à la Loi) d’une part et le retard dans le déblocage des ressources allouées aux opérations de contrôle des aménagements et des constructions</w:t>
      </w:r>
      <w:r>
        <w:rPr>
          <w:rFonts w:eastAsia="Calibri"/>
          <w:szCs w:val="24"/>
        </w:rPr>
        <w:t>,</w:t>
      </w:r>
      <w:r w:rsidR="00730E02" w:rsidRPr="00056445">
        <w:rPr>
          <w:rFonts w:eastAsia="Calibri"/>
          <w:szCs w:val="24"/>
        </w:rPr>
        <w:t xml:space="preserve"> d’autre part.</w:t>
      </w:r>
    </w:p>
    <w:p w14:paraId="049529CA" w14:textId="51697011" w:rsidR="00730E02" w:rsidRPr="00E31E23" w:rsidRDefault="00730E02" w:rsidP="00F175A7">
      <w:pPr>
        <w:numPr>
          <w:ilvl w:val="0"/>
          <w:numId w:val="8"/>
        </w:numPr>
        <w:shd w:val="clear" w:color="auto" w:fill="FFFFFF"/>
        <w:spacing w:before="120" w:after="120" w:line="240" w:lineRule="auto"/>
        <w:ind w:left="0"/>
      </w:pPr>
      <w:r w:rsidRPr="00056445">
        <w:rPr>
          <w:rFonts w:eastAsia="Calibri"/>
          <w:szCs w:val="24"/>
        </w:rPr>
        <w:t xml:space="preserve">S’agissant de la seizième action relative </w:t>
      </w:r>
      <w:r w:rsidRPr="008139E1">
        <w:rPr>
          <w:rFonts w:eastAsia="Calibri"/>
          <w:b/>
          <w:szCs w:val="24"/>
        </w:rPr>
        <w:t>au renforcement et élargissement des liens d’amitié et de coopération du Burkina Faso (03040)</w:t>
      </w:r>
      <w:r w:rsidR="00987C47">
        <w:rPr>
          <w:rFonts w:eastAsia="Calibri"/>
          <w:b/>
          <w:szCs w:val="24"/>
        </w:rPr>
        <w:t>,</w:t>
      </w:r>
      <w:r w:rsidRPr="00056445">
        <w:rPr>
          <w:rFonts w:eastAsia="Calibri"/>
          <w:szCs w:val="24"/>
        </w:rPr>
        <w:t xml:space="preserve"> </w:t>
      </w:r>
      <w:r w:rsidR="00987C47">
        <w:rPr>
          <w:rFonts w:eastAsia="Calibri"/>
          <w:szCs w:val="24"/>
        </w:rPr>
        <w:t>e</w:t>
      </w:r>
      <w:r w:rsidRPr="00056445">
        <w:rPr>
          <w:rFonts w:eastAsia="Calibri"/>
          <w:szCs w:val="24"/>
        </w:rPr>
        <w:t>lle est mesurée par deux (02)</w:t>
      </w:r>
      <w:r w:rsidRPr="00E31E23">
        <w:t xml:space="preserve"> indicateurs, à savoir le « nombre de sessions de commissions mixtes organisées » et le « nombre de missions diplomatiques et postes consulaires ouverts ». </w:t>
      </w:r>
    </w:p>
    <w:p w14:paraId="6970D5B0" w14:textId="54FD0D8C"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lastRenderedPageBreak/>
        <w:t xml:space="preserve">A fin décembre 2023, le « nombre de sessions de commissions mixtes organisées » a atteint sa cible avec l’organisation de cinq (05) sessions de commissions mixtes de coopération sur une prévision de quatre (04).  Le nombre de missions diplomatiques et postes consulaires ouverts est d’un (01) sur une cible de deux (02) avec l’ouverture de l’ambassade du Burkina Faso en République </w:t>
      </w:r>
      <w:r w:rsidR="00987C47">
        <w:rPr>
          <w:rFonts w:eastAsia="Calibri"/>
          <w:szCs w:val="24"/>
        </w:rPr>
        <w:t>i</w:t>
      </w:r>
      <w:r w:rsidRPr="00056445">
        <w:rPr>
          <w:rFonts w:eastAsia="Calibri"/>
          <w:szCs w:val="24"/>
        </w:rPr>
        <w:t>slamique d’Iran.  </w:t>
      </w:r>
    </w:p>
    <w:p w14:paraId="28C2C0B1" w14:textId="3DB30C5F"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Sur les quatre (04) indicateurs de produits qui concourent à la réalisation de l’action, deux 02) ont atteint leur cible en 2023. Il s’agit de la disponibilité du nouveau décret portant définition des juridictions des </w:t>
      </w:r>
      <w:r w:rsidR="00987C47">
        <w:rPr>
          <w:rFonts w:eastAsia="Calibri"/>
          <w:szCs w:val="24"/>
        </w:rPr>
        <w:t>m</w:t>
      </w:r>
      <w:r w:rsidRPr="00056445">
        <w:rPr>
          <w:rFonts w:eastAsia="Calibri"/>
          <w:szCs w:val="24"/>
        </w:rPr>
        <w:t xml:space="preserve">issions diplomatiques et </w:t>
      </w:r>
      <w:r w:rsidR="00987C47">
        <w:rPr>
          <w:rFonts w:eastAsia="Calibri"/>
          <w:szCs w:val="24"/>
        </w:rPr>
        <w:t>p</w:t>
      </w:r>
      <w:r w:rsidRPr="00056445">
        <w:rPr>
          <w:rFonts w:eastAsia="Calibri"/>
          <w:szCs w:val="24"/>
        </w:rPr>
        <w:t xml:space="preserve">ostes consulaires et du nombre de sessions de commissions mixtes de coopération et de comités de suivi participés. </w:t>
      </w:r>
    </w:p>
    <w:p w14:paraId="52671486" w14:textId="0C4FD345"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En effet, le décret n°2023-1159 /PRES-TRANS/PM/MAECRBE/MEFP portant définition des juridictions des missions diplomatiques du Burkina Faso a été signé le 19 septembre 2023 et le Burkina Faso a participé aux sessions de commissions mixtes de coopération avec la République de Guinée, le Royaume du Maroc, le Royaume de Belgique, la République du Mali et la République </w:t>
      </w:r>
      <w:r w:rsidR="00987C47">
        <w:rPr>
          <w:rFonts w:eastAsia="Calibri"/>
          <w:szCs w:val="24"/>
        </w:rPr>
        <w:t>i</w:t>
      </w:r>
      <w:r w:rsidRPr="00056445">
        <w:rPr>
          <w:rFonts w:eastAsia="Calibri"/>
          <w:szCs w:val="24"/>
        </w:rPr>
        <w:t xml:space="preserve">slamique d’Iran. </w:t>
      </w:r>
    </w:p>
    <w:p w14:paraId="578B4ACB" w14:textId="6D68BE47" w:rsidR="00730E02" w:rsidRPr="00056445" w:rsidRDefault="00730E02" w:rsidP="00F175A7">
      <w:pPr>
        <w:numPr>
          <w:ilvl w:val="0"/>
          <w:numId w:val="8"/>
        </w:numPr>
        <w:shd w:val="clear" w:color="auto" w:fill="FFFFFF"/>
        <w:spacing w:before="120" w:after="120" w:line="240" w:lineRule="auto"/>
        <w:ind w:left="0"/>
        <w:rPr>
          <w:rFonts w:eastAsia="Calibri"/>
          <w:szCs w:val="24"/>
        </w:rPr>
      </w:pPr>
      <w:bookmarkStart w:id="102" w:name="_heading=h.3s49zyc" w:colFirst="0" w:colLast="0"/>
      <w:bookmarkEnd w:id="102"/>
      <w:r w:rsidRPr="00056445">
        <w:rPr>
          <w:rFonts w:eastAsia="Calibri"/>
          <w:szCs w:val="24"/>
        </w:rPr>
        <w:t>La situation d’atteinte des indicateurs des produits se présente comme suit</w:t>
      </w:r>
      <w:r w:rsidR="00987C47">
        <w:rPr>
          <w:rFonts w:eastAsia="Calibri"/>
          <w:szCs w:val="24"/>
        </w:rPr>
        <w:t>.</w:t>
      </w:r>
      <w:r w:rsidRPr="00056445">
        <w:rPr>
          <w:rFonts w:eastAsia="Calibri"/>
          <w:szCs w:val="24"/>
        </w:rPr>
        <w:t xml:space="preserve"> </w:t>
      </w:r>
    </w:p>
    <w:p w14:paraId="15C14017" w14:textId="1512501C" w:rsidR="00730E02" w:rsidRPr="00F93BA5" w:rsidRDefault="00F93BA5" w:rsidP="00730E02">
      <w:pPr>
        <w:keepNext/>
        <w:pBdr>
          <w:top w:val="nil"/>
          <w:left w:val="nil"/>
          <w:bottom w:val="nil"/>
          <w:right w:val="nil"/>
          <w:between w:val="nil"/>
        </w:pBdr>
        <w:spacing w:before="120" w:after="200" w:line="240" w:lineRule="auto"/>
        <w:ind w:left="720" w:hanging="720"/>
        <w:rPr>
          <w:rFonts w:cs="Merriweather"/>
          <w:color w:val="000000"/>
          <w:sz w:val="22"/>
        </w:rPr>
      </w:pPr>
      <w:bookmarkStart w:id="103" w:name="_Toc164503632"/>
      <w:r w:rsidRPr="00F93BA5">
        <w:rPr>
          <w:b/>
          <w:bCs/>
          <w:sz w:val="22"/>
          <w:u w:val="single"/>
        </w:rPr>
        <w:t xml:space="preserve">Tableau </w:t>
      </w:r>
      <w:r w:rsidRPr="00F93BA5">
        <w:rPr>
          <w:b/>
          <w:bCs/>
          <w:sz w:val="22"/>
          <w:u w:val="single"/>
        </w:rPr>
        <w:fldChar w:fldCharType="begin"/>
      </w:r>
      <w:r w:rsidRPr="00F93BA5">
        <w:rPr>
          <w:b/>
          <w:bCs/>
          <w:sz w:val="22"/>
          <w:u w:val="single"/>
        </w:rPr>
        <w:instrText xml:space="preserve"> SEQ Tableau \* ARABIC </w:instrText>
      </w:r>
      <w:r w:rsidRPr="00F93BA5">
        <w:rPr>
          <w:b/>
          <w:bCs/>
          <w:sz w:val="22"/>
          <w:u w:val="single"/>
        </w:rPr>
        <w:fldChar w:fldCharType="separate"/>
      </w:r>
      <w:r w:rsidR="007C2E4E">
        <w:rPr>
          <w:b/>
          <w:bCs/>
          <w:noProof/>
          <w:sz w:val="22"/>
          <w:u w:val="single"/>
        </w:rPr>
        <w:t>45</w:t>
      </w:r>
      <w:r w:rsidRPr="00F93BA5">
        <w:rPr>
          <w:b/>
          <w:bCs/>
          <w:sz w:val="22"/>
          <w:u w:val="single"/>
        </w:rPr>
        <w:fldChar w:fldCharType="end"/>
      </w:r>
      <w:r w:rsidR="00730E02" w:rsidRPr="00F93BA5">
        <w:rPr>
          <w:rFonts w:cs="Merriweather"/>
          <w:color w:val="000000"/>
          <w:sz w:val="22"/>
        </w:rPr>
        <w:t>: situation des indicateurs de produits de l'action « renforcement et élargissement des liens d'amitié</w:t>
      </w:r>
      <w:r w:rsidRPr="00F93BA5">
        <w:rPr>
          <w:rFonts w:cs="Merriweather"/>
          <w:color w:val="000000"/>
          <w:sz w:val="22"/>
        </w:rPr>
        <w:t xml:space="preserve"> </w:t>
      </w:r>
      <w:r w:rsidR="00730E02" w:rsidRPr="00F93BA5">
        <w:rPr>
          <w:rFonts w:cs="Merriweather"/>
          <w:color w:val="000000"/>
          <w:sz w:val="22"/>
        </w:rPr>
        <w:t>et de coopération du Burkina Faso » au 31 décembre 2023</w:t>
      </w:r>
      <w:bookmarkEnd w:id="103"/>
    </w:p>
    <w:tbl>
      <w:tblPr>
        <w:tblStyle w:val="GridTable4-Accent111"/>
        <w:tblW w:w="5000" w:type="pct"/>
        <w:tblLook w:val="04A0" w:firstRow="1" w:lastRow="0" w:firstColumn="1" w:lastColumn="0" w:noHBand="0" w:noVBand="1"/>
      </w:tblPr>
      <w:tblGrid>
        <w:gridCol w:w="5396"/>
        <w:gridCol w:w="1170"/>
        <w:gridCol w:w="1170"/>
        <w:gridCol w:w="1280"/>
      </w:tblGrid>
      <w:tr w:rsidR="00730E02" w:rsidRPr="003D2260" w14:paraId="52D33947"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31C46CE0" w14:textId="77777777" w:rsidR="00730E02" w:rsidRPr="00F175A7" w:rsidRDefault="00730E02" w:rsidP="00F175A7">
            <w:pPr>
              <w:spacing w:after="0" w:line="240" w:lineRule="auto"/>
              <w:jc w:val="left"/>
              <w:rPr>
                <w:color w:val="FFFFFF" w:themeColor="background1"/>
                <w:sz w:val="22"/>
              </w:rPr>
            </w:pPr>
            <w:r w:rsidRPr="00F175A7">
              <w:rPr>
                <w:color w:val="FFFFFF" w:themeColor="background1"/>
                <w:sz w:val="22"/>
              </w:rPr>
              <w:t>Indicateurs</w:t>
            </w:r>
          </w:p>
        </w:tc>
        <w:tc>
          <w:tcPr>
            <w:tcW w:w="649" w:type="pct"/>
            <w:shd w:val="clear" w:color="auto" w:fill="4472C4" w:themeFill="accent1"/>
          </w:tcPr>
          <w:p w14:paraId="5791A1E5" w14:textId="77777777" w:rsidR="00730E02" w:rsidRPr="00F175A7"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F175A7">
              <w:rPr>
                <w:color w:val="FFFFFF" w:themeColor="background1"/>
                <w:sz w:val="22"/>
              </w:rPr>
              <w:t>Réal. 2022</w:t>
            </w:r>
          </w:p>
        </w:tc>
        <w:tc>
          <w:tcPr>
            <w:tcW w:w="649" w:type="pct"/>
            <w:shd w:val="clear" w:color="auto" w:fill="4472C4" w:themeFill="accent1"/>
          </w:tcPr>
          <w:p w14:paraId="08FCA3D7" w14:textId="77777777" w:rsidR="00730E02" w:rsidRPr="00F175A7"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F175A7">
              <w:rPr>
                <w:color w:val="FFFFFF" w:themeColor="background1"/>
                <w:sz w:val="22"/>
              </w:rPr>
              <w:t>Réal. 2023</w:t>
            </w:r>
          </w:p>
        </w:tc>
        <w:tc>
          <w:tcPr>
            <w:tcW w:w="710" w:type="pct"/>
            <w:shd w:val="clear" w:color="auto" w:fill="4472C4" w:themeFill="accent1"/>
          </w:tcPr>
          <w:p w14:paraId="5F2613D2" w14:textId="77777777" w:rsidR="00730E02" w:rsidRPr="00F175A7"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F175A7">
              <w:rPr>
                <w:color w:val="FFFFFF" w:themeColor="background1"/>
                <w:sz w:val="22"/>
              </w:rPr>
              <w:t>Cible 2023</w:t>
            </w:r>
          </w:p>
        </w:tc>
      </w:tr>
      <w:tr w:rsidR="00730E02" w:rsidRPr="003D2260" w14:paraId="6F1C5A1B"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0C493868" w14:textId="7092E36C" w:rsidR="00730E02" w:rsidRPr="003D2260" w:rsidRDefault="00730E02" w:rsidP="00F175A7">
            <w:pPr>
              <w:spacing w:after="0" w:line="240" w:lineRule="auto"/>
              <w:rPr>
                <w:color w:val="000000"/>
                <w:sz w:val="22"/>
              </w:rPr>
            </w:pPr>
            <w:r w:rsidRPr="003D2260">
              <w:rPr>
                <w:color w:val="000000"/>
                <w:sz w:val="22"/>
              </w:rPr>
              <w:t xml:space="preserve">Disponibilité du nouveau décret portant définition des juridictions des </w:t>
            </w:r>
            <w:r w:rsidR="00987C47">
              <w:rPr>
                <w:color w:val="000000"/>
                <w:sz w:val="22"/>
              </w:rPr>
              <w:t>m</w:t>
            </w:r>
            <w:r w:rsidRPr="003D2260">
              <w:rPr>
                <w:color w:val="000000"/>
                <w:sz w:val="22"/>
              </w:rPr>
              <w:t xml:space="preserve">issions diplomatiques et </w:t>
            </w:r>
            <w:r w:rsidR="00987C47">
              <w:rPr>
                <w:color w:val="000000"/>
                <w:sz w:val="22"/>
              </w:rPr>
              <w:t>p</w:t>
            </w:r>
            <w:r w:rsidRPr="003D2260">
              <w:rPr>
                <w:color w:val="000000"/>
                <w:sz w:val="22"/>
              </w:rPr>
              <w:t>ostes consulaires</w:t>
            </w:r>
          </w:p>
        </w:tc>
        <w:tc>
          <w:tcPr>
            <w:tcW w:w="649" w:type="pct"/>
          </w:tcPr>
          <w:p w14:paraId="70059890" w14:textId="77777777" w:rsidR="00730E02" w:rsidRPr="003D2260" w:rsidRDefault="00730E02"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3D2260">
              <w:rPr>
                <w:color w:val="000000"/>
                <w:sz w:val="22"/>
              </w:rPr>
              <w:t>0</w:t>
            </w:r>
          </w:p>
        </w:tc>
        <w:tc>
          <w:tcPr>
            <w:tcW w:w="649" w:type="pct"/>
          </w:tcPr>
          <w:p w14:paraId="21BAC1A7" w14:textId="77777777" w:rsidR="00730E02" w:rsidRPr="003D2260" w:rsidRDefault="00730E02"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3D2260">
              <w:rPr>
                <w:color w:val="000000"/>
                <w:sz w:val="22"/>
              </w:rPr>
              <w:t>1</w:t>
            </w:r>
          </w:p>
        </w:tc>
        <w:tc>
          <w:tcPr>
            <w:tcW w:w="710" w:type="pct"/>
          </w:tcPr>
          <w:p w14:paraId="14A3E888" w14:textId="77777777" w:rsidR="00730E02" w:rsidRPr="003D2260" w:rsidRDefault="00730E02"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3D2260">
              <w:rPr>
                <w:color w:val="000000"/>
                <w:sz w:val="22"/>
              </w:rPr>
              <w:t>1</w:t>
            </w:r>
          </w:p>
        </w:tc>
      </w:tr>
      <w:tr w:rsidR="00730E02" w:rsidRPr="003D2260" w14:paraId="1EF48EE6"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2DB9C08F" w14:textId="77777777" w:rsidR="00730E02" w:rsidRPr="003D2260" w:rsidRDefault="00730E02" w:rsidP="00F175A7">
            <w:pPr>
              <w:spacing w:after="0" w:line="240" w:lineRule="auto"/>
              <w:rPr>
                <w:color w:val="000000"/>
                <w:sz w:val="22"/>
              </w:rPr>
            </w:pPr>
            <w:r w:rsidRPr="003D2260">
              <w:rPr>
                <w:color w:val="000000"/>
                <w:sz w:val="22"/>
              </w:rPr>
              <w:t>Nombre de commissions mixtes et de sessions de suivi participées</w:t>
            </w:r>
          </w:p>
        </w:tc>
        <w:tc>
          <w:tcPr>
            <w:tcW w:w="649" w:type="pct"/>
          </w:tcPr>
          <w:p w14:paraId="4A1D0670" w14:textId="77777777" w:rsidR="00730E02" w:rsidRPr="003D2260" w:rsidRDefault="00730E02"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3D2260">
              <w:rPr>
                <w:color w:val="000000"/>
                <w:sz w:val="22"/>
              </w:rPr>
              <w:t>3</w:t>
            </w:r>
          </w:p>
        </w:tc>
        <w:tc>
          <w:tcPr>
            <w:tcW w:w="649" w:type="pct"/>
          </w:tcPr>
          <w:p w14:paraId="568CE462" w14:textId="77777777" w:rsidR="00730E02" w:rsidRPr="003D2260" w:rsidRDefault="00730E02"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3D2260">
              <w:rPr>
                <w:color w:val="000000"/>
                <w:sz w:val="22"/>
              </w:rPr>
              <w:t>5</w:t>
            </w:r>
          </w:p>
        </w:tc>
        <w:tc>
          <w:tcPr>
            <w:tcW w:w="710" w:type="pct"/>
          </w:tcPr>
          <w:p w14:paraId="76225A71" w14:textId="77777777" w:rsidR="00730E02" w:rsidRPr="003D2260" w:rsidRDefault="00730E02"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3D2260">
              <w:rPr>
                <w:color w:val="000000"/>
                <w:sz w:val="22"/>
              </w:rPr>
              <w:t>4</w:t>
            </w:r>
          </w:p>
        </w:tc>
      </w:tr>
      <w:tr w:rsidR="00730E02" w:rsidRPr="003D2260" w14:paraId="0AD2A0D8" w14:textId="77777777" w:rsidTr="000564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271ACC1F" w14:textId="77777777" w:rsidR="00730E02" w:rsidRPr="003D2260" w:rsidRDefault="00730E02" w:rsidP="00F175A7">
            <w:pPr>
              <w:spacing w:after="0" w:line="240" w:lineRule="auto"/>
              <w:rPr>
                <w:color w:val="000000"/>
                <w:sz w:val="22"/>
              </w:rPr>
            </w:pPr>
            <w:r w:rsidRPr="003D2260">
              <w:rPr>
                <w:color w:val="000000"/>
                <w:sz w:val="22"/>
              </w:rPr>
              <w:t>Nombre de conclaves internationaux auxquels le Burkina Faso a pris part</w:t>
            </w:r>
          </w:p>
        </w:tc>
        <w:tc>
          <w:tcPr>
            <w:tcW w:w="649" w:type="pct"/>
          </w:tcPr>
          <w:p w14:paraId="4A158E70" w14:textId="77777777" w:rsidR="00730E02" w:rsidRPr="003D2260" w:rsidRDefault="00730E02"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3D2260">
              <w:rPr>
                <w:color w:val="000000"/>
                <w:sz w:val="22"/>
              </w:rPr>
              <w:t>-</w:t>
            </w:r>
          </w:p>
        </w:tc>
        <w:tc>
          <w:tcPr>
            <w:tcW w:w="649" w:type="pct"/>
          </w:tcPr>
          <w:p w14:paraId="38063BF9" w14:textId="77777777" w:rsidR="00730E02" w:rsidRPr="003D2260" w:rsidRDefault="00730E02"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3D2260">
              <w:rPr>
                <w:color w:val="000000"/>
                <w:sz w:val="22"/>
              </w:rPr>
              <w:t>3</w:t>
            </w:r>
          </w:p>
        </w:tc>
        <w:tc>
          <w:tcPr>
            <w:tcW w:w="710" w:type="pct"/>
          </w:tcPr>
          <w:p w14:paraId="62379EC4" w14:textId="77777777" w:rsidR="00730E02" w:rsidRPr="003D2260" w:rsidRDefault="00730E02" w:rsidP="00F175A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3D2260">
              <w:rPr>
                <w:color w:val="000000"/>
                <w:sz w:val="22"/>
              </w:rPr>
              <w:t>4</w:t>
            </w:r>
          </w:p>
        </w:tc>
      </w:tr>
      <w:tr w:rsidR="00730E02" w:rsidRPr="003D2260" w14:paraId="3D358BF2" w14:textId="77777777" w:rsidTr="00056445">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4D713790" w14:textId="77777777" w:rsidR="00730E02" w:rsidRPr="003D2260" w:rsidRDefault="00730E02" w:rsidP="00F175A7">
            <w:pPr>
              <w:spacing w:after="0" w:line="240" w:lineRule="auto"/>
              <w:rPr>
                <w:color w:val="000000"/>
                <w:sz w:val="22"/>
              </w:rPr>
            </w:pPr>
            <w:r w:rsidRPr="003D2260">
              <w:rPr>
                <w:color w:val="000000"/>
                <w:sz w:val="22"/>
              </w:rPr>
              <w:t>Nombre de nouvelles missions diplomatiques et de nouveaux postes consulaires</w:t>
            </w:r>
          </w:p>
        </w:tc>
        <w:tc>
          <w:tcPr>
            <w:tcW w:w="649" w:type="pct"/>
          </w:tcPr>
          <w:p w14:paraId="0B6D78E4" w14:textId="77777777" w:rsidR="00730E02" w:rsidRPr="003D2260" w:rsidRDefault="00730E02"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3D2260">
              <w:rPr>
                <w:color w:val="000000"/>
                <w:sz w:val="22"/>
              </w:rPr>
              <w:t>0</w:t>
            </w:r>
          </w:p>
        </w:tc>
        <w:tc>
          <w:tcPr>
            <w:tcW w:w="649" w:type="pct"/>
          </w:tcPr>
          <w:p w14:paraId="01C373AF" w14:textId="77777777" w:rsidR="00730E02" w:rsidRPr="003D2260" w:rsidRDefault="00730E02"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3D2260">
              <w:rPr>
                <w:color w:val="000000"/>
                <w:sz w:val="22"/>
              </w:rPr>
              <w:t>1</w:t>
            </w:r>
          </w:p>
        </w:tc>
        <w:tc>
          <w:tcPr>
            <w:tcW w:w="710" w:type="pct"/>
          </w:tcPr>
          <w:p w14:paraId="4239C489" w14:textId="77777777" w:rsidR="00730E02" w:rsidRPr="003D2260" w:rsidRDefault="00730E02" w:rsidP="00F175A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3D2260">
              <w:rPr>
                <w:color w:val="000000"/>
                <w:sz w:val="22"/>
              </w:rPr>
              <w:t>2</w:t>
            </w:r>
          </w:p>
        </w:tc>
      </w:tr>
    </w:tbl>
    <w:p w14:paraId="4A469B08" w14:textId="65F8BC4A" w:rsidR="00730E02" w:rsidRPr="00E31E23" w:rsidRDefault="00730E02" w:rsidP="00730E02">
      <w:pPr>
        <w:keepNext/>
        <w:keepLines/>
        <w:rPr>
          <w:sz w:val="20"/>
          <w:szCs w:val="20"/>
        </w:rPr>
      </w:pPr>
      <w:r w:rsidRPr="00E31E23">
        <w:rPr>
          <w:b/>
          <w:sz w:val="20"/>
          <w:szCs w:val="20"/>
          <w:u w:val="single"/>
        </w:rPr>
        <w:t>Source</w:t>
      </w:r>
      <w:r w:rsidRPr="00E31E23">
        <w:rPr>
          <w:sz w:val="20"/>
          <w:szCs w:val="20"/>
        </w:rPr>
        <w:t xml:space="preserve"> : rapport </w:t>
      </w:r>
      <w:r w:rsidR="00287D1E">
        <w:rPr>
          <w:sz w:val="20"/>
          <w:szCs w:val="20"/>
        </w:rPr>
        <w:t xml:space="preserve">annuel </w:t>
      </w:r>
      <w:r w:rsidRPr="00E31E23">
        <w:rPr>
          <w:sz w:val="20"/>
          <w:szCs w:val="20"/>
        </w:rPr>
        <w:t>de performance 2023 du CSD-GAL, février 2024</w:t>
      </w:r>
    </w:p>
    <w:p w14:paraId="11B64CC3" w14:textId="04D8BD03"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une programmation de 34</w:t>
      </w:r>
      <w:r w:rsidR="00987C47">
        <w:rPr>
          <w:rFonts w:eastAsia="Calibri"/>
          <w:szCs w:val="24"/>
        </w:rPr>
        <w:t> </w:t>
      </w:r>
      <w:r w:rsidRPr="00056445">
        <w:rPr>
          <w:rFonts w:eastAsia="Calibri"/>
          <w:szCs w:val="24"/>
        </w:rPr>
        <w:t>000</w:t>
      </w:r>
      <w:r w:rsidR="00987C47" w:rsidRPr="00056445">
        <w:rPr>
          <w:rFonts w:eastAsia="Calibri"/>
          <w:szCs w:val="24"/>
        </w:rPr>
        <w:t>°</w:t>
      </w:r>
      <w:r w:rsidRPr="00056445">
        <w:rPr>
          <w:rFonts w:eastAsia="Calibri"/>
          <w:szCs w:val="24"/>
        </w:rPr>
        <w:t>000 FCFA, l’exécution financière de l’action s’établit à 23</w:t>
      </w:r>
      <w:r w:rsidR="00987C47">
        <w:rPr>
          <w:rFonts w:eastAsia="Calibri"/>
          <w:szCs w:val="24"/>
        </w:rPr>
        <w:t> </w:t>
      </w:r>
      <w:r w:rsidRPr="00056445">
        <w:rPr>
          <w:rFonts w:eastAsia="Calibri"/>
          <w:szCs w:val="24"/>
        </w:rPr>
        <w:t>636</w:t>
      </w:r>
      <w:r w:rsidR="00987C47" w:rsidRPr="00056445">
        <w:rPr>
          <w:rFonts w:eastAsia="Calibri"/>
          <w:szCs w:val="24"/>
        </w:rPr>
        <w:t>°</w:t>
      </w:r>
      <w:r w:rsidRPr="00056445">
        <w:rPr>
          <w:rFonts w:eastAsia="Calibri"/>
          <w:szCs w:val="24"/>
        </w:rPr>
        <w:t>000 FCFA au 31 décembre 2023</w:t>
      </w:r>
      <w:r w:rsidR="00987C47">
        <w:rPr>
          <w:rFonts w:eastAsia="Calibri"/>
          <w:szCs w:val="24"/>
        </w:rPr>
        <w:t>,</w:t>
      </w:r>
      <w:r w:rsidRPr="00056445">
        <w:rPr>
          <w:rFonts w:eastAsia="Calibri"/>
          <w:szCs w:val="24"/>
        </w:rPr>
        <w:t xml:space="preserve"> soit un taux d’exécution de 69,52%.  </w:t>
      </w:r>
    </w:p>
    <w:p w14:paraId="19AB99ED" w14:textId="138AA0CE"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dix-septième action porte sur </w:t>
      </w:r>
      <w:r w:rsidRPr="008139E1">
        <w:rPr>
          <w:rFonts w:eastAsia="Calibri"/>
          <w:b/>
          <w:szCs w:val="24"/>
        </w:rPr>
        <w:t>la consolidation de la présence du Burkina Faso dans les instances internationales (03041)</w:t>
      </w:r>
      <w:r w:rsidRPr="00056445">
        <w:rPr>
          <w:rFonts w:eastAsia="Calibri"/>
          <w:szCs w:val="24"/>
        </w:rPr>
        <w:t xml:space="preserve"> et est évaluée par</w:t>
      </w:r>
      <w:r w:rsidR="00CB69FF">
        <w:rPr>
          <w:rFonts w:eastAsia="Calibri"/>
          <w:szCs w:val="24"/>
        </w:rPr>
        <w:t xml:space="preserve"> </w:t>
      </w:r>
      <w:r w:rsidRPr="00056445">
        <w:rPr>
          <w:rFonts w:eastAsia="Calibri"/>
          <w:szCs w:val="24"/>
        </w:rPr>
        <w:t xml:space="preserve">: le « nombre total de Burkinabè dans les instances statutaires des organisations régionales et internationales » et le « nombre de Burkinabè placés dans les instances statutaires des organisations régionales et internationales » qui ressort à cinq (05) pour une cible de dix (10). </w:t>
      </w:r>
    </w:p>
    <w:p w14:paraId="673CDEB4" w14:textId="708C0BF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S’agissant du niveau d’atteinte des indicateurs de produit</w:t>
      </w:r>
      <w:r w:rsidR="00987C47">
        <w:rPr>
          <w:rFonts w:eastAsia="Calibri"/>
          <w:szCs w:val="24"/>
        </w:rPr>
        <w:t>s</w:t>
      </w:r>
      <w:r w:rsidRPr="00056445">
        <w:rPr>
          <w:rFonts w:eastAsia="Calibri"/>
          <w:szCs w:val="24"/>
        </w:rPr>
        <w:t xml:space="preserve"> de l’action au 31 décembre 2023, aucun n’a atteint sa cible. Le taux de participation du Burkina Faso aux instances des organisations internationales est de 50% pour une cible annuelle de 60%. </w:t>
      </w:r>
    </w:p>
    <w:p w14:paraId="253895C7" w14:textId="702757F0"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une prévision de 23</w:t>
      </w:r>
      <w:r w:rsidR="00987C47">
        <w:rPr>
          <w:rFonts w:eastAsia="Calibri"/>
          <w:szCs w:val="24"/>
        </w:rPr>
        <w:t> </w:t>
      </w:r>
      <w:r w:rsidRPr="00056445">
        <w:rPr>
          <w:rFonts w:eastAsia="Calibri"/>
          <w:szCs w:val="24"/>
        </w:rPr>
        <w:t>500</w:t>
      </w:r>
      <w:r w:rsidR="00987C47" w:rsidRPr="00056445">
        <w:rPr>
          <w:rFonts w:eastAsia="Calibri"/>
          <w:szCs w:val="24"/>
        </w:rPr>
        <w:t>°</w:t>
      </w:r>
      <w:r w:rsidRPr="00056445">
        <w:rPr>
          <w:rFonts w:eastAsia="Calibri"/>
          <w:szCs w:val="24"/>
        </w:rPr>
        <w:t>000 FCFA, l’exécution financière s’est établie à 22</w:t>
      </w:r>
      <w:r w:rsidR="00987C47">
        <w:rPr>
          <w:rFonts w:eastAsia="Calibri"/>
          <w:szCs w:val="24"/>
        </w:rPr>
        <w:t> </w:t>
      </w:r>
      <w:r w:rsidRPr="00056445">
        <w:rPr>
          <w:rFonts w:eastAsia="Calibri"/>
          <w:szCs w:val="24"/>
        </w:rPr>
        <w:t>170</w:t>
      </w:r>
      <w:r w:rsidR="00987C47" w:rsidRPr="00056445">
        <w:rPr>
          <w:rFonts w:eastAsia="Calibri"/>
          <w:szCs w:val="24"/>
        </w:rPr>
        <w:t>°</w:t>
      </w:r>
      <w:r w:rsidRPr="00056445">
        <w:rPr>
          <w:rFonts w:eastAsia="Calibri"/>
          <w:szCs w:val="24"/>
        </w:rPr>
        <w:t>000 FCFA, soit un taux d’exécution de 94,34%.</w:t>
      </w:r>
    </w:p>
    <w:p w14:paraId="06D6CCD6"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lastRenderedPageBreak/>
        <w:t xml:space="preserve">La dix-huitième action concerne </w:t>
      </w:r>
      <w:r w:rsidRPr="008139E1">
        <w:rPr>
          <w:rFonts w:eastAsia="Calibri"/>
          <w:b/>
          <w:szCs w:val="24"/>
        </w:rPr>
        <w:t>l’amélioration de la participation des Burkinabè de l’extérieur au processus de développement socio-économique et politique du Burkina Faso (03042)</w:t>
      </w:r>
      <w:r w:rsidRPr="00056445">
        <w:rPr>
          <w:rFonts w:eastAsia="Calibri"/>
          <w:szCs w:val="24"/>
        </w:rPr>
        <w:t xml:space="preserve">. Les indicateurs de produits programmés dans le cadre de la réalisation de cette action ont connu des évolutions diverses. </w:t>
      </w:r>
    </w:p>
    <w:p w14:paraId="797CE38A" w14:textId="08E7BAC9"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Au 31 décembre 2023, aucun indicateur de produit</w:t>
      </w:r>
      <w:r w:rsidR="00987C47">
        <w:rPr>
          <w:rFonts w:eastAsia="Calibri"/>
          <w:szCs w:val="24"/>
        </w:rPr>
        <w:t>s</w:t>
      </w:r>
      <w:r w:rsidRPr="00056445">
        <w:rPr>
          <w:rFonts w:eastAsia="Calibri"/>
          <w:szCs w:val="24"/>
        </w:rPr>
        <w:t xml:space="preserve"> n’a atteint sa cible, même si deux ont connu des progrès. Ces avancées sont relatives </w:t>
      </w:r>
      <w:proofErr w:type="spellStart"/>
      <w:r w:rsidRPr="00056445">
        <w:rPr>
          <w:rFonts w:eastAsia="Calibri"/>
          <w:szCs w:val="24"/>
        </w:rPr>
        <w:t>à</w:t>
      </w:r>
      <w:proofErr w:type="spellEnd"/>
      <w:r w:rsidRPr="00056445">
        <w:rPr>
          <w:rFonts w:eastAsia="Calibri"/>
          <w:szCs w:val="24"/>
        </w:rPr>
        <w:t> : (i) l’organisation de quatre (04) missions consulaires respectivement au Mali, en Guinée, en Côte d'</w:t>
      </w:r>
      <w:r w:rsidR="00560D37">
        <w:rPr>
          <w:rFonts w:eastAsia="Calibri"/>
          <w:szCs w:val="24"/>
        </w:rPr>
        <w:t>I</w:t>
      </w:r>
      <w:r w:rsidRPr="00056445">
        <w:rPr>
          <w:rFonts w:eastAsia="Calibri"/>
          <w:szCs w:val="24"/>
        </w:rPr>
        <w:t>voire et au B</w:t>
      </w:r>
      <w:r w:rsidR="00560D37">
        <w:rPr>
          <w:rFonts w:eastAsia="Calibri"/>
          <w:szCs w:val="24"/>
        </w:rPr>
        <w:t>é</w:t>
      </w:r>
      <w:r w:rsidRPr="00056445">
        <w:rPr>
          <w:rFonts w:eastAsia="Calibri"/>
          <w:szCs w:val="24"/>
        </w:rPr>
        <w:t xml:space="preserve">nin, ce qui a permis la délivrance de 507 passeports ordinaires, de  2 349 CNIB, de 1 579 certificats de nationalité, de 182 jugements supplétifs d’acte de naissance et  de 23 carnets de voyage CEDEAO ; (ii) l’élaboration d’un (01) projet de décret et deux (02) projets d'arrêtés concernant la création du haut conseil des Burkinabè de l’extérieur et  (iii) l’organisation de soixante-quatre (64) activités de promotion économique et commerciale dans les </w:t>
      </w:r>
      <w:r w:rsidR="00560D37">
        <w:rPr>
          <w:rFonts w:eastAsia="Calibri"/>
          <w:szCs w:val="24"/>
        </w:rPr>
        <w:t>m</w:t>
      </w:r>
      <w:r w:rsidRPr="00056445">
        <w:rPr>
          <w:rFonts w:eastAsia="Calibri"/>
          <w:szCs w:val="24"/>
        </w:rPr>
        <w:t xml:space="preserve">issions </w:t>
      </w:r>
      <w:r w:rsidR="00560D37">
        <w:rPr>
          <w:rFonts w:eastAsia="Calibri"/>
          <w:szCs w:val="24"/>
        </w:rPr>
        <w:t>d</w:t>
      </w:r>
      <w:r w:rsidRPr="00056445">
        <w:rPr>
          <w:rFonts w:eastAsia="Calibri"/>
          <w:szCs w:val="24"/>
        </w:rPr>
        <w:t xml:space="preserve">iplomatiques et </w:t>
      </w:r>
      <w:r w:rsidR="00560D37">
        <w:rPr>
          <w:rFonts w:eastAsia="Calibri"/>
          <w:szCs w:val="24"/>
        </w:rPr>
        <w:t>p</w:t>
      </w:r>
      <w:r w:rsidRPr="00056445">
        <w:rPr>
          <w:rFonts w:eastAsia="Calibri"/>
          <w:szCs w:val="24"/>
        </w:rPr>
        <w:t>ost</w:t>
      </w:r>
      <w:r w:rsidR="00560D37">
        <w:rPr>
          <w:rFonts w:eastAsia="Calibri"/>
          <w:szCs w:val="24"/>
        </w:rPr>
        <w:t>es</w:t>
      </w:r>
      <w:r w:rsidRPr="00056445">
        <w:rPr>
          <w:rFonts w:eastAsia="Calibri"/>
          <w:szCs w:val="24"/>
        </w:rPr>
        <w:t xml:space="preserve"> consulaires. </w:t>
      </w:r>
    </w:p>
    <w:p w14:paraId="47320F02" w14:textId="60195151" w:rsidR="00730E02" w:rsidRPr="00F175A7" w:rsidRDefault="00F93BA5" w:rsidP="00730E02">
      <w:pPr>
        <w:pBdr>
          <w:top w:val="nil"/>
          <w:left w:val="nil"/>
          <w:bottom w:val="nil"/>
          <w:right w:val="nil"/>
          <w:between w:val="nil"/>
        </w:pBdr>
        <w:spacing w:after="200" w:line="240" w:lineRule="auto"/>
        <w:rPr>
          <w:rFonts w:cs="Merriweather"/>
          <w:iCs/>
          <w:sz w:val="22"/>
        </w:rPr>
      </w:pPr>
      <w:bookmarkStart w:id="104" w:name="_Toc164503633"/>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46</w:t>
      </w:r>
      <w:r w:rsidRPr="00B51145">
        <w:rPr>
          <w:b/>
          <w:bCs/>
          <w:sz w:val="22"/>
          <w:u w:val="single"/>
        </w:rPr>
        <w:fldChar w:fldCharType="end"/>
      </w:r>
      <w:r w:rsidR="00730E02" w:rsidRPr="008D20C6">
        <w:rPr>
          <w:rFonts w:cs="Merriweather"/>
          <w:iCs/>
          <w:color w:val="44546A"/>
          <w:sz w:val="22"/>
        </w:rPr>
        <w:t xml:space="preserve">: </w:t>
      </w:r>
      <w:r w:rsidR="00751F8E">
        <w:rPr>
          <w:rFonts w:cs="Merriweather"/>
          <w:iCs/>
          <w:sz w:val="22"/>
        </w:rPr>
        <w:t>s</w:t>
      </w:r>
      <w:r w:rsidR="00730E02" w:rsidRPr="00F175A7">
        <w:rPr>
          <w:rFonts w:cs="Merriweather"/>
          <w:iCs/>
          <w:sz w:val="22"/>
        </w:rPr>
        <w:t>ituation des indicateurs de produit</w:t>
      </w:r>
      <w:r w:rsidR="00560D37">
        <w:rPr>
          <w:rFonts w:cs="Merriweather"/>
          <w:iCs/>
          <w:sz w:val="22"/>
        </w:rPr>
        <w:t>s</w:t>
      </w:r>
      <w:r w:rsidR="00730E02" w:rsidRPr="00F175A7">
        <w:rPr>
          <w:rFonts w:cs="Merriweather"/>
          <w:iCs/>
          <w:sz w:val="22"/>
        </w:rPr>
        <w:t xml:space="preserve"> de l’action « amélioration de la participation des Burkinabè de l’extérieur au processus de développement socio-économique et politique du Burkina Faso »</w:t>
      </w:r>
      <w:bookmarkEnd w:id="104"/>
    </w:p>
    <w:tbl>
      <w:tblPr>
        <w:tblStyle w:val="GridTable4-Accent111"/>
        <w:tblW w:w="5000" w:type="pct"/>
        <w:tblLayout w:type="fixed"/>
        <w:tblLook w:val="04A0" w:firstRow="1" w:lastRow="0" w:firstColumn="1" w:lastColumn="0" w:noHBand="0" w:noVBand="1"/>
      </w:tblPr>
      <w:tblGrid>
        <w:gridCol w:w="5305"/>
        <w:gridCol w:w="1170"/>
        <w:gridCol w:w="1226"/>
        <w:gridCol w:w="1315"/>
      </w:tblGrid>
      <w:tr w:rsidR="00730E02" w:rsidRPr="003D2260" w14:paraId="104182BF" w14:textId="77777777" w:rsidTr="00F175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pct"/>
            <w:shd w:val="clear" w:color="auto" w:fill="4472C4" w:themeFill="accent1"/>
          </w:tcPr>
          <w:p w14:paraId="66768C87" w14:textId="3818B7E0" w:rsidR="00730E02" w:rsidRPr="003D2260" w:rsidRDefault="00730E02" w:rsidP="00F175A7">
            <w:pPr>
              <w:spacing w:after="0" w:line="240" w:lineRule="auto"/>
              <w:rPr>
                <w:sz w:val="22"/>
              </w:rPr>
            </w:pPr>
            <w:r w:rsidRPr="003D2260">
              <w:rPr>
                <w:sz w:val="22"/>
              </w:rPr>
              <w:t xml:space="preserve">Indicateurs </w:t>
            </w:r>
          </w:p>
        </w:tc>
        <w:tc>
          <w:tcPr>
            <w:tcW w:w="649" w:type="pct"/>
            <w:shd w:val="clear" w:color="auto" w:fill="4472C4" w:themeFill="accent1"/>
          </w:tcPr>
          <w:p w14:paraId="6CF9F7D9" w14:textId="77777777" w:rsidR="00730E02" w:rsidRPr="003D2260"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2020</w:t>
            </w:r>
          </w:p>
        </w:tc>
        <w:tc>
          <w:tcPr>
            <w:tcW w:w="680" w:type="pct"/>
            <w:shd w:val="clear" w:color="auto" w:fill="4472C4" w:themeFill="accent1"/>
          </w:tcPr>
          <w:p w14:paraId="4CA633BF" w14:textId="77777777" w:rsidR="00730E02" w:rsidRPr="003D2260"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2023</w:t>
            </w:r>
          </w:p>
        </w:tc>
        <w:tc>
          <w:tcPr>
            <w:tcW w:w="729" w:type="pct"/>
            <w:shd w:val="clear" w:color="auto" w:fill="4472C4" w:themeFill="accent1"/>
          </w:tcPr>
          <w:p w14:paraId="1F1C003A" w14:textId="77777777" w:rsidR="00730E02" w:rsidRPr="003D2260" w:rsidRDefault="00730E0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Cible 2023</w:t>
            </w:r>
          </w:p>
        </w:tc>
      </w:tr>
      <w:tr w:rsidR="00730E02" w:rsidRPr="003D2260" w14:paraId="4BE02DE9" w14:textId="77777777" w:rsidTr="0005644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42" w:type="pct"/>
          </w:tcPr>
          <w:p w14:paraId="3C418C6A" w14:textId="77777777" w:rsidR="00730E02" w:rsidRPr="003D2260" w:rsidRDefault="00730E02" w:rsidP="00F175A7">
            <w:pPr>
              <w:spacing w:after="0" w:line="240" w:lineRule="auto"/>
              <w:rPr>
                <w:sz w:val="22"/>
              </w:rPr>
            </w:pPr>
            <w:r w:rsidRPr="003D2260">
              <w:rPr>
                <w:rFonts w:eastAsia="Times New Roman" w:cs="Times New Roman"/>
                <w:color w:val="000000"/>
                <w:sz w:val="22"/>
              </w:rPr>
              <w:t>Nombre de missions consulaires organisées</w:t>
            </w:r>
          </w:p>
        </w:tc>
        <w:tc>
          <w:tcPr>
            <w:tcW w:w="649" w:type="pct"/>
          </w:tcPr>
          <w:p w14:paraId="39B48CBC" w14:textId="77777777" w:rsidR="00730E02" w:rsidRPr="003D2260"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w:t>
            </w:r>
          </w:p>
        </w:tc>
        <w:tc>
          <w:tcPr>
            <w:tcW w:w="680" w:type="pct"/>
          </w:tcPr>
          <w:p w14:paraId="5E87D40C" w14:textId="77777777" w:rsidR="00730E02" w:rsidRPr="003D2260"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w:t>
            </w:r>
          </w:p>
        </w:tc>
        <w:tc>
          <w:tcPr>
            <w:tcW w:w="729" w:type="pct"/>
          </w:tcPr>
          <w:p w14:paraId="1BDEC2B4" w14:textId="77777777" w:rsidR="00730E02" w:rsidRPr="003D2260"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8</w:t>
            </w:r>
          </w:p>
        </w:tc>
      </w:tr>
      <w:tr w:rsidR="00730E02" w:rsidRPr="003D2260" w14:paraId="0521F3A1" w14:textId="77777777" w:rsidTr="00056445">
        <w:trPr>
          <w:trHeight w:val="252"/>
        </w:trPr>
        <w:tc>
          <w:tcPr>
            <w:cnfStyle w:val="001000000000" w:firstRow="0" w:lastRow="0" w:firstColumn="1" w:lastColumn="0" w:oddVBand="0" w:evenVBand="0" w:oddHBand="0" w:evenHBand="0" w:firstRowFirstColumn="0" w:firstRowLastColumn="0" w:lastRowFirstColumn="0" w:lastRowLastColumn="0"/>
            <w:tcW w:w="2942" w:type="pct"/>
          </w:tcPr>
          <w:p w14:paraId="724E1829" w14:textId="77777777" w:rsidR="00730E02" w:rsidRPr="003D2260" w:rsidRDefault="00730E02" w:rsidP="00F175A7">
            <w:pPr>
              <w:spacing w:after="0" w:line="240" w:lineRule="auto"/>
              <w:rPr>
                <w:sz w:val="22"/>
              </w:rPr>
            </w:pPr>
            <w:r w:rsidRPr="003D2260">
              <w:rPr>
                <w:rFonts w:eastAsia="Times New Roman" w:cs="Times New Roman"/>
                <w:color w:val="000000"/>
                <w:sz w:val="22"/>
              </w:rPr>
              <w:t>Existence de décret de création</w:t>
            </w:r>
          </w:p>
        </w:tc>
        <w:tc>
          <w:tcPr>
            <w:tcW w:w="649" w:type="pct"/>
          </w:tcPr>
          <w:p w14:paraId="3901D8E7" w14:textId="77777777" w:rsidR="00730E02" w:rsidRPr="003D2260"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80" w:type="pct"/>
          </w:tcPr>
          <w:p w14:paraId="16EAE113" w14:textId="77777777" w:rsidR="00730E02" w:rsidRPr="003D2260"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729" w:type="pct"/>
          </w:tcPr>
          <w:p w14:paraId="4BC9507F" w14:textId="77777777" w:rsidR="00730E02" w:rsidRPr="003D2260"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w:t>
            </w:r>
          </w:p>
        </w:tc>
      </w:tr>
      <w:tr w:rsidR="00730E02" w:rsidRPr="003D2260" w14:paraId="39A4C9B0" w14:textId="77777777" w:rsidTr="000564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942" w:type="pct"/>
          </w:tcPr>
          <w:p w14:paraId="028C12A7" w14:textId="77777777" w:rsidR="00730E02" w:rsidRPr="003D2260" w:rsidRDefault="00730E02" w:rsidP="00F175A7">
            <w:pPr>
              <w:spacing w:after="0" w:line="240" w:lineRule="auto"/>
              <w:rPr>
                <w:sz w:val="22"/>
              </w:rPr>
            </w:pPr>
            <w:r w:rsidRPr="003D2260">
              <w:rPr>
                <w:rFonts w:eastAsia="Times New Roman" w:cs="Times New Roman"/>
                <w:color w:val="000000"/>
                <w:sz w:val="22"/>
              </w:rPr>
              <w:t>Nombre de documents des stratégies sur les Burkinabè de l’extérieur adoptés</w:t>
            </w:r>
          </w:p>
        </w:tc>
        <w:tc>
          <w:tcPr>
            <w:tcW w:w="649" w:type="pct"/>
          </w:tcPr>
          <w:p w14:paraId="52B435C2" w14:textId="77777777" w:rsidR="00730E02" w:rsidRPr="003D2260"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80" w:type="pct"/>
          </w:tcPr>
          <w:p w14:paraId="667F29F2" w14:textId="77777777" w:rsidR="00730E02" w:rsidRPr="003D2260"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729" w:type="pct"/>
          </w:tcPr>
          <w:p w14:paraId="37790AEC" w14:textId="77777777" w:rsidR="00730E02" w:rsidRPr="003D2260" w:rsidRDefault="00730E0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2</w:t>
            </w:r>
          </w:p>
        </w:tc>
      </w:tr>
      <w:tr w:rsidR="00730E02" w:rsidRPr="003D2260" w14:paraId="0E6E663B" w14:textId="77777777" w:rsidTr="00056445">
        <w:trPr>
          <w:trHeight w:val="252"/>
        </w:trPr>
        <w:tc>
          <w:tcPr>
            <w:cnfStyle w:val="001000000000" w:firstRow="0" w:lastRow="0" w:firstColumn="1" w:lastColumn="0" w:oddVBand="0" w:evenVBand="0" w:oddHBand="0" w:evenHBand="0" w:firstRowFirstColumn="0" w:firstRowLastColumn="0" w:lastRowFirstColumn="0" w:lastRowLastColumn="0"/>
            <w:tcW w:w="2942" w:type="pct"/>
          </w:tcPr>
          <w:p w14:paraId="01DA497F" w14:textId="77777777" w:rsidR="00730E02" w:rsidRPr="003D2260" w:rsidRDefault="00730E02" w:rsidP="00F175A7">
            <w:pPr>
              <w:spacing w:after="0" w:line="240" w:lineRule="auto"/>
              <w:rPr>
                <w:sz w:val="22"/>
              </w:rPr>
            </w:pPr>
            <w:r w:rsidRPr="003D2260">
              <w:rPr>
                <w:rFonts w:eastAsia="Times New Roman" w:cs="Times New Roman"/>
                <w:color w:val="000000"/>
                <w:sz w:val="22"/>
              </w:rPr>
              <w:t>Nombre d’activités économiques organisées</w:t>
            </w:r>
          </w:p>
        </w:tc>
        <w:tc>
          <w:tcPr>
            <w:tcW w:w="649" w:type="pct"/>
          </w:tcPr>
          <w:p w14:paraId="2E423779" w14:textId="77777777" w:rsidR="00730E02" w:rsidRPr="003D2260"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71</w:t>
            </w:r>
          </w:p>
        </w:tc>
        <w:tc>
          <w:tcPr>
            <w:tcW w:w="680" w:type="pct"/>
          </w:tcPr>
          <w:p w14:paraId="3D56E87D" w14:textId="77777777" w:rsidR="00730E02" w:rsidRPr="003D2260"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64</w:t>
            </w:r>
          </w:p>
        </w:tc>
        <w:tc>
          <w:tcPr>
            <w:tcW w:w="729" w:type="pct"/>
          </w:tcPr>
          <w:p w14:paraId="4A21D17C" w14:textId="77777777" w:rsidR="00730E02" w:rsidRPr="003D2260" w:rsidRDefault="00730E0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89</w:t>
            </w:r>
          </w:p>
        </w:tc>
      </w:tr>
    </w:tbl>
    <w:p w14:paraId="3C54934A" w14:textId="56DBFD5B" w:rsidR="00730E02" w:rsidRPr="00E31E23" w:rsidRDefault="00730E02" w:rsidP="00730E02">
      <w:pPr>
        <w:rPr>
          <w:sz w:val="20"/>
          <w:szCs w:val="20"/>
        </w:rPr>
      </w:pPr>
      <w:r w:rsidRPr="00E31E23">
        <w:rPr>
          <w:b/>
          <w:sz w:val="20"/>
          <w:szCs w:val="20"/>
          <w:u w:val="single"/>
        </w:rPr>
        <w:t>Source</w:t>
      </w:r>
      <w:r w:rsidRPr="00E31E23">
        <w:rPr>
          <w:sz w:val="20"/>
          <w:szCs w:val="20"/>
        </w:rPr>
        <w:t xml:space="preserve"> : rapport </w:t>
      </w:r>
      <w:r w:rsidR="00287D1E">
        <w:rPr>
          <w:sz w:val="20"/>
          <w:szCs w:val="20"/>
        </w:rPr>
        <w:t xml:space="preserve">annuel </w:t>
      </w:r>
      <w:r w:rsidRPr="00E31E23">
        <w:rPr>
          <w:sz w:val="20"/>
          <w:szCs w:val="20"/>
        </w:rPr>
        <w:t>de performance 2023 du CSD-GE, février 2024</w:t>
      </w:r>
    </w:p>
    <w:p w14:paraId="13A35E05" w14:textId="6AF44EAB" w:rsidR="00730E02" w:rsidRPr="00056445" w:rsidRDefault="00560D37"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730E02" w:rsidRPr="00056445">
        <w:rPr>
          <w:rFonts w:eastAsia="Calibri"/>
          <w:szCs w:val="24"/>
        </w:rPr>
        <w:t xml:space="preserve"> plan financier, le taux d’exécution des produits de l’action est 16,44 % car sur une prévision de 530</w:t>
      </w:r>
      <w:r>
        <w:rPr>
          <w:rFonts w:eastAsia="Calibri"/>
          <w:szCs w:val="24"/>
        </w:rPr>
        <w:t> </w:t>
      </w:r>
      <w:r w:rsidR="00730E02" w:rsidRPr="00056445">
        <w:rPr>
          <w:rFonts w:eastAsia="Calibri"/>
          <w:szCs w:val="24"/>
        </w:rPr>
        <w:t>775</w:t>
      </w:r>
      <w:r w:rsidRPr="00056445">
        <w:rPr>
          <w:rFonts w:eastAsia="Calibri"/>
          <w:szCs w:val="24"/>
        </w:rPr>
        <w:t>°</w:t>
      </w:r>
      <w:r w:rsidR="00730E02" w:rsidRPr="00056445">
        <w:rPr>
          <w:rFonts w:eastAsia="Calibri"/>
          <w:szCs w:val="24"/>
        </w:rPr>
        <w:t xml:space="preserve">000 FCFA, </w:t>
      </w:r>
      <w:r w:rsidR="00CB69FF">
        <w:rPr>
          <w:rFonts w:eastAsia="Calibri"/>
          <w:szCs w:val="24"/>
        </w:rPr>
        <w:t xml:space="preserve">ce sont </w:t>
      </w:r>
      <w:r w:rsidR="00730E02" w:rsidRPr="00056445">
        <w:rPr>
          <w:rFonts w:eastAsia="Calibri"/>
          <w:szCs w:val="24"/>
        </w:rPr>
        <w:t>87</w:t>
      </w:r>
      <w:r>
        <w:rPr>
          <w:rFonts w:eastAsia="Calibri"/>
          <w:szCs w:val="24"/>
        </w:rPr>
        <w:t> </w:t>
      </w:r>
      <w:r w:rsidR="00730E02" w:rsidRPr="00056445">
        <w:rPr>
          <w:rFonts w:eastAsia="Calibri"/>
          <w:szCs w:val="24"/>
        </w:rPr>
        <w:t>267</w:t>
      </w:r>
      <w:r w:rsidRPr="00056445">
        <w:rPr>
          <w:rFonts w:eastAsia="Calibri"/>
          <w:szCs w:val="24"/>
        </w:rPr>
        <w:t>°</w:t>
      </w:r>
      <w:r w:rsidR="00730E02" w:rsidRPr="00056445">
        <w:rPr>
          <w:rFonts w:eastAsia="Calibri"/>
          <w:szCs w:val="24"/>
        </w:rPr>
        <w:t>164 FCFA</w:t>
      </w:r>
      <w:r w:rsidR="00CB69FF">
        <w:rPr>
          <w:rFonts w:eastAsia="Calibri"/>
          <w:szCs w:val="24"/>
        </w:rPr>
        <w:t xml:space="preserve"> qui </w:t>
      </w:r>
      <w:r w:rsidR="00730E02" w:rsidRPr="00056445">
        <w:rPr>
          <w:rFonts w:eastAsia="Calibri"/>
          <w:szCs w:val="24"/>
        </w:rPr>
        <w:t xml:space="preserve">ont été consommés.  </w:t>
      </w:r>
    </w:p>
    <w:p w14:paraId="7D5A9B03"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La dix-neuvième action a trait à </w:t>
      </w:r>
      <w:r w:rsidRPr="00F175A7">
        <w:rPr>
          <w:rFonts w:eastAsia="Calibri"/>
          <w:b/>
          <w:szCs w:val="24"/>
        </w:rPr>
        <w:t>l’amélioration de la gestion des réfugiés et des apatrides (03043</w:t>
      </w:r>
      <w:r w:rsidRPr="00056445">
        <w:rPr>
          <w:rFonts w:eastAsia="Calibri"/>
          <w:szCs w:val="24"/>
        </w:rPr>
        <w:t xml:space="preserve">). Elle est évaluée par la « proportion des demandes d’asile accordées ». La cible de l’indicateur est atteinte au 31 décembre 2023 avec une réalisation de 80% pour une cible de la même valeur. </w:t>
      </w:r>
    </w:p>
    <w:p w14:paraId="17F9C0F2" w14:textId="77777777"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 xml:space="preserve">Pour la mise en œuvre de cette action, deux (02) produits sont attendus à savoir « les sessions d’éligibilité et de recours au statut de réfugiés sont organisées » et « les sessions d’enregistrement des demandes d’asile sont tenues ». </w:t>
      </w:r>
    </w:p>
    <w:p w14:paraId="636BCB52" w14:textId="22E66D39" w:rsidR="00730E02" w:rsidRPr="00056445"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Au 31 décembre 2023, les indicateurs ont atteint leurs cibles. En effet, quatre (04) sessions d’éligibilité et de recours au statut de réfugiés ont été organisées pour une cible de trois (03) et sept (07) sessions d’enregistrement de demandes d’asile ont été tenues sur une cible de quatre (04). Ces sessions ont permis d’enregistrer 1146 demandeurs d’asile.</w:t>
      </w:r>
    </w:p>
    <w:p w14:paraId="68DA03DA" w14:textId="3C0C6E20" w:rsidR="008D38FF" w:rsidRPr="00775DBB" w:rsidRDefault="00730E02" w:rsidP="00F175A7">
      <w:pPr>
        <w:numPr>
          <w:ilvl w:val="0"/>
          <w:numId w:val="8"/>
        </w:numPr>
        <w:shd w:val="clear" w:color="auto" w:fill="FFFFFF"/>
        <w:spacing w:before="120" w:after="120" w:line="240" w:lineRule="auto"/>
        <w:ind w:left="0"/>
        <w:rPr>
          <w:rFonts w:eastAsia="Calibri"/>
          <w:szCs w:val="24"/>
        </w:rPr>
      </w:pPr>
      <w:r w:rsidRPr="00056445">
        <w:rPr>
          <w:rFonts w:eastAsia="Calibri"/>
          <w:szCs w:val="24"/>
        </w:rPr>
        <w:t>Sur une prévision de 10</w:t>
      </w:r>
      <w:r w:rsidR="00560D37">
        <w:rPr>
          <w:rFonts w:eastAsia="Calibri"/>
          <w:szCs w:val="24"/>
        </w:rPr>
        <w:t> </w:t>
      </w:r>
      <w:r w:rsidRPr="00056445">
        <w:rPr>
          <w:rFonts w:eastAsia="Calibri"/>
          <w:szCs w:val="24"/>
        </w:rPr>
        <w:t>500</w:t>
      </w:r>
      <w:r w:rsidR="00560D37" w:rsidRPr="00056445">
        <w:rPr>
          <w:rFonts w:eastAsia="Calibri"/>
          <w:szCs w:val="24"/>
        </w:rPr>
        <w:t>°</w:t>
      </w:r>
      <w:r w:rsidRPr="00056445">
        <w:rPr>
          <w:rFonts w:eastAsia="Calibri"/>
          <w:szCs w:val="24"/>
        </w:rPr>
        <w:t>000 FCFA, l’exécution financière de l’action s’est établie à 7 870 000 FCFA, soit un taux d’exécution de 74,95%</w:t>
      </w:r>
      <w:r w:rsidR="008D38FF" w:rsidRPr="00775DBB">
        <w:rPr>
          <w:rFonts w:eastAsia="Calibri"/>
          <w:szCs w:val="24"/>
        </w:rPr>
        <w:t xml:space="preserve">. </w:t>
      </w:r>
    </w:p>
    <w:p w14:paraId="2F2BDBD3" w14:textId="204FF869" w:rsidR="00CA6AFC" w:rsidRDefault="00CA6AFC">
      <w:pPr>
        <w:spacing w:after="0" w:line="240" w:lineRule="auto"/>
        <w:jc w:val="left"/>
        <w:rPr>
          <w:rFonts w:eastAsia="Calibri"/>
          <w:szCs w:val="24"/>
        </w:rPr>
      </w:pPr>
      <w:r>
        <w:rPr>
          <w:rFonts w:eastAsia="Calibri"/>
          <w:szCs w:val="24"/>
        </w:rPr>
        <w:br w:type="page"/>
      </w:r>
    </w:p>
    <w:p w14:paraId="6736F4A1" w14:textId="740E14BA" w:rsidR="00DC44DC" w:rsidRPr="00577375" w:rsidRDefault="00EA252D" w:rsidP="00577375">
      <w:pPr>
        <w:pStyle w:val="PAT4"/>
        <w:rPr>
          <w:szCs w:val="24"/>
        </w:rPr>
      </w:pPr>
      <w:bookmarkStart w:id="105" w:name="_Toc163141226"/>
      <w:r w:rsidRPr="008D2129">
        <w:lastRenderedPageBreak/>
        <w:t>Objectif stratégique 2.4 : Renforcer la décentralisation et la bonne gouvernance locale</w:t>
      </w:r>
      <w:bookmarkEnd w:id="105"/>
    </w:p>
    <w:p w14:paraId="06D3AC99" w14:textId="7777777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Le renforcement de la décentralisation et de la bonne gouvernance locale s’opérationnalise à travers six (06) actions dont la situation de mise en œuvre au 31 décembre 2023 se présente comme suit.</w:t>
      </w:r>
    </w:p>
    <w:p w14:paraId="01912155" w14:textId="7CF8D6E1"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La première action est relative à </w:t>
      </w:r>
      <w:r w:rsidRPr="008139E1">
        <w:rPr>
          <w:rFonts w:eastAsia="Calibri"/>
          <w:b/>
          <w:szCs w:val="24"/>
        </w:rPr>
        <w:t>la poursuite du développement des économies locales (03046)</w:t>
      </w:r>
      <w:r w:rsidRPr="00577375">
        <w:rPr>
          <w:rFonts w:eastAsia="Calibri"/>
          <w:szCs w:val="24"/>
        </w:rPr>
        <w:t>. Elle a pour cible de porter à 10% en 2023, la part des ressources propres dans le budget des Collectivités territoriales (CT). A fin décembre 2023, cette part est de 20,96%. Ce dépassement de la cible s’explique par l’apport de la Taxe sur les véhicules à moteur.</w:t>
      </w:r>
    </w:p>
    <w:p w14:paraId="37B872C0" w14:textId="4A1155AD"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Plusieurs produits ont été programmés dans le cadre de la réalisation de cette action et la situation d’exécution</w:t>
      </w:r>
      <w:r w:rsidR="00560D37">
        <w:rPr>
          <w:rFonts w:eastAsia="Calibri"/>
          <w:szCs w:val="24"/>
        </w:rPr>
        <w:t xml:space="preserve"> de</w:t>
      </w:r>
      <w:r w:rsidRPr="00577375">
        <w:rPr>
          <w:rFonts w:eastAsia="Calibri"/>
          <w:szCs w:val="24"/>
        </w:rPr>
        <w:t xml:space="preserve"> ces produits est consignée dans le tableau ci-après. </w:t>
      </w:r>
    </w:p>
    <w:p w14:paraId="3A17046C" w14:textId="25EB117E"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Seuls </w:t>
      </w:r>
      <w:r w:rsidR="003C7973">
        <w:rPr>
          <w:rFonts w:eastAsia="Calibri"/>
          <w:szCs w:val="24"/>
        </w:rPr>
        <w:t>neuf</w:t>
      </w:r>
      <w:r w:rsidRPr="00577375">
        <w:rPr>
          <w:rFonts w:eastAsia="Calibri"/>
          <w:szCs w:val="24"/>
        </w:rPr>
        <w:t xml:space="preserve"> (0</w:t>
      </w:r>
      <w:r w:rsidR="003C7973">
        <w:rPr>
          <w:rFonts w:eastAsia="Calibri"/>
          <w:szCs w:val="24"/>
        </w:rPr>
        <w:t>9</w:t>
      </w:r>
      <w:r w:rsidRPr="00577375">
        <w:rPr>
          <w:rFonts w:eastAsia="Calibri"/>
          <w:szCs w:val="24"/>
        </w:rPr>
        <w:t>) indicateurs de produits sur les vingt</w:t>
      </w:r>
      <w:r w:rsidR="003C7973">
        <w:rPr>
          <w:rFonts w:eastAsia="Calibri"/>
          <w:szCs w:val="24"/>
        </w:rPr>
        <w:t xml:space="preserve"> et un</w:t>
      </w:r>
      <w:r w:rsidRPr="00577375">
        <w:rPr>
          <w:rFonts w:eastAsia="Calibri"/>
          <w:szCs w:val="24"/>
        </w:rPr>
        <w:t xml:space="preserve"> (2</w:t>
      </w:r>
      <w:r w:rsidR="003C7973">
        <w:rPr>
          <w:rFonts w:eastAsia="Calibri"/>
          <w:szCs w:val="24"/>
        </w:rPr>
        <w:t>1</w:t>
      </w:r>
      <w:r w:rsidRPr="00577375">
        <w:rPr>
          <w:rFonts w:eastAsia="Calibri"/>
          <w:szCs w:val="24"/>
        </w:rPr>
        <w:t xml:space="preserve">) programmés ont atteint leur cible. Les acquis obtenus concernent entre autres : (i) la réalisation de 300 infrastructures dans le cadre du PADEL ; (ii) la construction de 30 Km de caniveaux d’évacuation d’eau pluviale dans le cadre de la mise en œuvre du PUDTR ; (iii) la construction de 100 salles de classe dans le cadre de la mise en œuvre du PUDTR ; (iv) la normalisation de 22 formations sanitaires dans le cadre de la mise en œuvre du PUDTR ; (v) le bitumage de de 25 km de </w:t>
      </w:r>
      <w:r w:rsidR="00560D37">
        <w:rPr>
          <w:rFonts w:eastAsia="Calibri"/>
          <w:szCs w:val="24"/>
        </w:rPr>
        <w:t>l</w:t>
      </w:r>
      <w:r w:rsidRPr="00577375">
        <w:rPr>
          <w:rFonts w:eastAsia="Calibri"/>
          <w:szCs w:val="24"/>
        </w:rPr>
        <w:t xml:space="preserve">inéaire de routes à </w:t>
      </w:r>
      <w:proofErr w:type="spellStart"/>
      <w:r w:rsidRPr="00577375">
        <w:rPr>
          <w:rFonts w:eastAsia="Calibri"/>
          <w:szCs w:val="24"/>
        </w:rPr>
        <w:t>Bagré</w:t>
      </w:r>
      <w:proofErr w:type="spellEnd"/>
      <w:r w:rsidRPr="00577375">
        <w:rPr>
          <w:rFonts w:eastAsia="Calibri"/>
          <w:szCs w:val="24"/>
        </w:rPr>
        <w:t xml:space="preserve"> (</w:t>
      </w:r>
      <w:proofErr w:type="spellStart"/>
      <w:r w:rsidRPr="00577375">
        <w:rPr>
          <w:rFonts w:eastAsia="Calibri"/>
          <w:szCs w:val="24"/>
        </w:rPr>
        <w:t>Bagrépole</w:t>
      </w:r>
      <w:proofErr w:type="spellEnd"/>
      <w:r w:rsidRPr="00577375">
        <w:rPr>
          <w:rFonts w:eastAsia="Calibri"/>
          <w:szCs w:val="24"/>
        </w:rPr>
        <w:t>) (Km) ; (vi) l’octroi de cash transfert à 29</w:t>
      </w:r>
      <w:r w:rsidR="00560D37" w:rsidRPr="00056445">
        <w:rPr>
          <w:rFonts w:eastAsia="Calibri"/>
          <w:szCs w:val="24"/>
        </w:rPr>
        <w:t>°</w:t>
      </w:r>
      <w:r w:rsidRPr="00577375">
        <w:rPr>
          <w:rFonts w:eastAsia="Calibri"/>
          <w:szCs w:val="24"/>
        </w:rPr>
        <w:t>132 bénéficiaires  dans le cadre de la mise en œuvre du PUDTR</w:t>
      </w:r>
      <w:r w:rsidR="003C7973">
        <w:rPr>
          <w:rFonts w:eastAsia="Calibri"/>
          <w:szCs w:val="24"/>
        </w:rPr>
        <w:t> ;</w:t>
      </w:r>
      <w:r w:rsidRPr="00577375">
        <w:rPr>
          <w:rFonts w:eastAsia="Calibri"/>
          <w:szCs w:val="24"/>
        </w:rPr>
        <w:t xml:space="preserve"> (vii) la réalisation </w:t>
      </w:r>
      <w:r w:rsidR="00560D37">
        <w:rPr>
          <w:rFonts w:eastAsia="Calibri"/>
          <w:szCs w:val="24"/>
        </w:rPr>
        <w:t xml:space="preserve">de </w:t>
      </w:r>
      <w:r w:rsidRPr="00577375">
        <w:rPr>
          <w:rFonts w:eastAsia="Calibri"/>
          <w:szCs w:val="24"/>
        </w:rPr>
        <w:t>41 forages positifs et d’AEPS dans le cadre de la mise en œuvre du PRISE</w:t>
      </w:r>
      <w:r w:rsidR="003C7973">
        <w:rPr>
          <w:rFonts w:eastAsia="Calibri"/>
          <w:szCs w:val="24"/>
        </w:rPr>
        <w:t xml:space="preserve"> et (viii) l’élaboration du </w:t>
      </w:r>
      <w:r w:rsidR="003C7973" w:rsidRPr="009A288B">
        <w:rPr>
          <w:rFonts w:eastAsia="Calibri"/>
          <w:szCs w:val="24"/>
        </w:rPr>
        <w:t>rapport de suivi de l’élaboration et de la mise en œuvre des PLD</w:t>
      </w:r>
      <w:r w:rsidRPr="00577375">
        <w:rPr>
          <w:rFonts w:eastAsia="Calibri"/>
          <w:szCs w:val="24"/>
        </w:rPr>
        <w:t>.</w:t>
      </w:r>
    </w:p>
    <w:p w14:paraId="20116BEB" w14:textId="6DD60403" w:rsidR="00577375" w:rsidRPr="00F175A7" w:rsidRDefault="004C60D8" w:rsidP="00577375">
      <w:pPr>
        <w:pBdr>
          <w:top w:val="nil"/>
          <w:left w:val="nil"/>
          <w:bottom w:val="nil"/>
          <w:right w:val="nil"/>
          <w:between w:val="nil"/>
        </w:pBdr>
        <w:spacing w:after="200" w:line="240" w:lineRule="auto"/>
        <w:rPr>
          <w:rFonts w:cs="Merriweather"/>
          <w:iCs/>
          <w:sz w:val="22"/>
        </w:rPr>
      </w:pPr>
      <w:bookmarkStart w:id="106" w:name="_Toc164503634"/>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47</w:t>
      </w:r>
      <w:r w:rsidRPr="00B51145">
        <w:rPr>
          <w:b/>
          <w:bCs/>
          <w:sz w:val="22"/>
          <w:u w:val="single"/>
        </w:rPr>
        <w:fldChar w:fldCharType="end"/>
      </w:r>
      <w:r w:rsidR="00577375" w:rsidRPr="008D20C6">
        <w:rPr>
          <w:rFonts w:cs="Merriweather"/>
          <w:iCs/>
          <w:color w:val="44546A"/>
          <w:sz w:val="22"/>
        </w:rPr>
        <w:t xml:space="preserve">: </w:t>
      </w:r>
      <w:r w:rsidR="00577375" w:rsidRPr="00F175A7">
        <w:rPr>
          <w:rFonts w:cs="Merriweather"/>
          <w:iCs/>
          <w:sz w:val="22"/>
        </w:rPr>
        <w:t>situation des indicateurs de produits de l’action « poursuite du développement des économies locales »</w:t>
      </w:r>
      <w:bookmarkEnd w:id="106"/>
    </w:p>
    <w:tbl>
      <w:tblPr>
        <w:tblStyle w:val="GridTable4-Accent111"/>
        <w:tblW w:w="5000" w:type="pct"/>
        <w:tblLayout w:type="fixed"/>
        <w:tblLook w:val="04A0" w:firstRow="1" w:lastRow="0" w:firstColumn="1" w:lastColumn="0" w:noHBand="0" w:noVBand="1"/>
      </w:tblPr>
      <w:tblGrid>
        <w:gridCol w:w="5395"/>
        <w:gridCol w:w="1170"/>
        <w:gridCol w:w="1248"/>
        <w:gridCol w:w="1203"/>
      </w:tblGrid>
      <w:tr w:rsidR="00577375" w:rsidRPr="003D2260" w14:paraId="77D9B9E3" w14:textId="77777777" w:rsidTr="00F17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5765D130" w14:textId="71587843" w:rsidR="00577375" w:rsidRPr="003D2260" w:rsidRDefault="00577375" w:rsidP="00F175A7">
            <w:pPr>
              <w:keepNext/>
              <w:keepLines/>
              <w:spacing w:after="0" w:line="240" w:lineRule="auto"/>
              <w:rPr>
                <w:sz w:val="22"/>
              </w:rPr>
            </w:pPr>
            <w:r w:rsidRPr="003D2260">
              <w:rPr>
                <w:sz w:val="22"/>
              </w:rPr>
              <w:t xml:space="preserve">Indicateurs </w:t>
            </w:r>
          </w:p>
        </w:tc>
        <w:tc>
          <w:tcPr>
            <w:tcW w:w="649" w:type="pct"/>
            <w:shd w:val="clear" w:color="auto" w:fill="4472C4" w:themeFill="accent1"/>
          </w:tcPr>
          <w:p w14:paraId="78170ED4" w14:textId="77777777" w:rsidR="00577375" w:rsidRPr="003D2260" w:rsidRDefault="00577375"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2022</w:t>
            </w:r>
          </w:p>
        </w:tc>
        <w:tc>
          <w:tcPr>
            <w:tcW w:w="692" w:type="pct"/>
            <w:shd w:val="clear" w:color="auto" w:fill="4472C4" w:themeFill="accent1"/>
          </w:tcPr>
          <w:p w14:paraId="27A0C68A" w14:textId="77777777" w:rsidR="00577375" w:rsidRPr="003D2260" w:rsidRDefault="00577375"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2023</w:t>
            </w:r>
          </w:p>
        </w:tc>
        <w:tc>
          <w:tcPr>
            <w:tcW w:w="667" w:type="pct"/>
            <w:shd w:val="clear" w:color="auto" w:fill="4472C4" w:themeFill="accent1"/>
          </w:tcPr>
          <w:p w14:paraId="5DED68C8" w14:textId="77777777" w:rsidR="00577375" w:rsidRPr="003D2260" w:rsidRDefault="00577375"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Cible 2023</w:t>
            </w:r>
          </w:p>
        </w:tc>
      </w:tr>
      <w:tr w:rsidR="00577375" w:rsidRPr="003D2260" w14:paraId="51897C78"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76BD359E" w14:textId="77777777" w:rsidR="00577375" w:rsidRPr="003D2260" w:rsidRDefault="00577375" w:rsidP="00F175A7">
            <w:pPr>
              <w:spacing w:after="0" w:line="240" w:lineRule="auto"/>
              <w:rPr>
                <w:sz w:val="22"/>
              </w:rPr>
            </w:pPr>
            <w:r w:rsidRPr="003D2260">
              <w:rPr>
                <w:sz w:val="22"/>
              </w:rPr>
              <w:t>Nombre de rapports du profil socio-économique des régions</w:t>
            </w:r>
          </w:p>
        </w:tc>
        <w:tc>
          <w:tcPr>
            <w:tcW w:w="649" w:type="pct"/>
          </w:tcPr>
          <w:p w14:paraId="53BEEDDA"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692" w:type="pct"/>
          </w:tcPr>
          <w:p w14:paraId="5EB79CFC"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67" w:type="pct"/>
          </w:tcPr>
          <w:p w14:paraId="450E52C0"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r>
      <w:tr w:rsidR="00500433" w:rsidRPr="003D2260" w14:paraId="39D5A8CE"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1EAC1326" w14:textId="2DD58584" w:rsidR="00500433" w:rsidRPr="003D2260" w:rsidRDefault="00500433" w:rsidP="00F175A7">
            <w:pPr>
              <w:spacing w:after="0" w:line="240" w:lineRule="auto"/>
              <w:rPr>
                <w:sz w:val="22"/>
              </w:rPr>
            </w:pPr>
            <w:r w:rsidRPr="009A288B">
              <w:rPr>
                <w:rFonts w:eastAsiaTheme="minorHAnsi"/>
                <w:sz w:val="22"/>
              </w:rPr>
              <w:t>Nombre de rapport de suivi de l’élaboration et de la mise en œuvre des PLD</w:t>
            </w:r>
          </w:p>
        </w:tc>
        <w:tc>
          <w:tcPr>
            <w:tcW w:w="649" w:type="pct"/>
          </w:tcPr>
          <w:p w14:paraId="4A674C35" w14:textId="7659EB8B" w:rsidR="00500433" w:rsidRPr="003D2260" w:rsidRDefault="0050043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1</w:t>
            </w:r>
          </w:p>
        </w:tc>
        <w:tc>
          <w:tcPr>
            <w:tcW w:w="692" w:type="pct"/>
          </w:tcPr>
          <w:p w14:paraId="77E357F4" w14:textId="5443716B" w:rsidR="00500433" w:rsidRPr="003D2260" w:rsidRDefault="0050043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1</w:t>
            </w:r>
          </w:p>
        </w:tc>
        <w:tc>
          <w:tcPr>
            <w:tcW w:w="667" w:type="pct"/>
          </w:tcPr>
          <w:p w14:paraId="67B22F83" w14:textId="2F351D99" w:rsidR="00500433" w:rsidRPr="003D2260" w:rsidRDefault="0050043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1</w:t>
            </w:r>
          </w:p>
        </w:tc>
      </w:tr>
      <w:tr w:rsidR="00577375" w:rsidRPr="003D2260" w14:paraId="23697639"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2278F6F0" w14:textId="77777777" w:rsidR="00577375" w:rsidRPr="003D2260" w:rsidRDefault="00577375" w:rsidP="00F175A7">
            <w:pPr>
              <w:spacing w:after="0" w:line="240" w:lineRule="auto"/>
              <w:rPr>
                <w:sz w:val="22"/>
              </w:rPr>
            </w:pPr>
            <w:r w:rsidRPr="003D2260">
              <w:rPr>
                <w:sz w:val="22"/>
              </w:rPr>
              <w:t>Nombre d'infrastructures entièrement réalisées dans le cadre de la mise en œuvre du PADEL</w:t>
            </w:r>
          </w:p>
        </w:tc>
        <w:tc>
          <w:tcPr>
            <w:tcW w:w="649" w:type="pct"/>
          </w:tcPr>
          <w:p w14:paraId="15A62BE2"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300</w:t>
            </w:r>
          </w:p>
        </w:tc>
        <w:tc>
          <w:tcPr>
            <w:tcW w:w="692" w:type="pct"/>
          </w:tcPr>
          <w:p w14:paraId="22EE36A6"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300</w:t>
            </w:r>
          </w:p>
        </w:tc>
        <w:tc>
          <w:tcPr>
            <w:tcW w:w="667" w:type="pct"/>
          </w:tcPr>
          <w:p w14:paraId="27B344F7"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300</w:t>
            </w:r>
          </w:p>
        </w:tc>
      </w:tr>
      <w:tr w:rsidR="00577375" w:rsidRPr="003D2260" w14:paraId="766D8C51"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1FE92EEB" w14:textId="77777777" w:rsidR="00577375" w:rsidRPr="003D2260" w:rsidRDefault="00577375" w:rsidP="00F175A7">
            <w:pPr>
              <w:spacing w:after="0" w:line="240" w:lineRule="auto"/>
              <w:rPr>
                <w:sz w:val="22"/>
              </w:rPr>
            </w:pPr>
            <w:r w:rsidRPr="003D2260">
              <w:rPr>
                <w:sz w:val="22"/>
              </w:rPr>
              <w:t>Nombre d'infrastructures réalisées à 75% dans le cadre de la mise en œuvre du PADEL</w:t>
            </w:r>
          </w:p>
        </w:tc>
        <w:tc>
          <w:tcPr>
            <w:tcW w:w="649" w:type="pct"/>
          </w:tcPr>
          <w:p w14:paraId="4FB9A86A"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200</w:t>
            </w:r>
          </w:p>
        </w:tc>
        <w:tc>
          <w:tcPr>
            <w:tcW w:w="692" w:type="pct"/>
          </w:tcPr>
          <w:p w14:paraId="207EC972"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200</w:t>
            </w:r>
          </w:p>
        </w:tc>
        <w:tc>
          <w:tcPr>
            <w:tcW w:w="667" w:type="pct"/>
          </w:tcPr>
          <w:p w14:paraId="3B02D336"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200</w:t>
            </w:r>
          </w:p>
        </w:tc>
      </w:tr>
      <w:tr w:rsidR="00577375" w:rsidRPr="003D2260" w14:paraId="009D6E39"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63ACE720" w14:textId="77777777" w:rsidR="00577375" w:rsidRPr="003D2260" w:rsidRDefault="00577375" w:rsidP="00F175A7">
            <w:pPr>
              <w:spacing w:after="0" w:line="240" w:lineRule="auto"/>
              <w:rPr>
                <w:sz w:val="22"/>
              </w:rPr>
            </w:pPr>
            <w:r w:rsidRPr="003D2260">
              <w:rPr>
                <w:sz w:val="22"/>
              </w:rPr>
              <w:t>Nombre de marchés construits dans le cadre de la mise en œuvre du PUDTR</w:t>
            </w:r>
          </w:p>
        </w:tc>
        <w:tc>
          <w:tcPr>
            <w:tcW w:w="649" w:type="pct"/>
          </w:tcPr>
          <w:p w14:paraId="7B2B9F72"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92" w:type="pct"/>
          </w:tcPr>
          <w:p w14:paraId="5390DD09"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67" w:type="pct"/>
          </w:tcPr>
          <w:p w14:paraId="777C8F96"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w:t>
            </w:r>
          </w:p>
        </w:tc>
      </w:tr>
      <w:tr w:rsidR="00577375" w:rsidRPr="003D2260" w14:paraId="73ECAC07"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329A3695" w14:textId="77777777" w:rsidR="00577375" w:rsidRPr="003D2260" w:rsidRDefault="00577375" w:rsidP="00F175A7">
            <w:pPr>
              <w:spacing w:after="0" w:line="240" w:lineRule="auto"/>
              <w:rPr>
                <w:sz w:val="22"/>
              </w:rPr>
            </w:pPr>
            <w:r w:rsidRPr="003D2260">
              <w:rPr>
                <w:sz w:val="22"/>
              </w:rPr>
              <w:t>Nombre de boutiques construites dans le cadre de la mise en œuvre du PUDTR</w:t>
            </w:r>
          </w:p>
        </w:tc>
        <w:tc>
          <w:tcPr>
            <w:tcW w:w="649" w:type="pct"/>
          </w:tcPr>
          <w:p w14:paraId="612CBC9B"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125</w:t>
            </w:r>
          </w:p>
        </w:tc>
        <w:tc>
          <w:tcPr>
            <w:tcW w:w="692" w:type="pct"/>
          </w:tcPr>
          <w:p w14:paraId="0C4C80C8"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67" w:type="pct"/>
          </w:tcPr>
          <w:p w14:paraId="6DF53B31"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50</w:t>
            </w:r>
          </w:p>
        </w:tc>
      </w:tr>
      <w:tr w:rsidR="00577375" w:rsidRPr="003D2260" w14:paraId="4F81FE42"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599071AB" w14:textId="77777777" w:rsidR="00577375" w:rsidRPr="003D2260" w:rsidRDefault="00577375" w:rsidP="00F175A7">
            <w:pPr>
              <w:spacing w:after="0" w:line="240" w:lineRule="auto"/>
              <w:rPr>
                <w:sz w:val="22"/>
              </w:rPr>
            </w:pPr>
            <w:r w:rsidRPr="003D2260">
              <w:rPr>
                <w:sz w:val="22"/>
              </w:rPr>
              <w:t>Nombre de gares routières construites dans le cadre de la mise en œuvre du PUDTR</w:t>
            </w:r>
          </w:p>
        </w:tc>
        <w:tc>
          <w:tcPr>
            <w:tcW w:w="649" w:type="pct"/>
          </w:tcPr>
          <w:p w14:paraId="156580F8"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92" w:type="pct"/>
          </w:tcPr>
          <w:p w14:paraId="72116762"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67" w:type="pct"/>
          </w:tcPr>
          <w:p w14:paraId="20B80AC5"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w:t>
            </w:r>
          </w:p>
        </w:tc>
      </w:tr>
      <w:tr w:rsidR="00577375" w:rsidRPr="003D2260" w14:paraId="6DA8A84A"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490409E2" w14:textId="77777777" w:rsidR="00577375" w:rsidRPr="003D2260" w:rsidRDefault="00577375" w:rsidP="00F175A7">
            <w:pPr>
              <w:spacing w:after="0" w:line="240" w:lineRule="auto"/>
              <w:rPr>
                <w:sz w:val="22"/>
              </w:rPr>
            </w:pPr>
            <w:r w:rsidRPr="003D2260">
              <w:rPr>
                <w:sz w:val="22"/>
              </w:rPr>
              <w:t>Nombre de Km de pistes rurales aménagées dans le cadre de la mise en œuvre du PUDTR</w:t>
            </w:r>
          </w:p>
        </w:tc>
        <w:tc>
          <w:tcPr>
            <w:tcW w:w="649" w:type="pct"/>
          </w:tcPr>
          <w:p w14:paraId="3AFC101F"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92" w:type="pct"/>
          </w:tcPr>
          <w:p w14:paraId="73035A1D"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36</w:t>
            </w:r>
          </w:p>
        </w:tc>
        <w:tc>
          <w:tcPr>
            <w:tcW w:w="667" w:type="pct"/>
          </w:tcPr>
          <w:p w14:paraId="62A4F71B"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250</w:t>
            </w:r>
          </w:p>
        </w:tc>
      </w:tr>
      <w:tr w:rsidR="00577375" w:rsidRPr="003D2260" w14:paraId="564E88E7"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7A4D04C8" w14:textId="77777777" w:rsidR="00577375" w:rsidRPr="003D2260" w:rsidRDefault="00577375" w:rsidP="00F175A7">
            <w:pPr>
              <w:spacing w:after="0" w:line="240" w:lineRule="auto"/>
              <w:rPr>
                <w:sz w:val="22"/>
              </w:rPr>
            </w:pPr>
            <w:r w:rsidRPr="003D2260">
              <w:rPr>
                <w:sz w:val="22"/>
              </w:rPr>
              <w:lastRenderedPageBreak/>
              <w:t>Nombre de Km de caniveaux d’évacuation d’eau pluviale construits dans le cadre de la mise en œuvre du PUDTR</w:t>
            </w:r>
          </w:p>
        </w:tc>
        <w:tc>
          <w:tcPr>
            <w:tcW w:w="649" w:type="pct"/>
          </w:tcPr>
          <w:p w14:paraId="77BD6E0E"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92" w:type="pct"/>
          </w:tcPr>
          <w:p w14:paraId="3934039A"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43</w:t>
            </w:r>
          </w:p>
        </w:tc>
        <w:tc>
          <w:tcPr>
            <w:tcW w:w="667" w:type="pct"/>
          </w:tcPr>
          <w:p w14:paraId="1B7AEFCF"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30</w:t>
            </w:r>
          </w:p>
        </w:tc>
      </w:tr>
      <w:tr w:rsidR="00577375" w:rsidRPr="003D2260" w14:paraId="5874A4A0"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1DE6E24F" w14:textId="77777777" w:rsidR="00577375" w:rsidRPr="003D2260" w:rsidRDefault="00577375" w:rsidP="00F175A7">
            <w:pPr>
              <w:spacing w:after="0" w:line="240" w:lineRule="auto"/>
              <w:rPr>
                <w:sz w:val="22"/>
              </w:rPr>
            </w:pPr>
            <w:r w:rsidRPr="003D2260">
              <w:rPr>
                <w:sz w:val="22"/>
              </w:rPr>
              <w:t>Linéaire couvert par l'éclairage public (Km) dans le cadre de la mise en œuvre du PUDTR</w:t>
            </w:r>
          </w:p>
        </w:tc>
        <w:tc>
          <w:tcPr>
            <w:tcW w:w="649" w:type="pct"/>
          </w:tcPr>
          <w:p w14:paraId="3D84A2C0"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92" w:type="pct"/>
          </w:tcPr>
          <w:p w14:paraId="2464867B"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40</w:t>
            </w:r>
          </w:p>
        </w:tc>
        <w:tc>
          <w:tcPr>
            <w:tcW w:w="667" w:type="pct"/>
          </w:tcPr>
          <w:p w14:paraId="3F87D149"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30</w:t>
            </w:r>
          </w:p>
        </w:tc>
      </w:tr>
      <w:tr w:rsidR="00577375" w:rsidRPr="003D2260" w14:paraId="40BBEEA4"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0DDC766E" w14:textId="77777777" w:rsidR="00577375" w:rsidRPr="003D2260" w:rsidRDefault="00577375" w:rsidP="00F175A7">
            <w:pPr>
              <w:spacing w:after="0" w:line="240" w:lineRule="auto"/>
              <w:rPr>
                <w:sz w:val="22"/>
              </w:rPr>
            </w:pPr>
            <w:r w:rsidRPr="003D2260">
              <w:rPr>
                <w:sz w:val="22"/>
              </w:rPr>
              <w:t>Nombre d'ha de bas-fonds aménagés dans le cadre de la mise en œuvre du PUDTR</w:t>
            </w:r>
          </w:p>
        </w:tc>
        <w:tc>
          <w:tcPr>
            <w:tcW w:w="649" w:type="pct"/>
          </w:tcPr>
          <w:p w14:paraId="5DB80771"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92" w:type="pct"/>
          </w:tcPr>
          <w:p w14:paraId="78025DB4"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43</w:t>
            </w:r>
          </w:p>
        </w:tc>
        <w:tc>
          <w:tcPr>
            <w:tcW w:w="667" w:type="pct"/>
          </w:tcPr>
          <w:p w14:paraId="0DD1B290"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420</w:t>
            </w:r>
          </w:p>
        </w:tc>
      </w:tr>
      <w:tr w:rsidR="00577375" w:rsidRPr="003D2260" w14:paraId="11702AF2"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04BEE97E" w14:textId="77777777" w:rsidR="00577375" w:rsidRPr="003D2260" w:rsidRDefault="00577375" w:rsidP="00F175A7">
            <w:pPr>
              <w:spacing w:after="0" w:line="240" w:lineRule="auto"/>
              <w:rPr>
                <w:sz w:val="22"/>
              </w:rPr>
            </w:pPr>
            <w:r w:rsidRPr="003D2260">
              <w:rPr>
                <w:sz w:val="22"/>
              </w:rPr>
              <w:t>Nombre d'ha de périmètres maraichers aménagés dans le cadre de la mise en œuvre du PUDTR</w:t>
            </w:r>
          </w:p>
        </w:tc>
        <w:tc>
          <w:tcPr>
            <w:tcW w:w="649" w:type="pct"/>
          </w:tcPr>
          <w:p w14:paraId="2B102712"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92" w:type="pct"/>
          </w:tcPr>
          <w:p w14:paraId="25B79C08"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4</w:t>
            </w:r>
          </w:p>
        </w:tc>
        <w:tc>
          <w:tcPr>
            <w:tcW w:w="667" w:type="pct"/>
          </w:tcPr>
          <w:p w14:paraId="0FE9A51E"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35</w:t>
            </w:r>
          </w:p>
        </w:tc>
      </w:tr>
      <w:tr w:rsidR="00577375" w:rsidRPr="003D2260" w14:paraId="57BF9A6E"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172C3E7D" w14:textId="77777777" w:rsidR="00577375" w:rsidRPr="003D2260" w:rsidRDefault="00577375" w:rsidP="00F175A7">
            <w:pPr>
              <w:spacing w:after="0" w:line="240" w:lineRule="auto"/>
              <w:rPr>
                <w:sz w:val="22"/>
              </w:rPr>
            </w:pPr>
            <w:r w:rsidRPr="003D2260">
              <w:rPr>
                <w:sz w:val="22"/>
              </w:rPr>
              <w:t>Nombre d'infrastructures d’eau potable réalisées dans le cadre de la mise en œuvre du PUDTR</w:t>
            </w:r>
          </w:p>
        </w:tc>
        <w:tc>
          <w:tcPr>
            <w:tcW w:w="649" w:type="pct"/>
          </w:tcPr>
          <w:p w14:paraId="1765FA35"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54</w:t>
            </w:r>
          </w:p>
        </w:tc>
        <w:tc>
          <w:tcPr>
            <w:tcW w:w="692" w:type="pct"/>
          </w:tcPr>
          <w:p w14:paraId="3E3C90F4"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37</w:t>
            </w:r>
          </w:p>
        </w:tc>
        <w:tc>
          <w:tcPr>
            <w:tcW w:w="667" w:type="pct"/>
          </w:tcPr>
          <w:p w14:paraId="3491C858"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43</w:t>
            </w:r>
          </w:p>
        </w:tc>
      </w:tr>
      <w:tr w:rsidR="00577375" w:rsidRPr="003D2260" w14:paraId="7BBE74B8"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6C944C38" w14:textId="3398F816" w:rsidR="00577375" w:rsidRPr="003D2260" w:rsidRDefault="00577375" w:rsidP="00F175A7">
            <w:pPr>
              <w:spacing w:after="0" w:line="240" w:lineRule="auto"/>
              <w:rPr>
                <w:sz w:val="22"/>
              </w:rPr>
            </w:pPr>
            <w:r w:rsidRPr="003D2260">
              <w:rPr>
                <w:sz w:val="22"/>
              </w:rPr>
              <w:t>Nombre de salles de classe construites dans le cadre de la mise en œuvre du PUDTR</w:t>
            </w:r>
          </w:p>
        </w:tc>
        <w:tc>
          <w:tcPr>
            <w:tcW w:w="649" w:type="pct"/>
          </w:tcPr>
          <w:p w14:paraId="103CED84"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165</w:t>
            </w:r>
          </w:p>
        </w:tc>
        <w:tc>
          <w:tcPr>
            <w:tcW w:w="692" w:type="pct"/>
          </w:tcPr>
          <w:p w14:paraId="0C70AD75"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100</w:t>
            </w:r>
          </w:p>
        </w:tc>
        <w:tc>
          <w:tcPr>
            <w:tcW w:w="667" w:type="pct"/>
          </w:tcPr>
          <w:p w14:paraId="59BB2670"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100</w:t>
            </w:r>
          </w:p>
        </w:tc>
      </w:tr>
      <w:tr w:rsidR="00577375" w:rsidRPr="003D2260" w14:paraId="67068926"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5490B579" w14:textId="77777777" w:rsidR="00577375" w:rsidRPr="003D2260" w:rsidRDefault="00577375" w:rsidP="00F175A7">
            <w:pPr>
              <w:spacing w:after="0" w:line="240" w:lineRule="auto"/>
              <w:rPr>
                <w:sz w:val="22"/>
              </w:rPr>
            </w:pPr>
            <w:r w:rsidRPr="003D2260">
              <w:rPr>
                <w:sz w:val="22"/>
              </w:rPr>
              <w:t>Nombre de formations sanitaires normalisées dans le cadre de la mise en œuvre du PUDTR</w:t>
            </w:r>
          </w:p>
        </w:tc>
        <w:tc>
          <w:tcPr>
            <w:tcW w:w="649" w:type="pct"/>
          </w:tcPr>
          <w:p w14:paraId="4E8EBBE5"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4</w:t>
            </w:r>
          </w:p>
        </w:tc>
        <w:tc>
          <w:tcPr>
            <w:tcW w:w="692" w:type="pct"/>
          </w:tcPr>
          <w:p w14:paraId="54CB3155"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22</w:t>
            </w:r>
          </w:p>
        </w:tc>
        <w:tc>
          <w:tcPr>
            <w:tcW w:w="667" w:type="pct"/>
          </w:tcPr>
          <w:p w14:paraId="12306E5C"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10</w:t>
            </w:r>
          </w:p>
        </w:tc>
      </w:tr>
      <w:tr w:rsidR="00577375" w:rsidRPr="003D2260" w14:paraId="7966174B"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00C86CD2" w14:textId="77777777" w:rsidR="00577375" w:rsidRPr="003D2260" w:rsidRDefault="00577375" w:rsidP="00F175A7">
            <w:pPr>
              <w:spacing w:after="0" w:line="240" w:lineRule="auto"/>
              <w:rPr>
                <w:sz w:val="22"/>
              </w:rPr>
            </w:pPr>
            <w:r w:rsidRPr="003D2260">
              <w:rPr>
                <w:sz w:val="22"/>
              </w:rPr>
              <w:t>Nombre de complexes scolaires construits dans le cadre de la mise en œuvre du PUDTR</w:t>
            </w:r>
          </w:p>
        </w:tc>
        <w:tc>
          <w:tcPr>
            <w:tcW w:w="649" w:type="pct"/>
          </w:tcPr>
          <w:p w14:paraId="24036AFD"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92" w:type="pct"/>
          </w:tcPr>
          <w:p w14:paraId="322C3651"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67" w:type="pct"/>
          </w:tcPr>
          <w:p w14:paraId="652C8E90"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w:t>
            </w:r>
          </w:p>
        </w:tc>
      </w:tr>
      <w:tr w:rsidR="00577375" w:rsidRPr="003D2260" w14:paraId="2ABCA364"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5C988CD5" w14:textId="0E72257C" w:rsidR="00577375" w:rsidRPr="003D2260" w:rsidRDefault="00577375" w:rsidP="00560D37">
            <w:pPr>
              <w:spacing w:after="0" w:line="240" w:lineRule="auto"/>
              <w:rPr>
                <w:sz w:val="22"/>
              </w:rPr>
            </w:pPr>
            <w:r w:rsidRPr="003D2260">
              <w:rPr>
                <w:sz w:val="22"/>
              </w:rPr>
              <w:t>Nombre de CSPS construits dans le cadre de la mise en œuvre du PUDTR</w:t>
            </w:r>
          </w:p>
        </w:tc>
        <w:tc>
          <w:tcPr>
            <w:tcW w:w="649" w:type="pct"/>
          </w:tcPr>
          <w:p w14:paraId="635FB97E"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92" w:type="pct"/>
          </w:tcPr>
          <w:p w14:paraId="6A5C091D"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667" w:type="pct"/>
          </w:tcPr>
          <w:p w14:paraId="67D67E6A"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15</w:t>
            </w:r>
          </w:p>
        </w:tc>
      </w:tr>
      <w:tr w:rsidR="00577375" w:rsidRPr="003D2260" w14:paraId="47413F24"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21D508F9" w14:textId="77777777" w:rsidR="00577375" w:rsidRPr="003D2260" w:rsidRDefault="00577375" w:rsidP="00F175A7">
            <w:pPr>
              <w:spacing w:after="0" w:line="240" w:lineRule="auto"/>
              <w:rPr>
                <w:sz w:val="22"/>
              </w:rPr>
            </w:pPr>
            <w:r w:rsidRPr="003D2260">
              <w:rPr>
                <w:sz w:val="22"/>
              </w:rPr>
              <w:t xml:space="preserve">Linéaire de routes bitumées à </w:t>
            </w:r>
            <w:proofErr w:type="spellStart"/>
            <w:r w:rsidRPr="003D2260">
              <w:rPr>
                <w:sz w:val="22"/>
              </w:rPr>
              <w:t>Bagré</w:t>
            </w:r>
            <w:proofErr w:type="spellEnd"/>
            <w:r w:rsidRPr="003D2260">
              <w:rPr>
                <w:sz w:val="22"/>
              </w:rPr>
              <w:t xml:space="preserve"> (</w:t>
            </w:r>
            <w:proofErr w:type="spellStart"/>
            <w:r w:rsidRPr="003D2260">
              <w:rPr>
                <w:sz w:val="22"/>
              </w:rPr>
              <w:t>Bagrépole</w:t>
            </w:r>
            <w:proofErr w:type="spellEnd"/>
            <w:r w:rsidRPr="003D2260">
              <w:rPr>
                <w:sz w:val="22"/>
              </w:rPr>
              <w:t>) (Km)</w:t>
            </w:r>
          </w:p>
        </w:tc>
        <w:tc>
          <w:tcPr>
            <w:tcW w:w="649" w:type="pct"/>
          </w:tcPr>
          <w:p w14:paraId="04C6038A"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92" w:type="pct"/>
          </w:tcPr>
          <w:p w14:paraId="3B8278C2"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25</w:t>
            </w:r>
          </w:p>
        </w:tc>
        <w:tc>
          <w:tcPr>
            <w:tcW w:w="667" w:type="pct"/>
          </w:tcPr>
          <w:p w14:paraId="175F8A16"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25</w:t>
            </w:r>
          </w:p>
        </w:tc>
      </w:tr>
      <w:tr w:rsidR="00577375" w:rsidRPr="003D2260" w14:paraId="5EFB901F"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2D20170E" w14:textId="77777777" w:rsidR="00577375" w:rsidRPr="003D2260" w:rsidRDefault="00577375" w:rsidP="00F175A7">
            <w:pPr>
              <w:spacing w:after="0" w:line="240" w:lineRule="auto"/>
              <w:rPr>
                <w:sz w:val="22"/>
              </w:rPr>
            </w:pPr>
            <w:r w:rsidRPr="003D2260">
              <w:rPr>
                <w:sz w:val="22"/>
              </w:rPr>
              <w:t>Nombre de bénéficiaires de cash transfert dans le cadre de la mise en œuvre du PUDTR</w:t>
            </w:r>
          </w:p>
        </w:tc>
        <w:tc>
          <w:tcPr>
            <w:tcW w:w="649" w:type="pct"/>
          </w:tcPr>
          <w:p w14:paraId="432138CC"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29 136</w:t>
            </w:r>
          </w:p>
        </w:tc>
        <w:tc>
          <w:tcPr>
            <w:tcW w:w="692" w:type="pct"/>
          </w:tcPr>
          <w:p w14:paraId="6C8CB33D"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29 132</w:t>
            </w:r>
          </w:p>
        </w:tc>
        <w:tc>
          <w:tcPr>
            <w:tcW w:w="667" w:type="pct"/>
          </w:tcPr>
          <w:p w14:paraId="6CC50FC9"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35</w:t>
            </w:r>
            <w:r w:rsidRPr="003D2260">
              <w:rPr>
                <w:rFonts w:ascii="Times New Roman" w:eastAsia="Times New Roman" w:hAnsi="Times New Roman" w:cs="Times New Roman"/>
                <w:sz w:val="22"/>
              </w:rPr>
              <w:t> </w:t>
            </w:r>
            <w:r w:rsidRPr="003D2260">
              <w:rPr>
                <w:sz w:val="22"/>
              </w:rPr>
              <w:t>000</w:t>
            </w:r>
          </w:p>
        </w:tc>
      </w:tr>
      <w:tr w:rsidR="00577375" w:rsidRPr="003D2260" w14:paraId="5F6089B1"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73D4EA12" w14:textId="77777777" w:rsidR="00577375" w:rsidRPr="003D2260" w:rsidRDefault="00577375" w:rsidP="00F175A7">
            <w:pPr>
              <w:spacing w:after="0" w:line="240" w:lineRule="auto"/>
              <w:rPr>
                <w:sz w:val="22"/>
              </w:rPr>
            </w:pPr>
            <w:r w:rsidRPr="003D2260">
              <w:rPr>
                <w:sz w:val="22"/>
              </w:rPr>
              <w:t>Nombre de complexes scolaires construits et équipés dans le cadre de la mise en œuvre du PRISE</w:t>
            </w:r>
          </w:p>
        </w:tc>
        <w:tc>
          <w:tcPr>
            <w:tcW w:w="649" w:type="pct"/>
          </w:tcPr>
          <w:p w14:paraId="4A24BB8F"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6</w:t>
            </w:r>
          </w:p>
        </w:tc>
        <w:tc>
          <w:tcPr>
            <w:tcW w:w="692" w:type="pct"/>
          </w:tcPr>
          <w:p w14:paraId="7E3C4313"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18</w:t>
            </w:r>
          </w:p>
        </w:tc>
        <w:tc>
          <w:tcPr>
            <w:tcW w:w="667" w:type="pct"/>
          </w:tcPr>
          <w:p w14:paraId="68E61FD8"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19</w:t>
            </w:r>
          </w:p>
        </w:tc>
      </w:tr>
      <w:tr w:rsidR="00577375" w:rsidRPr="003D2260" w14:paraId="2FA04F2E" w14:textId="77777777" w:rsidTr="00577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158F3E8B" w14:textId="77777777" w:rsidR="00577375" w:rsidRPr="003D2260" w:rsidRDefault="00577375" w:rsidP="00F175A7">
            <w:pPr>
              <w:spacing w:after="0" w:line="240" w:lineRule="auto"/>
              <w:rPr>
                <w:sz w:val="22"/>
              </w:rPr>
            </w:pPr>
            <w:r w:rsidRPr="003D2260">
              <w:rPr>
                <w:sz w:val="22"/>
              </w:rPr>
              <w:t>Nombre de CSPS construits et équipés dans le cadre de la mise en œuvre du PRISE</w:t>
            </w:r>
          </w:p>
        </w:tc>
        <w:tc>
          <w:tcPr>
            <w:tcW w:w="649" w:type="pct"/>
          </w:tcPr>
          <w:p w14:paraId="335F1BE9"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12</w:t>
            </w:r>
          </w:p>
        </w:tc>
        <w:tc>
          <w:tcPr>
            <w:tcW w:w="692" w:type="pct"/>
          </w:tcPr>
          <w:p w14:paraId="62BE8313"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667" w:type="pct"/>
          </w:tcPr>
          <w:p w14:paraId="41B74A0B"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2</w:t>
            </w:r>
          </w:p>
        </w:tc>
      </w:tr>
      <w:tr w:rsidR="00577375" w:rsidRPr="003D2260" w14:paraId="26AC9C6C" w14:textId="77777777" w:rsidTr="00577375">
        <w:tc>
          <w:tcPr>
            <w:cnfStyle w:val="001000000000" w:firstRow="0" w:lastRow="0" w:firstColumn="1" w:lastColumn="0" w:oddVBand="0" w:evenVBand="0" w:oddHBand="0" w:evenHBand="0" w:firstRowFirstColumn="0" w:firstRowLastColumn="0" w:lastRowFirstColumn="0" w:lastRowLastColumn="0"/>
            <w:tcW w:w="2992" w:type="pct"/>
          </w:tcPr>
          <w:p w14:paraId="340A609E" w14:textId="77777777" w:rsidR="00577375" w:rsidRPr="003D2260" w:rsidRDefault="00577375" w:rsidP="00F175A7">
            <w:pPr>
              <w:spacing w:after="0" w:line="240" w:lineRule="auto"/>
              <w:rPr>
                <w:sz w:val="22"/>
              </w:rPr>
            </w:pPr>
            <w:r w:rsidRPr="003D2260">
              <w:rPr>
                <w:sz w:val="22"/>
              </w:rPr>
              <w:t>Nombre de forages positifs et d’AEPS réalisés dans le cadre de la mise en œuvre du PRISE</w:t>
            </w:r>
          </w:p>
        </w:tc>
        <w:tc>
          <w:tcPr>
            <w:tcW w:w="649" w:type="pct"/>
          </w:tcPr>
          <w:p w14:paraId="0D295D20"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38</w:t>
            </w:r>
          </w:p>
        </w:tc>
        <w:tc>
          <w:tcPr>
            <w:tcW w:w="692" w:type="pct"/>
          </w:tcPr>
          <w:p w14:paraId="06E6524B"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41</w:t>
            </w:r>
          </w:p>
        </w:tc>
        <w:tc>
          <w:tcPr>
            <w:tcW w:w="667" w:type="pct"/>
          </w:tcPr>
          <w:p w14:paraId="4CEFCD87"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40</w:t>
            </w:r>
          </w:p>
        </w:tc>
      </w:tr>
    </w:tbl>
    <w:p w14:paraId="46F98FAF" w14:textId="50BED93A" w:rsidR="00577375" w:rsidRPr="00E31E23" w:rsidRDefault="00577375" w:rsidP="00577375">
      <w:pPr>
        <w:rPr>
          <w:sz w:val="20"/>
          <w:szCs w:val="20"/>
        </w:rPr>
      </w:pPr>
      <w:r w:rsidRPr="00E31E23">
        <w:rPr>
          <w:b/>
          <w:sz w:val="20"/>
          <w:szCs w:val="20"/>
          <w:u w:val="single"/>
        </w:rPr>
        <w:t>Source</w:t>
      </w:r>
      <w:r w:rsidRPr="00E31E23">
        <w:rPr>
          <w:sz w:val="20"/>
          <w:szCs w:val="20"/>
        </w:rPr>
        <w:t xml:space="preserve"> : rapport </w:t>
      </w:r>
      <w:r w:rsidR="00287D1E">
        <w:rPr>
          <w:sz w:val="20"/>
          <w:szCs w:val="20"/>
        </w:rPr>
        <w:t xml:space="preserve">annuel </w:t>
      </w:r>
      <w:r w:rsidRPr="00E31E23">
        <w:rPr>
          <w:sz w:val="20"/>
          <w:szCs w:val="20"/>
        </w:rPr>
        <w:t>de performance 2023 du CSD-GE, février 2024</w:t>
      </w:r>
    </w:p>
    <w:p w14:paraId="6F0A0C1B" w14:textId="442CA31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Le taux d’exécution financière des produits de l’action au 31 décembre 2023 est de 74,14%. En effet, sur une prévision de 57</w:t>
      </w:r>
      <w:r w:rsidR="00560D37" w:rsidRPr="00056445">
        <w:rPr>
          <w:rFonts w:eastAsia="Calibri"/>
          <w:szCs w:val="24"/>
        </w:rPr>
        <w:t>°</w:t>
      </w:r>
      <w:r w:rsidRPr="00577375">
        <w:rPr>
          <w:rFonts w:eastAsia="Calibri"/>
          <w:szCs w:val="24"/>
        </w:rPr>
        <w:t>062</w:t>
      </w:r>
      <w:r w:rsidR="00560D37">
        <w:rPr>
          <w:rFonts w:eastAsia="Calibri"/>
          <w:szCs w:val="24"/>
        </w:rPr>
        <w:t> </w:t>
      </w:r>
      <w:r w:rsidRPr="00577375">
        <w:rPr>
          <w:rFonts w:eastAsia="Calibri"/>
          <w:szCs w:val="24"/>
        </w:rPr>
        <w:t>303</w:t>
      </w:r>
      <w:r w:rsidR="00560D37" w:rsidRPr="00056445">
        <w:rPr>
          <w:rFonts w:eastAsia="Calibri"/>
          <w:szCs w:val="24"/>
        </w:rPr>
        <w:t>°</w:t>
      </w:r>
      <w:r w:rsidRPr="00577375">
        <w:rPr>
          <w:rFonts w:eastAsia="Calibri"/>
          <w:szCs w:val="24"/>
        </w:rPr>
        <w:t>245</w:t>
      </w:r>
      <w:r w:rsidR="00AF5349">
        <w:rPr>
          <w:rFonts w:eastAsia="Calibri"/>
          <w:szCs w:val="24"/>
        </w:rPr>
        <w:t xml:space="preserve"> </w:t>
      </w:r>
      <w:r w:rsidRPr="00577375">
        <w:rPr>
          <w:rFonts w:eastAsia="Calibri"/>
          <w:szCs w:val="24"/>
        </w:rPr>
        <w:t xml:space="preserve">FCFA, </w:t>
      </w:r>
      <w:r w:rsidR="00AF5349">
        <w:rPr>
          <w:rFonts w:eastAsia="Calibri"/>
          <w:szCs w:val="24"/>
        </w:rPr>
        <w:t xml:space="preserve">au total </w:t>
      </w:r>
      <w:r w:rsidRPr="00577375">
        <w:rPr>
          <w:rFonts w:eastAsia="Calibri"/>
          <w:szCs w:val="24"/>
        </w:rPr>
        <w:t>42</w:t>
      </w:r>
      <w:r w:rsidR="00560D37">
        <w:rPr>
          <w:rFonts w:eastAsia="Calibri"/>
          <w:szCs w:val="24"/>
        </w:rPr>
        <w:t> </w:t>
      </w:r>
      <w:r w:rsidRPr="00577375">
        <w:rPr>
          <w:rFonts w:eastAsia="Calibri"/>
          <w:szCs w:val="24"/>
        </w:rPr>
        <w:t>305</w:t>
      </w:r>
      <w:r w:rsidR="00560D37" w:rsidRPr="00056445">
        <w:rPr>
          <w:rFonts w:eastAsia="Calibri"/>
          <w:szCs w:val="24"/>
        </w:rPr>
        <w:t>°</w:t>
      </w:r>
      <w:r w:rsidRPr="00577375">
        <w:rPr>
          <w:rFonts w:eastAsia="Calibri"/>
          <w:szCs w:val="24"/>
        </w:rPr>
        <w:t>233</w:t>
      </w:r>
      <w:r w:rsidR="00AF5349">
        <w:rPr>
          <w:rFonts w:eastAsia="Calibri"/>
          <w:szCs w:val="24"/>
        </w:rPr>
        <w:t> </w:t>
      </w:r>
      <w:r w:rsidRPr="00577375">
        <w:rPr>
          <w:rFonts w:eastAsia="Calibri"/>
          <w:szCs w:val="24"/>
        </w:rPr>
        <w:t>570</w:t>
      </w:r>
      <w:r w:rsidR="00AF5349">
        <w:rPr>
          <w:rFonts w:eastAsia="Calibri"/>
          <w:szCs w:val="24"/>
        </w:rPr>
        <w:t xml:space="preserve"> </w:t>
      </w:r>
      <w:r w:rsidRPr="00577375">
        <w:rPr>
          <w:rFonts w:eastAsia="Calibri"/>
          <w:szCs w:val="24"/>
        </w:rPr>
        <w:t xml:space="preserve">FCFA ont été dépensés. </w:t>
      </w:r>
    </w:p>
    <w:p w14:paraId="6F7F5859" w14:textId="57035A51"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La deuxième action concerne </w:t>
      </w:r>
      <w:r w:rsidRPr="00F175A7">
        <w:rPr>
          <w:rFonts w:eastAsia="Calibri"/>
          <w:b/>
          <w:szCs w:val="24"/>
        </w:rPr>
        <w:t>l’accélération de la construction des Pôles de croissance et de compétitivité (03047)</w:t>
      </w:r>
      <w:r w:rsidRPr="00577375">
        <w:rPr>
          <w:rFonts w:eastAsia="Calibri"/>
          <w:szCs w:val="24"/>
        </w:rPr>
        <w:t xml:space="preserve">. Cette action vise </w:t>
      </w:r>
      <w:r w:rsidR="00AF5349">
        <w:rPr>
          <w:rFonts w:eastAsia="Calibri"/>
          <w:szCs w:val="24"/>
        </w:rPr>
        <w:t>à</w:t>
      </w:r>
      <w:r w:rsidRPr="00577375">
        <w:rPr>
          <w:rFonts w:eastAsia="Calibri"/>
          <w:szCs w:val="24"/>
        </w:rPr>
        <w:t xml:space="preserve"> rendre fonctionnel l’un de</w:t>
      </w:r>
      <w:r w:rsidR="00560D37">
        <w:rPr>
          <w:rFonts w:eastAsia="Calibri"/>
          <w:szCs w:val="24"/>
        </w:rPr>
        <w:t>s</w:t>
      </w:r>
      <w:r w:rsidRPr="00577375">
        <w:rPr>
          <w:rFonts w:eastAsia="Calibri"/>
          <w:szCs w:val="24"/>
        </w:rPr>
        <w:t xml:space="preserve"> pôles de croissance et de compétitivité (PC) en 2024. </w:t>
      </w:r>
    </w:p>
    <w:p w14:paraId="036D47F2" w14:textId="7F7972AB"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Un seul produit a été programmé dans le cadre de la mise en œuvre de cette action</w:t>
      </w:r>
      <w:r w:rsidR="00560D37">
        <w:rPr>
          <w:rFonts w:eastAsia="Calibri"/>
          <w:szCs w:val="24"/>
        </w:rPr>
        <w:t>,</w:t>
      </w:r>
      <w:r w:rsidRPr="00577375">
        <w:rPr>
          <w:rFonts w:eastAsia="Calibri"/>
          <w:szCs w:val="24"/>
        </w:rPr>
        <w:t xml:space="preserve"> </w:t>
      </w:r>
      <w:r w:rsidR="00654CE3">
        <w:rPr>
          <w:rFonts w:eastAsia="Calibri"/>
          <w:szCs w:val="24"/>
        </w:rPr>
        <w:t>à</w:t>
      </w:r>
      <w:r w:rsidRPr="00577375">
        <w:rPr>
          <w:rFonts w:eastAsia="Calibri"/>
          <w:szCs w:val="24"/>
        </w:rPr>
        <w:t xml:space="preserve"> savoir l’accélération de la mise en œuvre du pôle de croissance de </w:t>
      </w:r>
      <w:proofErr w:type="spellStart"/>
      <w:r w:rsidRPr="00577375">
        <w:rPr>
          <w:rFonts w:eastAsia="Calibri"/>
          <w:szCs w:val="24"/>
        </w:rPr>
        <w:t>Samandeni</w:t>
      </w:r>
      <w:proofErr w:type="spellEnd"/>
      <w:r w:rsidRPr="00577375">
        <w:rPr>
          <w:rFonts w:eastAsia="Calibri"/>
          <w:szCs w:val="24"/>
        </w:rPr>
        <w:t>. Dans ce sens, il était prévu de rendre fonctionnel le dispositif institutionnel et de conduire neuf (09) études dans le cadre de la formulation du document</w:t>
      </w:r>
      <w:r w:rsidR="00560D37">
        <w:rPr>
          <w:rFonts w:eastAsia="Calibri"/>
          <w:szCs w:val="24"/>
        </w:rPr>
        <w:t>-</w:t>
      </w:r>
      <w:r w:rsidRPr="00577375">
        <w:rPr>
          <w:rFonts w:eastAsia="Calibri"/>
          <w:szCs w:val="24"/>
        </w:rPr>
        <w:t xml:space="preserve">cadre de l'agropole de </w:t>
      </w:r>
      <w:proofErr w:type="spellStart"/>
      <w:r w:rsidRPr="00577375">
        <w:rPr>
          <w:rFonts w:eastAsia="Calibri"/>
          <w:szCs w:val="24"/>
        </w:rPr>
        <w:t>Samandéni</w:t>
      </w:r>
      <w:proofErr w:type="spellEnd"/>
      <w:r w:rsidRPr="00577375">
        <w:rPr>
          <w:rFonts w:eastAsia="Calibri"/>
          <w:szCs w:val="24"/>
        </w:rPr>
        <w:t xml:space="preserve">. A fin décembre, quatre sessions ordinaires et deux sessions extraordinaires du Groupe technique de suivi de la préparation de l'agropole de </w:t>
      </w:r>
      <w:proofErr w:type="spellStart"/>
      <w:r w:rsidRPr="00577375">
        <w:rPr>
          <w:rFonts w:eastAsia="Calibri"/>
          <w:szCs w:val="24"/>
        </w:rPr>
        <w:t>Samendeni</w:t>
      </w:r>
      <w:proofErr w:type="spellEnd"/>
      <w:r w:rsidRPr="00577375">
        <w:rPr>
          <w:rFonts w:eastAsia="Calibri"/>
          <w:szCs w:val="24"/>
        </w:rPr>
        <w:t xml:space="preserve"> ont été tenues. En outre, sept (07) études sont entièrement réalisées. Deux études sont en cours notamment l’élaboration du Schéma </w:t>
      </w:r>
      <w:r w:rsidRPr="00577375">
        <w:rPr>
          <w:rFonts w:eastAsia="Calibri"/>
          <w:szCs w:val="24"/>
        </w:rPr>
        <w:lastRenderedPageBreak/>
        <w:t>directeur d’aménagement (SDA) de l’agropole et l’établissement de la situation de référence environnementale de l’agropole.</w:t>
      </w:r>
    </w:p>
    <w:p w14:paraId="126DBAE6" w14:textId="5C29FBE3"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Sur le plan budgétaire, le taux d’exécution financière est de 100% car tous les 43</w:t>
      </w:r>
      <w:r w:rsidR="00560D37">
        <w:rPr>
          <w:rFonts w:eastAsia="Calibri"/>
          <w:szCs w:val="24"/>
        </w:rPr>
        <w:t> </w:t>
      </w:r>
      <w:r w:rsidRPr="00577375">
        <w:rPr>
          <w:rFonts w:eastAsia="Calibri"/>
          <w:szCs w:val="24"/>
        </w:rPr>
        <w:t>300</w:t>
      </w:r>
      <w:r w:rsidR="00560D37" w:rsidRPr="00056445">
        <w:rPr>
          <w:rFonts w:eastAsia="Calibri"/>
          <w:szCs w:val="24"/>
        </w:rPr>
        <w:t>°</w:t>
      </w:r>
      <w:r w:rsidRPr="00577375">
        <w:rPr>
          <w:rFonts w:eastAsia="Calibri"/>
          <w:szCs w:val="24"/>
        </w:rPr>
        <w:t>000 FCFA ont été entièrement dépensé</w:t>
      </w:r>
      <w:r w:rsidR="00560D37">
        <w:rPr>
          <w:rFonts w:eastAsia="Calibri"/>
          <w:szCs w:val="24"/>
        </w:rPr>
        <w:t>s</w:t>
      </w:r>
      <w:r w:rsidRPr="00577375">
        <w:rPr>
          <w:rFonts w:eastAsia="Calibri"/>
          <w:szCs w:val="24"/>
        </w:rPr>
        <w:t>.</w:t>
      </w:r>
    </w:p>
    <w:p w14:paraId="16A7D4EF" w14:textId="7777777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La troisième action est relative à </w:t>
      </w:r>
      <w:r w:rsidRPr="008139E1">
        <w:rPr>
          <w:rFonts w:eastAsia="Calibri"/>
          <w:b/>
          <w:szCs w:val="24"/>
        </w:rPr>
        <w:t>la réforme du dispositif de financement de la décentralisation (03048)</w:t>
      </w:r>
      <w:r w:rsidRPr="00577375">
        <w:rPr>
          <w:rFonts w:eastAsia="Calibri"/>
          <w:szCs w:val="24"/>
        </w:rPr>
        <w:t xml:space="preserve"> avec pour cible de porter la part du budget de l’Etat transférée aux collectivités territoriales à 15%. A fin décembre 2023, cette cible a été atteinte, car la valeur de l’indicateur est ressortie à 15,45%.</w:t>
      </w:r>
    </w:p>
    <w:p w14:paraId="3FA0A453" w14:textId="7777777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Trois (03) indicateurs de produits sur quatre (04) ont atteint leur cible à fin décembre 2023.Les avancées concernent entre autres : (i) l'adhésion de l’ADCT au réseau des institutions africaines du financement des CT (RIAFCO) et (ii) la disponibilité du guide sur les techniques de négociation et de mobilisation des ressources extérieures au profit des collectivités territoriales. </w:t>
      </w:r>
    </w:p>
    <w:p w14:paraId="10CCD348" w14:textId="310D8AE1" w:rsidR="00577375" w:rsidRPr="00F175A7" w:rsidRDefault="004919C6" w:rsidP="00577375">
      <w:pPr>
        <w:pBdr>
          <w:top w:val="nil"/>
          <w:left w:val="nil"/>
          <w:bottom w:val="nil"/>
          <w:right w:val="nil"/>
          <w:between w:val="nil"/>
        </w:pBdr>
        <w:spacing w:after="200" w:line="240" w:lineRule="auto"/>
        <w:rPr>
          <w:rFonts w:cs="Merriweather"/>
          <w:iCs/>
          <w:sz w:val="22"/>
        </w:rPr>
      </w:pPr>
      <w:bookmarkStart w:id="107" w:name="_Toc164503635"/>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48</w:t>
      </w:r>
      <w:r w:rsidRPr="00B51145">
        <w:rPr>
          <w:b/>
          <w:bCs/>
          <w:sz w:val="22"/>
          <w:u w:val="single"/>
        </w:rPr>
        <w:fldChar w:fldCharType="end"/>
      </w:r>
      <w:r w:rsidR="00577375" w:rsidRPr="008D20C6">
        <w:rPr>
          <w:rFonts w:cs="Merriweather"/>
          <w:iCs/>
          <w:color w:val="44546A"/>
          <w:sz w:val="22"/>
        </w:rPr>
        <w:t xml:space="preserve">: </w:t>
      </w:r>
      <w:r w:rsidR="00751F8E">
        <w:rPr>
          <w:rFonts w:cs="Merriweather"/>
          <w:iCs/>
          <w:sz w:val="22"/>
        </w:rPr>
        <w:t>s</w:t>
      </w:r>
      <w:r w:rsidR="00577375" w:rsidRPr="00F175A7">
        <w:rPr>
          <w:rFonts w:cs="Merriweather"/>
          <w:iCs/>
          <w:sz w:val="22"/>
        </w:rPr>
        <w:t>ituation des indicateurs de produit</w:t>
      </w:r>
      <w:r w:rsidR="00560D37">
        <w:rPr>
          <w:rFonts w:cs="Merriweather"/>
          <w:iCs/>
          <w:sz w:val="22"/>
        </w:rPr>
        <w:t>s</w:t>
      </w:r>
      <w:r w:rsidR="00577375" w:rsidRPr="00F175A7">
        <w:rPr>
          <w:rFonts w:cs="Merriweather"/>
          <w:iCs/>
          <w:sz w:val="22"/>
        </w:rPr>
        <w:t xml:space="preserve"> de l’action « réforme du dispositif de financement de la décentralisation »</w:t>
      </w:r>
      <w:bookmarkEnd w:id="107"/>
    </w:p>
    <w:tbl>
      <w:tblPr>
        <w:tblStyle w:val="GridTable4-Accent111"/>
        <w:tblW w:w="5000" w:type="pct"/>
        <w:tblLook w:val="04A0" w:firstRow="1" w:lastRow="0" w:firstColumn="1" w:lastColumn="0" w:noHBand="0" w:noVBand="1"/>
      </w:tblPr>
      <w:tblGrid>
        <w:gridCol w:w="5396"/>
        <w:gridCol w:w="1170"/>
        <w:gridCol w:w="1260"/>
        <w:gridCol w:w="1190"/>
      </w:tblGrid>
      <w:tr w:rsidR="003D2260" w:rsidRPr="003D2260" w14:paraId="4D90A188" w14:textId="77777777" w:rsidTr="00F175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1CD21D71" w14:textId="21AFD9DD" w:rsidR="00577375" w:rsidRPr="003D2260" w:rsidRDefault="00577375" w:rsidP="00F175A7">
            <w:pPr>
              <w:spacing w:after="0" w:line="240" w:lineRule="auto"/>
              <w:rPr>
                <w:sz w:val="22"/>
              </w:rPr>
            </w:pPr>
            <w:r w:rsidRPr="003D2260">
              <w:rPr>
                <w:sz w:val="22"/>
              </w:rPr>
              <w:t xml:space="preserve">Indicateurs </w:t>
            </w:r>
          </w:p>
        </w:tc>
        <w:tc>
          <w:tcPr>
            <w:tcW w:w="649" w:type="pct"/>
            <w:shd w:val="clear" w:color="auto" w:fill="4472C4" w:themeFill="accent1"/>
          </w:tcPr>
          <w:p w14:paraId="43C038F0"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2020</w:t>
            </w:r>
          </w:p>
        </w:tc>
        <w:tc>
          <w:tcPr>
            <w:tcW w:w="699" w:type="pct"/>
            <w:shd w:val="clear" w:color="auto" w:fill="4472C4" w:themeFill="accent1"/>
          </w:tcPr>
          <w:p w14:paraId="40553491"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2023</w:t>
            </w:r>
          </w:p>
        </w:tc>
        <w:tc>
          <w:tcPr>
            <w:tcW w:w="660" w:type="pct"/>
            <w:shd w:val="clear" w:color="auto" w:fill="4472C4" w:themeFill="accent1"/>
          </w:tcPr>
          <w:p w14:paraId="1FCE6F4D"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Cible 2023</w:t>
            </w:r>
          </w:p>
        </w:tc>
      </w:tr>
      <w:tr w:rsidR="003D2260" w:rsidRPr="003D2260" w14:paraId="3283BA24" w14:textId="77777777" w:rsidTr="003D22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92" w:type="pct"/>
          </w:tcPr>
          <w:p w14:paraId="4091BFF7" w14:textId="77777777" w:rsidR="00577375" w:rsidRPr="003D2260" w:rsidRDefault="00577375" w:rsidP="00F175A7">
            <w:pPr>
              <w:spacing w:after="0" w:line="240" w:lineRule="auto"/>
              <w:rPr>
                <w:sz w:val="22"/>
              </w:rPr>
            </w:pPr>
            <w:r w:rsidRPr="003D2260">
              <w:rPr>
                <w:color w:val="000000"/>
                <w:sz w:val="22"/>
              </w:rPr>
              <w:t xml:space="preserve">Disponibilité d’un arrêté conjoint de répartition des ressources au profit des CT </w:t>
            </w:r>
          </w:p>
        </w:tc>
        <w:tc>
          <w:tcPr>
            <w:tcW w:w="649" w:type="pct"/>
          </w:tcPr>
          <w:p w14:paraId="327E2D3D"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699" w:type="pct"/>
          </w:tcPr>
          <w:p w14:paraId="2D9A5414"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660" w:type="pct"/>
          </w:tcPr>
          <w:p w14:paraId="149851B8"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r>
      <w:tr w:rsidR="00577375" w:rsidRPr="003D2260" w14:paraId="4C8170B4" w14:textId="77777777" w:rsidTr="003D2260">
        <w:trPr>
          <w:trHeight w:val="252"/>
        </w:trPr>
        <w:tc>
          <w:tcPr>
            <w:cnfStyle w:val="001000000000" w:firstRow="0" w:lastRow="0" w:firstColumn="1" w:lastColumn="0" w:oddVBand="0" w:evenVBand="0" w:oddHBand="0" w:evenHBand="0" w:firstRowFirstColumn="0" w:firstRowLastColumn="0" w:lastRowFirstColumn="0" w:lastRowLastColumn="0"/>
            <w:tcW w:w="2992" w:type="pct"/>
          </w:tcPr>
          <w:p w14:paraId="0288B6B2" w14:textId="51B10FA1" w:rsidR="00577375" w:rsidRPr="003D2260" w:rsidRDefault="00577375" w:rsidP="00F175A7">
            <w:pPr>
              <w:spacing w:after="0" w:line="240" w:lineRule="auto"/>
              <w:rPr>
                <w:sz w:val="22"/>
              </w:rPr>
            </w:pPr>
            <w:r w:rsidRPr="003D2260">
              <w:rPr>
                <w:sz w:val="22"/>
              </w:rPr>
              <w:t>Adhésion de l’Agence nationale d’appui au développement des collectivités territoriales (ADCT) aux réseaux internationaux de financement</w:t>
            </w:r>
          </w:p>
        </w:tc>
        <w:tc>
          <w:tcPr>
            <w:tcW w:w="649" w:type="pct"/>
          </w:tcPr>
          <w:p w14:paraId="51D5864E"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Non</w:t>
            </w:r>
          </w:p>
        </w:tc>
        <w:tc>
          <w:tcPr>
            <w:tcW w:w="699" w:type="pct"/>
          </w:tcPr>
          <w:p w14:paraId="078E4EA9"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Oui</w:t>
            </w:r>
          </w:p>
        </w:tc>
        <w:tc>
          <w:tcPr>
            <w:tcW w:w="660" w:type="pct"/>
          </w:tcPr>
          <w:p w14:paraId="796C5839"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Oui</w:t>
            </w:r>
          </w:p>
        </w:tc>
      </w:tr>
      <w:tr w:rsidR="003D2260" w:rsidRPr="003D2260" w14:paraId="37B1C073" w14:textId="77777777" w:rsidTr="003D226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992" w:type="pct"/>
          </w:tcPr>
          <w:p w14:paraId="1CCD75BF" w14:textId="77777777" w:rsidR="00577375" w:rsidRPr="003D2260" w:rsidRDefault="00577375" w:rsidP="00F175A7">
            <w:pPr>
              <w:spacing w:after="0" w:line="240" w:lineRule="auto"/>
              <w:rPr>
                <w:sz w:val="22"/>
              </w:rPr>
            </w:pPr>
            <w:r w:rsidRPr="003D2260">
              <w:rPr>
                <w:sz w:val="22"/>
              </w:rPr>
              <w:t>Disponibilité d’un guide sur les techniques de négociation et de mobilisation des ressources extérieures au profit des collectivités territoriales</w:t>
            </w:r>
          </w:p>
        </w:tc>
        <w:tc>
          <w:tcPr>
            <w:tcW w:w="649" w:type="pct"/>
          </w:tcPr>
          <w:p w14:paraId="112AD763"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699" w:type="pct"/>
          </w:tcPr>
          <w:p w14:paraId="3395B0E1"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660" w:type="pct"/>
          </w:tcPr>
          <w:p w14:paraId="10AF7F42"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r>
      <w:tr w:rsidR="00577375" w:rsidRPr="003D2260" w14:paraId="409FAAFC" w14:textId="77777777" w:rsidTr="003D2260">
        <w:trPr>
          <w:trHeight w:val="252"/>
        </w:trPr>
        <w:tc>
          <w:tcPr>
            <w:cnfStyle w:val="001000000000" w:firstRow="0" w:lastRow="0" w:firstColumn="1" w:lastColumn="0" w:oddVBand="0" w:evenVBand="0" w:oddHBand="0" w:evenHBand="0" w:firstRowFirstColumn="0" w:firstRowLastColumn="0" w:lastRowFirstColumn="0" w:lastRowLastColumn="0"/>
            <w:tcW w:w="2992" w:type="pct"/>
          </w:tcPr>
          <w:p w14:paraId="3930BB78" w14:textId="10B16E01" w:rsidR="00577375" w:rsidRPr="003D2260" w:rsidRDefault="00577375" w:rsidP="00F175A7">
            <w:pPr>
              <w:spacing w:after="0" w:line="240" w:lineRule="auto"/>
              <w:rPr>
                <w:sz w:val="22"/>
              </w:rPr>
            </w:pPr>
            <w:r w:rsidRPr="003D2260">
              <w:rPr>
                <w:sz w:val="22"/>
              </w:rPr>
              <w:t xml:space="preserve">Disponibilité d’une plateforme de diffusion des outils au profit des </w:t>
            </w:r>
            <w:r w:rsidR="00560D37">
              <w:rPr>
                <w:sz w:val="22"/>
              </w:rPr>
              <w:t>c</w:t>
            </w:r>
            <w:r w:rsidRPr="003D2260">
              <w:rPr>
                <w:sz w:val="22"/>
              </w:rPr>
              <w:t>ollectivités territoriales (une banque d'outils).</w:t>
            </w:r>
          </w:p>
        </w:tc>
        <w:tc>
          <w:tcPr>
            <w:tcW w:w="649" w:type="pct"/>
          </w:tcPr>
          <w:p w14:paraId="1D94AD35"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99" w:type="pct"/>
          </w:tcPr>
          <w:p w14:paraId="6BC59016"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0</w:t>
            </w:r>
          </w:p>
        </w:tc>
        <w:tc>
          <w:tcPr>
            <w:tcW w:w="660" w:type="pct"/>
          </w:tcPr>
          <w:p w14:paraId="153580EC"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w:t>
            </w:r>
          </w:p>
        </w:tc>
      </w:tr>
    </w:tbl>
    <w:p w14:paraId="486F69CD" w14:textId="43734237" w:rsidR="00577375" w:rsidRPr="00E31E23" w:rsidRDefault="00577375" w:rsidP="00577375">
      <w:pPr>
        <w:rPr>
          <w:sz w:val="20"/>
          <w:szCs w:val="20"/>
        </w:rPr>
      </w:pPr>
      <w:r w:rsidRPr="00E31E23">
        <w:rPr>
          <w:b/>
          <w:sz w:val="20"/>
          <w:szCs w:val="20"/>
          <w:u w:val="single"/>
        </w:rPr>
        <w:t>Source</w:t>
      </w:r>
      <w:r w:rsidRPr="00E31E23">
        <w:rPr>
          <w:sz w:val="20"/>
          <w:szCs w:val="20"/>
        </w:rPr>
        <w:t xml:space="preserve"> : rapport </w:t>
      </w:r>
      <w:r w:rsidR="00287D1E">
        <w:rPr>
          <w:sz w:val="20"/>
          <w:szCs w:val="20"/>
        </w:rPr>
        <w:t>annuel de performance</w:t>
      </w:r>
      <w:r w:rsidR="00654CE3">
        <w:rPr>
          <w:sz w:val="20"/>
          <w:szCs w:val="20"/>
        </w:rPr>
        <w:t xml:space="preserve"> </w:t>
      </w:r>
      <w:r w:rsidRPr="00E31E23">
        <w:rPr>
          <w:sz w:val="20"/>
          <w:szCs w:val="20"/>
        </w:rPr>
        <w:t>2023 du CSD-GE, février 2024</w:t>
      </w:r>
      <w:r w:rsidRPr="00E31E23">
        <w:t xml:space="preserve"> </w:t>
      </w:r>
    </w:p>
    <w:p w14:paraId="753AB8A8" w14:textId="77777777" w:rsidR="00577375" w:rsidRPr="006C61D4"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 Le taux d’exécution financière de l’action est ressorti à 65,67%. En effet, sur une prévision de vingt-huit millions </w:t>
      </w:r>
      <w:r w:rsidRPr="006C61D4">
        <w:rPr>
          <w:rFonts w:eastAsia="Calibri"/>
          <w:szCs w:val="24"/>
        </w:rPr>
        <w:t>cent quarante-huit mille (28 148 000) FCFA, les dépenses exécutées s’élèvent à dix-huit millions quatre cent quatre-vingt-six mille (18 486 000) FCFA.</w:t>
      </w:r>
    </w:p>
    <w:p w14:paraId="68CB0768" w14:textId="1CA992A2" w:rsidR="00577375" w:rsidRPr="008139E1" w:rsidRDefault="00577375" w:rsidP="00F175A7">
      <w:pPr>
        <w:numPr>
          <w:ilvl w:val="0"/>
          <w:numId w:val="8"/>
        </w:numPr>
        <w:shd w:val="clear" w:color="auto" w:fill="FFFFFF"/>
        <w:spacing w:before="120" w:after="120" w:line="240" w:lineRule="auto"/>
        <w:ind w:left="0"/>
        <w:rPr>
          <w:rFonts w:eastAsia="Calibri"/>
          <w:szCs w:val="24"/>
        </w:rPr>
      </w:pPr>
      <w:r w:rsidRPr="006C61D4">
        <w:rPr>
          <w:rFonts w:eastAsia="Calibri"/>
          <w:szCs w:val="24"/>
        </w:rPr>
        <w:t xml:space="preserve">La quatrième action a trait à </w:t>
      </w:r>
      <w:r w:rsidRPr="008139E1">
        <w:rPr>
          <w:rFonts w:eastAsia="Calibri"/>
          <w:b/>
          <w:szCs w:val="24"/>
        </w:rPr>
        <w:t>l’amélioration de la gouvernance des collectivités territoriales (03044)</w:t>
      </w:r>
      <w:r w:rsidRPr="006C61D4">
        <w:rPr>
          <w:rFonts w:eastAsia="Calibri"/>
          <w:szCs w:val="24"/>
        </w:rPr>
        <w:t xml:space="preserve"> et appréciée par le </w:t>
      </w:r>
      <w:r w:rsidRPr="008139E1">
        <w:rPr>
          <w:rFonts w:eastAsia="Calibri"/>
          <w:szCs w:val="24"/>
        </w:rPr>
        <w:t xml:space="preserve">niveau de satisfaction des populations sur la gestion des délégations spéciales » </w:t>
      </w:r>
      <w:r w:rsidR="006C61D4" w:rsidRPr="008139E1">
        <w:rPr>
          <w:rFonts w:eastAsia="Calibri"/>
          <w:szCs w:val="24"/>
        </w:rPr>
        <w:t>qui est non disponible au 31 décembre 2023.</w:t>
      </w:r>
    </w:p>
    <w:p w14:paraId="4FE7FCB8" w14:textId="70F8D011"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6C61D4">
        <w:rPr>
          <w:rFonts w:eastAsia="Calibri"/>
          <w:szCs w:val="24"/>
        </w:rPr>
        <w:t>Concernant l’exécution des extrants, seul le plan de communication</w:t>
      </w:r>
      <w:r w:rsidRPr="00577375">
        <w:rPr>
          <w:rFonts w:eastAsia="Calibri"/>
          <w:szCs w:val="24"/>
        </w:rPr>
        <w:t xml:space="preserve"> de soutien à la décentralisation a été </w:t>
      </w:r>
      <w:proofErr w:type="spellStart"/>
      <w:r w:rsidRPr="00577375">
        <w:rPr>
          <w:rFonts w:eastAsia="Calibri"/>
          <w:szCs w:val="24"/>
        </w:rPr>
        <w:t>disponibilisé</w:t>
      </w:r>
      <w:proofErr w:type="spellEnd"/>
      <w:r w:rsidRPr="00577375">
        <w:rPr>
          <w:rFonts w:eastAsia="Calibri"/>
          <w:szCs w:val="24"/>
        </w:rPr>
        <w:t xml:space="preserve">. Néanmoins, deux (02) ateliers de réflexion sur l’opérationnalisation de l’initiative commune modèle ont été tenus. Les ateliers ont permis d’examiner, de caractériser et de stabiliser les indicateurs de suivi de l’initiative. Aussi, les projets de la SND et de son plan d’actions triennal sont disponibles et ont été transmis à la Commission </w:t>
      </w:r>
      <w:r w:rsidR="00560D37">
        <w:rPr>
          <w:rFonts w:eastAsia="Calibri"/>
          <w:szCs w:val="24"/>
        </w:rPr>
        <w:t>n</w:t>
      </w:r>
      <w:r w:rsidRPr="00577375">
        <w:rPr>
          <w:rFonts w:eastAsia="Calibri"/>
          <w:szCs w:val="24"/>
        </w:rPr>
        <w:t xml:space="preserve">ationale de la </w:t>
      </w:r>
      <w:r w:rsidR="00560D37">
        <w:rPr>
          <w:rFonts w:eastAsia="Calibri"/>
          <w:szCs w:val="24"/>
        </w:rPr>
        <w:t>p</w:t>
      </w:r>
      <w:r w:rsidRPr="00577375">
        <w:rPr>
          <w:rFonts w:eastAsia="Calibri"/>
          <w:szCs w:val="24"/>
        </w:rPr>
        <w:t xml:space="preserve">lanification du </w:t>
      </w:r>
      <w:r w:rsidR="00560D37">
        <w:rPr>
          <w:rFonts w:eastAsia="Calibri"/>
          <w:szCs w:val="24"/>
        </w:rPr>
        <w:t>d</w:t>
      </w:r>
      <w:r w:rsidRPr="00577375">
        <w:rPr>
          <w:rFonts w:eastAsia="Calibri"/>
          <w:szCs w:val="24"/>
        </w:rPr>
        <w:t>éveloppement pour examen.</w:t>
      </w:r>
    </w:p>
    <w:p w14:paraId="11D6F3D1" w14:textId="7F148C1E" w:rsid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lastRenderedPageBreak/>
        <w:t xml:space="preserve">La situation de mise en œuvre des produits de l’action est consignée dans le tableau ci-dessous. </w:t>
      </w:r>
    </w:p>
    <w:p w14:paraId="7E544BA6" w14:textId="4DE0A433" w:rsidR="00577375" w:rsidRPr="00F175A7" w:rsidRDefault="00DE0C4D" w:rsidP="00577375">
      <w:pPr>
        <w:pBdr>
          <w:top w:val="nil"/>
          <w:left w:val="nil"/>
          <w:bottom w:val="nil"/>
          <w:right w:val="nil"/>
          <w:between w:val="nil"/>
        </w:pBdr>
        <w:spacing w:after="200" w:line="240" w:lineRule="auto"/>
        <w:rPr>
          <w:rFonts w:cs="Merriweather"/>
          <w:iCs/>
          <w:sz w:val="22"/>
        </w:rPr>
      </w:pPr>
      <w:bookmarkStart w:id="108" w:name="_Toc164503636"/>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49</w:t>
      </w:r>
      <w:r w:rsidRPr="00B51145">
        <w:rPr>
          <w:b/>
          <w:bCs/>
          <w:sz w:val="22"/>
          <w:u w:val="single"/>
        </w:rPr>
        <w:fldChar w:fldCharType="end"/>
      </w:r>
      <w:r w:rsidR="00577375" w:rsidRPr="008D20C6">
        <w:rPr>
          <w:rFonts w:cs="Merriweather"/>
          <w:iCs/>
          <w:color w:val="44546A"/>
          <w:sz w:val="22"/>
        </w:rPr>
        <w:t xml:space="preserve">: </w:t>
      </w:r>
      <w:r w:rsidR="00577375" w:rsidRPr="00F175A7">
        <w:rPr>
          <w:rFonts w:cs="Merriweather"/>
          <w:iCs/>
          <w:sz w:val="22"/>
        </w:rPr>
        <w:t>situation des indicateurs de produits de l'action « amélioration de la gouvernance des collectivités territoriales » au 31 décembre 2023</w:t>
      </w:r>
      <w:bookmarkEnd w:id="108"/>
    </w:p>
    <w:tbl>
      <w:tblPr>
        <w:tblStyle w:val="TableauGrille4-Accentuation12"/>
        <w:tblW w:w="0" w:type="auto"/>
        <w:tblLook w:val="04A0" w:firstRow="1" w:lastRow="0" w:firstColumn="1" w:lastColumn="0" w:noHBand="0" w:noVBand="1"/>
      </w:tblPr>
      <w:tblGrid>
        <w:gridCol w:w="5395"/>
        <w:gridCol w:w="1170"/>
        <w:gridCol w:w="1260"/>
        <w:gridCol w:w="1191"/>
      </w:tblGrid>
      <w:tr w:rsidR="00577375" w:rsidRPr="003D2260" w14:paraId="7DFB0F76" w14:textId="77777777" w:rsidTr="00E5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2E71E63" w14:textId="1D58AF89" w:rsidR="00577375" w:rsidRPr="003D2260" w:rsidRDefault="00577375" w:rsidP="00F175A7">
            <w:pPr>
              <w:spacing w:after="0" w:line="240" w:lineRule="auto"/>
              <w:rPr>
                <w:rFonts w:cs="Merriweather"/>
                <w:iCs/>
                <w:color w:val="44546A"/>
              </w:rPr>
            </w:pPr>
            <w:r w:rsidRPr="003D2260">
              <w:t>Indicateur</w:t>
            </w:r>
            <w:r w:rsidR="00654CE3">
              <w:t>s</w:t>
            </w:r>
            <w:r w:rsidRPr="003D2260">
              <w:t xml:space="preserve"> </w:t>
            </w:r>
          </w:p>
        </w:tc>
        <w:tc>
          <w:tcPr>
            <w:tcW w:w="1170" w:type="dxa"/>
            <w:vAlign w:val="center"/>
          </w:tcPr>
          <w:p w14:paraId="778571D6"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cs="Merriweather"/>
                <w:iCs/>
                <w:color w:val="44546A"/>
              </w:rPr>
            </w:pPr>
            <w:r w:rsidRPr="003D2260">
              <w:t>Réal. 2022</w:t>
            </w:r>
          </w:p>
        </w:tc>
        <w:tc>
          <w:tcPr>
            <w:tcW w:w="1260" w:type="dxa"/>
            <w:vAlign w:val="center"/>
          </w:tcPr>
          <w:p w14:paraId="556D0F96"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cs="Merriweather"/>
                <w:iCs/>
                <w:color w:val="44546A"/>
              </w:rPr>
            </w:pPr>
            <w:r w:rsidRPr="003D2260">
              <w:t>Réal. 2023</w:t>
            </w:r>
          </w:p>
        </w:tc>
        <w:tc>
          <w:tcPr>
            <w:tcW w:w="1191" w:type="dxa"/>
            <w:vAlign w:val="center"/>
          </w:tcPr>
          <w:p w14:paraId="53FBCD2D"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rFonts w:cs="Merriweather"/>
                <w:iCs/>
                <w:color w:val="44546A"/>
              </w:rPr>
            </w:pPr>
            <w:r w:rsidRPr="003D2260">
              <w:t>Cible 2023</w:t>
            </w:r>
          </w:p>
        </w:tc>
      </w:tr>
      <w:tr w:rsidR="00577375" w:rsidRPr="003D2260" w14:paraId="402C2B8A"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38D1316" w14:textId="77777777" w:rsidR="00577375" w:rsidRPr="003D2260" w:rsidRDefault="00577375" w:rsidP="00F175A7">
            <w:pPr>
              <w:spacing w:after="0" w:line="240" w:lineRule="auto"/>
              <w:rPr>
                <w:rFonts w:cs="Merriweather"/>
                <w:iCs/>
                <w:color w:val="44546A"/>
              </w:rPr>
            </w:pPr>
            <w:r w:rsidRPr="003D2260">
              <w:t xml:space="preserve">Niveau de mise en œuvre du programme </w:t>
            </w:r>
          </w:p>
        </w:tc>
        <w:tc>
          <w:tcPr>
            <w:tcW w:w="1170" w:type="dxa"/>
            <w:vAlign w:val="center"/>
          </w:tcPr>
          <w:p w14:paraId="7621F826"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w:t>
            </w:r>
          </w:p>
        </w:tc>
        <w:tc>
          <w:tcPr>
            <w:tcW w:w="1260" w:type="dxa"/>
            <w:vAlign w:val="center"/>
          </w:tcPr>
          <w:p w14:paraId="1039BCBF"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20%</w:t>
            </w:r>
          </w:p>
        </w:tc>
        <w:tc>
          <w:tcPr>
            <w:tcW w:w="1191" w:type="dxa"/>
            <w:vAlign w:val="center"/>
          </w:tcPr>
          <w:p w14:paraId="120AB771"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100</w:t>
            </w:r>
          </w:p>
        </w:tc>
      </w:tr>
      <w:tr w:rsidR="00577375" w:rsidRPr="003D2260" w14:paraId="6757657E" w14:textId="77777777" w:rsidTr="00E52836">
        <w:tc>
          <w:tcPr>
            <w:cnfStyle w:val="001000000000" w:firstRow="0" w:lastRow="0" w:firstColumn="1" w:lastColumn="0" w:oddVBand="0" w:evenVBand="0" w:oddHBand="0" w:evenHBand="0" w:firstRowFirstColumn="0" w:firstRowLastColumn="0" w:lastRowFirstColumn="0" w:lastRowLastColumn="0"/>
            <w:tcW w:w="5395" w:type="dxa"/>
            <w:vAlign w:val="center"/>
          </w:tcPr>
          <w:p w14:paraId="798F1D87" w14:textId="77777777" w:rsidR="00577375" w:rsidRPr="003D2260" w:rsidRDefault="00577375" w:rsidP="00F175A7">
            <w:pPr>
              <w:spacing w:after="0" w:line="240" w:lineRule="auto"/>
              <w:rPr>
                <w:rFonts w:cs="Merriweather"/>
                <w:iCs/>
                <w:color w:val="44546A"/>
              </w:rPr>
            </w:pPr>
            <w:r w:rsidRPr="003D2260">
              <w:t>Nombre de membres des délégations spéciales formés</w:t>
            </w:r>
          </w:p>
        </w:tc>
        <w:tc>
          <w:tcPr>
            <w:tcW w:w="1170" w:type="dxa"/>
            <w:vAlign w:val="center"/>
          </w:tcPr>
          <w:p w14:paraId="026CC06E"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6079</w:t>
            </w:r>
          </w:p>
        </w:tc>
        <w:tc>
          <w:tcPr>
            <w:tcW w:w="1260" w:type="dxa"/>
            <w:vAlign w:val="center"/>
          </w:tcPr>
          <w:p w14:paraId="211EDD28"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87</w:t>
            </w:r>
          </w:p>
        </w:tc>
        <w:tc>
          <w:tcPr>
            <w:tcW w:w="1191" w:type="dxa"/>
            <w:vAlign w:val="center"/>
          </w:tcPr>
          <w:p w14:paraId="38170CEB"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550</w:t>
            </w:r>
          </w:p>
        </w:tc>
      </w:tr>
      <w:tr w:rsidR="00577375" w:rsidRPr="003D2260" w14:paraId="0D0ECCA3"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1EDD6F9D" w14:textId="7B81199F" w:rsidR="00577375" w:rsidRPr="003D2260" w:rsidRDefault="00577375" w:rsidP="00F175A7">
            <w:pPr>
              <w:spacing w:after="0" w:line="240" w:lineRule="auto"/>
              <w:rPr>
                <w:rFonts w:cs="Merriweather"/>
                <w:iCs/>
                <w:color w:val="44546A"/>
              </w:rPr>
            </w:pPr>
            <w:r w:rsidRPr="003D2260">
              <w:t>Disponibilité de la loi</w:t>
            </w:r>
            <w:r w:rsidR="00C55372">
              <w:t xml:space="preserve"> de programmation financière des ressources à transférer aux CT</w:t>
            </w:r>
          </w:p>
        </w:tc>
        <w:tc>
          <w:tcPr>
            <w:tcW w:w="1170" w:type="dxa"/>
            <w:vAlign w:val="center"/>
          </w:tcPr>
          <w:p w14:paraId="300F8F89"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0</w:t>
            </w:r>
          </w:p>
        </w:tc>
        <w:tc>
          <w:tcPr>
            <w:tcW w:w="1260" w:type="dxa"/>
            <w:vAlign w:val="center"/>
          </w:tcPr>
          <w:p w14:paraId="600248C5"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0</w:t>
            </w:r>
          </w:p>
        </w:tc>
        <w:tc>
          <w:tcPr>
            <w:tcW w:w="1191" w:type="dxa"/>
            <w:vAlign w:val="center"/>
          </w:tcPr>
          <w:p w14:paraId="52AE8AC7"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1</w:t>
            </w:r>
          </w:p>
        </w:tc>
      </w:tr>
      <w:tr w:rsidR="00577375" w:rsidRPr="003D2260" w14:paraId="6890885A" w14:textId="77777777" w:rsidTr="00E52836">
        <w:tc>
          <w:tcPr>
            <w:cnfStyle w:val="001000000000" w:firstRow="0" w:lastRow="0" w:firstColumn="1" w:lastColumn="0" w:oddVBand="0" w:evenVBand="0" w:oddHBand="0" w:evenHBand="0" w:firstRowFirstColumn="0" w:firstRowLastColumn="0" w:lastRowFirstColumn="0" w:lastRowLastColumn="0"/>
            <w:tcW w:w="5395" w:type="dxa"/>
            <w:vAlign w:val="center"/>
          </w:tcPr>
          <w:p w14:paraId="0BCD429D" w14:textId="26D3DDF7" w:rsidR="00577375" w:rsidRPr="003D2260" w:rsidRDefault="00577375" w:rsidP="00F175A7">
            <w:pPr>
              <w:spacing w:after="0" w:line="240" w:lineRule="auto"/>
              <w:rPr>
                <w:rFonts w:cs="Merriweather"/>
                <w:iCs/>
                <w:color w:val="44546A"/>
              </w:rPr>
            </w:pPr>
            <w:r w:rsidRPr="003D2260">
              <w:t>Disponibilité du guide unique d'évaluation</w:t>
            </w:r>
            <w:r w:rsidR="00C55372">
              <w:t xml:space="preserve"> des performances des CT</w:t>
            </w:r>
          </w:p>
        </w:tc>
        <w:tc>
          <w:tcPr>
            <w:tcW w:w="1170" w:type="dxa"/>
            <w:vAlign w:val="center"/>
          </w:tcPr>
          <w:p w14:paraId="5C8139C1"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0</w:t>
            </w:r>
          </w:p>
        </w:tc>
        <w:tc>
          <w:tcPr>
            <w:tcW w:w="1260" w:type="dxa"/>
            <w:vAlign w:val="center"/>
          </w:tcPr>
          <w:p w14:paraId="64918E35"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0</w:t>
            </w:r>
          </w:p>
        </w:tc>
        <w:tc>
          <w:tcPr>
            <w:tcW w:w="1191" w:type="dxa"/>
            <w:vAlign w:val="center"/>
          </w:tcPr>
          <w:p w14:paraId="3F097313"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1</w:t>
            </w:r>
          </w:p>
        </w:tc>
      </w:tr>
      <w:tr w:rsidR="00577375" w:rsidRPr="003D2260" w14:paraId="678D28A9"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BCBC67B" w14:textId="77777777" w:rsidR="00577375" w:rsidRPr="003D2260" w:rsidRDefault="00577375" w:rsidP="00F175A7">
            <w:pPr>
              <w:spacing w:after="0" w:line="240" w:lineRule="auto"/>
              <w:rPr>
                <w:rFonts w:cs="Merriweather"/>
                <w:iCs/>
                <w:color w:val="44546A"/>
              </w:rPr>
            </w:pPr>
            <w:r w:rsidRPr="003D2260">
              <w:t xml:space="preserve">Disponibilité de la Stratégie nationale de décentralisation et son plan d'actions triennal </w:t>
            </w:r>
          </w:p>
        </w:tc>
        <w:tc>
          <w:tcPr>
            <w:tcW w:w="1170" w:type="dxa"/>
            <w:vAlign w:val="center"/>
          </w:tcPr>
          <w:p w14:paraId="238A11BC"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0</w:t>
            </w:r>
          </w:p>
        </w:tc>
        <w:tc>
          <w:tcPr>
            <w:tcW w:w="1260" w:type="dxa"/>
            <w:vAlign w:val="center"/>
          </w:tcPr>
          <w:p w14:paraId="02D723DB"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0</w:t>
            </w:r>
          </w:p>
        </w:tc>
        <w:tc>
          <w:tcPr>
            <w:tcW w:w="1191" w:type="dxa"/>
            <w:vAlign w:val="center"/>
          </w:tcPr>
          <w:p w14:paraId="128731C6"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cs="Merriweather"/>
                <w:iCs/>
                <w:color w:val="44546A"/>
              </w:rPr>
            </w:pPr>
            <w:r w:rsidRPr="003D2260">
              <w:t>2</w:t>
            </w:r>
          </w:p>
        </w:tc>
      </w:tr>
      <w:tr w:rsidR="00577375" w:rsidRPr="003D2260" w14:paraId="4D43B1B6" w14:textId="77777777" w:rsidTr="00E52836">
        <w:tc>
          <w:tcPr>
            <w:cnfStyle w:val="001000000000" w:firstRow="0" w:lastRow="0" w:firstColumn="1" w:lastColumn="0" w:oddVBand="0" w:evenVBand="0" w:oddHBand="0" w:evenHBand="0" w:firstRowFirstColumn="0" w:firstRowLastColumn="0" w:lastRowFirstColumn="0" w:lastRowLastColumn="0"/>
            <w:tcW w:w="5395" w:type="dxa"/>
            <w:vAlign w:val="center"/>
          </w:tcPr>
          <w:p w14:paraId="2D5DC0ED" w14:textId="77777777" w:rsidR="00577375" w:rsidRPr="003D2260" w:rsidRDefault="00577375" w:rsidP="00F175A7">
            <w:pPr>
              <w:spacing w:after="0" w:line="240" w:lineRule="auto"/>
              <w:rPr>
                <w:rFonts w:cs="Merriweather"/>
                <w:iCs/>
                <w:color w:val="44546A"/>
              </w:rPr>
            </w:pPr>
            <w:r w:rsidRPr="003D2260">
              <w:t>Disponibilité du plan de communication de soutien à la décentralisation</w:t>
            </w:r>
          </w:p>
        </w:tc>
        <w:tc>
          <w:tcPr>
            <w:tcW w:w="1170" w:type="dxa"/>
            <w:vAlign w:val="center"/>
          </w:tcPr>
          <w:p w14:paraId="00BEFC4C"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0</w:t>
            </w:r>
          </w:p>
        </w:tc>
        <w:tc>
          <w:tcPr>
            <w:tcW w:w="1260" w:type="dxa"/>
            <w:vAlign w:val="center"/>
          </w:tcPr>
          <w:p w14:paraId="39E1ABED"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1</w:t>
            </w:r>
          </w:p>
        </w:tc>
        <w:tc>
          <w:tcPr>
            <w:tcW w:w="1191" w:type="dxa"/>
            <w:vAlign w:val="center"/>
          </w:tcPr>
          <w:p w14:paraId="218D8568"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cs="Merriweather"/>
                <w:iCs/>
                <w:color w:val="44546A"/>
              </w:rPr>
            </w:pPr>
            <w:r w:rsidRPr="003D2260">
              <w:t>1</w:t>
            </w:r>
          </w:p>
        </w:tc>
      </w:tr>
    </w:tbl>
    <w:p w14:paraId="39055F2C" w14:textId="0053B916" w:rsidR="00577375" w:rsidRPr="00F175A7" w:rsidRDefault="00577375" w:rsidP="00577375">
      <w:pPr>
        <w:keepNext/>
        <w:pBdr>
          <w:top w:val="nil"/>
          <w:left w:val="nil"/>
          <w:bottom w:val="nil"/>
          <w:right w:val="nil"/>
          <w:between w:val="nil"/>
        </w:pBdr>
        <w:spacing w:before="120" w:after="200" w:line="240" w:lineRule="auto"/>
        <w:rPr>
          <w:rFonts w:cs="Merriweather"/>
          <w:color w:val="000000"/>
          <w:sz w:val="20"/>
          <w:szCs w:val="20"/>
        </w:rPr>
      </w:pPr>
      <w:bookmarkStart w:id="109" w:name="_heading=h.zu0gcz" w:colFirst="0" w:colLast="0"/>
      <w:bookmarkEnd w:id="109"/>
      <w:r w:rsidRPr="00F175A7">
        <w:rPr>
          <w:rFonts w:cs="Merriweather"/>
          <w:b/>
          <w:bCs/>
          <w:color w:val="000000"/>
          <w:sz w:val="20"/>
          <w:szCs w:val="20"/>
          <w:u w:val="single"/>
        </w:rPr>
        <w:t>Source</w:t>
      </w:r>
      <w:r w:rsidRPr="00F175A7">
        <w:rPr>
          <w:rFonts w:cs="Merriweather"/>
          <w:color w:val="000000"/>
          <w:sz w:val="20"/>
          <w:szCs w:val="20"/>
        </w:rPr>
        <w:t xml:space="preserve"> : rapport </w:t>
      </w:r>
      <w:r w:rsidR="00287D1E">
        <w:rPr>
          <w:rFonts w:cs="Merriweather"/>
          <w:color w:val="000000"/>
          <w:sz w:val="20"/>
          <w:szCs w:val="20"/>
        </w:rPr>
        <w:t xml:space="preserve">annuel </w:t>
      </w:r>
      <w:r w:rsidRPr="00F175A7">
        <w:rPr>
          <w:rFonts w:cs="Merriweather"/>
          <w:color w:val="000000"/>
          <w:sz w:val="20"/>
          <w:szCs w:val="20"/>
        </w:rPr>
        <w:t xml:space="preserve">de performance 2023 du CSD-GE, février 2024 </w:t>
      </w:r>
    </w:p>
    <w:p w14:paraId="1E20DC79" w14:textId="7777777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Sur une prévision financière de 240 000 000 FCFA, un montant de 63 021 899 F CFA a été dépensé, soit un taux d’exécution financière de 26,25%.</w:t>
      </w:r>
    </w:p>
    <w:p w14:paraId="6DB6DE5A" w14:textId="7777777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La cinquième action concerne </w:t>
      </w:r>
      <w:r w:rsidRPr="008139E1">
        <w:rPr>
          <w:rFonts w:eastAsia="Calibri"/>
          <w:b/>
          <w:szCs w:val="24"/>
        </w:rPr>
        <w:t>la réforme du code des collectivités territoriales (03045)</w:t>
      </w:r>
      <w:r w:rsidRPr="00577375">
        <w:rPr>
          <w:rFonts w:eastAsia="Calibri"/>
          <w:szCs w:val="24"/>
        </w:rPr>
        <w:t>. L’action est mesurée par la « disponibilité du nouveau code des CT ». Au 31 décembre 2023, ce nouveau code n’est pas disponible. Cependant, un avant-projet de la loi est disponible et est en attente de transmission à la commission technique de validation des lois pour examen.</w:t>
      </w:r>
    </w:p>
    <w:p w14:paraId="1B7D1F14" w14:textId="3703B1F5"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Pour la mise en œuvre de l’action, deux (02) indicateurs de produits sont attendus à savoir la « disponibilité de l’avant-projet du Code général des collectivités territoriales » et le « nombre de textes d'application adoptés ». Ces deux indicateurs n’ont pas atteint leurs cibles. Cependant, trois (03) rencontres avec les acteurs ont été tenues. Ces concertations ont permis de s’accorder sur l’élection des </w:t>
      </w:r>
      <w:r w:rsidR="00560D37">
        <w:rPr>
          <w:rFonts w:eastAsia="Calibri"/>
          <w:szCs w:val="24"/>
        </w:rPr>
        <w:t>p</w:t>
      </w:r>
      <w:r w:rsidRPr="00577375">
        <w:rPr>
          <w:rFonts w:eastAsia="Calibri"/>
          <w:szCs w:val="24"/>
        </w:rPr>
        <w:t>résidents des conseils de collectivité territoriale au suffrage universel direct. L’avant-projet d</w:t>
      </w:r>
      <w:r w:rsidR="00560D37">
        <w:rPr>
          <w:rFonts w:eastAsia="Calibri"/>
          <w:szCs w:val="24"/>
        </w:rPr>
        <w:t>u</w:t>
      </w:r>
      <w:r w:rsidRPr="00577375">
        <w:rPr>
          <w:rFonts w:eastAsia="Calibri"/>
          <w:szCs w:val="24"/>
        </w:rPr>
        <w:t xml:space="preserve"> CGCT a été finalisé et transmis au COTEVAL pour examen. Aussi, </w:t>
      </w:r>
      <w:r w:rsidR="00C55372">
        <w:rPr>
          <w:rFonts w:eastAsia="Calibri"/>
          <w:szCs w:val="24"/>
        </w:rPr>
        <w:t>Aussi, l</w:t>
      </w:r>
      <w:r w:rsidR="00C55372" w:rsidRPr="00577375">
        <w:rPr>
          <w:rFonts w:eastAsia="Calibri"/>
          <w:szCs w:val="24"/>
        </w:rPr>
        <w:t>’avant-projet d</w:t>
      </w:r>
      <w:r w:rsidR="00560D37">
        <w:rPr>
          <w:rFonts w:eastAsia="Calibri"/>
          <w:szCs w:val="24"/>
        </w:rPr>
        <w:t>u</w:t>
      </w:r>
      <w:r w:rsidR="00C55372" w:rsidRPr="00577375">
        <w:rPr>
          <w:rFonts w:eastAsia="Calibri"/>
          <w:szCs w:val="24"/>
        </w:rPr>
        <w:t xml:space="preserve"> CGCT </w:t>
      </w:r>
      <w:r w:rsidR="00C55372">
        <w:rPr>
          <w:rFonts w:eastAsia="Calibri"/>
          <w:szCs w:val="24"/>
        </w:rPr>
        <w:t xml:space="preserve">et </w:t>
      </w:r>
      <w:r w:rsidR="00C55372" w:rsidRPr="00577375">
        <w:rPr>
          <w:rFonts w:eastAsia="Calibri"/>
          <w:szCs w:val="24"/>
        </w:rPr>
        <w:t xml:space="preserve">vingt-deux (22) projets de décrets </w:t>
      </w:r>
      <w:r w:rsidR="00C55372">
        <w:rPr>
          <w:rFonts w:eastAsia="Calibri"/>
          <w:szCs w:val="24"/>
        </w:rPr>
        <w:t xml:space="preserve">y relatifs </w:t>
      </w:r>
      <w:r w:rsidR="00C55372" w:rsidRPr="00577375">
        <w:rPr>
          <w:rFonts w:eastAsia="Calibri"/>
          <w:szCs w:val="24"/>
        </w:rPr>
        <w:t>ont été élaborés</w:t>
      </w:r>
      <w:r w:rsidRPr="00577375">
        <w:rPr>
          <w:rFonts w:eastAsia="Calibri"/>
          <w:szCs w:val="24"/>
        </w:rPr>
        <w:t xml:space="preserve">. </w:t>
      </w:r>
    </w:p>
    <w:p w14:paraId="2A1E09D3" w14:textId="23CECC03"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Sur une prévision financière de 36 986 400 FCFA, un montant de 39 972 800 FCFA a été dépensé, soit un taux de 108,07%. Le processus a bénéficié d’un appui financier à hauteur de 15 000 000 F CFA du programme d’appui au </w:t>
      </w:r>
      <w:r w:rsidR="00560D37">
        <w:rPr>
          <w:rFonts w:eastAsia="Calibri"/>
          <w:szCs w:val="24"/>
        </w:rPr>
        <w:t>S</w:t>
      </w:r>
      <w:r w:rsidRPr="00577375">
        <w:rPr>
          <w:rFonts w:eastAsia="Calibri"/>
          <w:szCs w:val="24"/>
        </w:rPr>
        <w:t>ystème national de décentralisation (SYNAD).</w:t>
      </w:r>
    </w:p>
    <w:p w14:paraId="5D6BA909" w14:textId="0989D065"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La sixième action</w:t>
      </w:r>
      <w:r w:rsidR="00C55372">
        <w:rPr>
          <w:rFonts w:eastAsia="Calibri"/>
          <w:szCs w:val="24"/>
        </w:rPr>
        <w:t xml:space="preserve">, sectorielle, </w:t>
      </w:r>
      <w:r w:rsidRPr="00577375">
        <w:rPr>
          <w:rFonts w:eastAsia="Calibri"/>
          <w:szCs w:val="24"/>
        </w:rPr>
        <w:t xml:space="preserve">porte sur </w:t>
      </w:r>
      <w:r w:rsidRPr="00F175A7">
        <w:rPr>
          <w:rFonts w:eastAsia="Calibri"/>
          <w:b/>
          <w:szCs w:val="24"/>
        </w:rPr>
        <w:t>l’accroissement des ressources mobilisées au profit des CT</w:t>
      </w:r>
      <w:r w:rsidRPr="00577375">
        <w:rPr>
          <w:rFonts w:eastAsia="Calibri"/>
          <w:szCs w:val="24"/>
        </w:rPr>
        <w:t xml:space="preserve"> et est évaluée par le « taux d’accroissement des ressources des collectivités ». Les ressources financières prises en compte concernent les contributions et appuis des PTF, les droits de tirage, les dotations globales de fonctionnement et d’équipement et les taxes sur les produits pétroliers.</w:t>
      </w:r>
    </w:p>
    <w:p w14:paraId="06409FC1" w14:textId="29C8CE00"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lastRenderedPageBreak/>
        <w:t>Au 31 décembre 2023, le taux d’accroissement des ressources est de 19,75%. En effet, le montant est passé de 21</w:t>
      </w:r>
      <w:r w:rsidR="00560D37" w:rsidRPr="00056445">
        <w:rPr>
          <w:rFonts w:eastAsia="Calibri"/>
          <w:szCs w:val="24"/>
        </w:rPr>
        <w:t>°</w:t>
      </w:r>
      <w:r w:rsidRPr="00577375">
        <w:rPr>
          <w:rFonts w:eastAsia="Calibri"/>
          <w:szCs w:val="24"/>
        </w:rPr>
        <w:t>123</w:t>
      </w:r>
      <w:r w:rsidR="00560D37">
        <w:rPr>
          <w:rFonts w:eastAsia="Calibri"/>
          <w:szCs w:val="24"/>
        </w:rPr>
        <w:t> </w:t>
      </w:r>
      <w:r w:rsidRPr="00577375">
        <w:rPr>
          <w:rFonts w:eastAsia="Calibri"/>
          <w:szCs w:val="24"/>
        </w:rPr>
        <w:t>296</w:t>
      </w:r>
      <w:r w:rsidR="00560D37" w:rsidRPr="00056445">
        <w:rPr>
          <w:rFonts w:eastAsia="Calibri"/>
          <w:szCs w:val="24"/>
        </w:rPr>
        <w:t>°</w:t>
      </w:r>
      <w:r w:rsidRPr="00577375">
        <w:rPr>
          <w:rFonts w:eastAsia="Calibri"/>
          <w:szCs w:val="24"/>
        </w:rPr>
        <w:t>426 FCFA en 2022 à 25</w:t>
      </w:r>
      <w:r w:rsidR="00560D37" w:rsidRPr="00056445">
        <w:rPr>
          <w:rFonts w:eastAsia="Calibri"/>
          <w:szCs w:val="24"/>
        </w:rPr>
        <w:t>°</w:t>
      </w:r>
      <w:r w:rsidRPr="00577375">
        <w:rPr>
          <w:rFonts w:eastAsia="Calibri"/>
          <w:szCs w:val="24"/>
        </w:rPr>
        <w:t>294</w:t>
      </w:r>
      <w:r w:rsidR="00560D37">
        <w:rPr>
          <w:rFonts w:eastAsia="Calibri"/>
          <w:szCs w:val="24"/>
        </w:rPr>
        <w:t> </w:t>
      </w:r>
      <w:r w:rsidRPr="00577375">
        <w:rPr>
          <w:rFonts w:eastAsia="Calibri"/>
          <w:szCs w:val="24"/>
        </w:rPr>
        <w:t>405</w:t>
      </w:r>
      <w:r w:rsidR="00560D37" w:rsidRPr="00056445">
        <w:rPr>
          <w:rFonts w:eastAsia="Calibri"/>
          <w:szCs w:val="24"/>
        </w:rPr>
        <w:t>°</w:t>
      </w:r>
      <w:r w:rsidRPr="00577375">
        <w:rPr>
          <w:rFonts w:eastAsia="Calibri"/>
          <w:szCs w:val="24"/>
        </w:rPr>
        <w:t>035 FCFA en 2023. Le dépassement de la cible s’explique d’une part, par la mobilisation des contributions de l’Agence française de développement (AFD) et des nouvelles contributions provenant de la Coopération Suisse et d’autre part, par la prise en charge par l’Agence nationale d’appui au développement des collectivités territoriales (ADCT) de la répartition des ressources provenant des Dotations globales de fonctionnement et d’équipement (DGF/DGE) ainsi que les Taxes sur les produits pétroliers (TPP).</w:t>
      </w:r>
    </w:p>
    <w:p w14:paraId="783D6EA6" w14:textId="77777777"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Au 31 décembre 2023, sur les cinq (05) indicateurs des produits, quatre (04) ont atteint leurs cibles. </w:t>
      </w:r>
    </w:p>
    <w:p w14:paraId="67CAD7B4" w14:textId="179390F9"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S’agissant de la « disponibilité de la plate-forme de diffusion » </w:t>
      </w:r>
      <w:r w:rsidR="00C55372">
        <w:rPr>
          <w:sz w:val="22"/>
        </w:rPr>
        <w:t xml:space="preserve">d’outils au profit des </w:t>
      </w:r>
      <w:proofErr w:type="gramStart"/>
      <w:r w:rsidR="00C55372">
        <w:rPr>
          <w:sz w:val="22"/>
        </w:rPr>
        <w:t>CT</w:t>
      </w:r>
      <w:r w:rsidR="00C55372" w:rsidRPr="00577375">
        <w:rPr>
          <w:rFonts w:eastAsia="Calibri"/>
          <w:szCs w:val="24"/>
        </w:rPr>
        <w:t>»</w:t>
      </w:r>
      <w:proofErr w:type="gramEnd"/>
      <w:r w:rsidR="00C55372" w:rsidRPr="00577375">
        <w:rPr>
          <w:rFonts w:eastAsia="Calibri"/>
          <w:szCs w:val="24"/>
        </w:rPr>
        <w:t xml:space="preserve">, celle-ci n’a pu être </w:t>
      </w:r>
      <w:proofErr w:type="spellStart"/>
      <w:r w:rsidR="00C55372" w:rsidRPr="00DC63AF">
        <w:rPr>
          <w:rFonts w:eastAsia="Calibri"/>
          <w:szCs w:val="24"/>
        </w:rPr>
        <w:t>disponibilisée</w:t>
      </w:r>
      <w:proofErr w:type="spellEnd"/>
      <w:r w:rsidR="00C55372" w:rsidRPr="00DC63AF">
        <w:rPr>
          <w:rFonts w:eastAsia="Calibri"/>
          <w:szCs w:val="24"/>
        </w:rPr>
        <w:t xml:space="preserve"> </w:t>
      </w:r>
      <w:r w:rsidR="00C55372" w:rsidRPr="00345EBE">
        <w:rPr>
          <w:rFonts w:eastAsia="Calibri"/>
          <w:szCs w:val="24"/>
        </w:rPr>
        <w:t>du fait de la mobilisation en fin d’année du consultant</w:t>
      </w:r>
      <w:r w:rsidRPr="00577375">
        <w:rPr>
          <w:rFonts w:eastAsia="Calibri"/>
          <w:szCs w:val="24"/>
        </w:rPr>
        <w:t>. Cependant, la plate-forme a été conçue et des tests ont été réalisés. L’ADCT est en attente de la réception provisoire de la plate-forme.</w:t>
      </w:r>
    </w:p>
    <w:p w14:paraId="6BC208E7" w14:textId="60D38F42" w:rsidR="00577375" w:rsidRPr="00577375"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 xml:space="preserve">La situation des indicateurs de produits de l’action </w:t>
      </w:r>
      <w:r w:rsidR="00560D37">
        <w:rPr>
          <w:rFonts w:eastAsia="Calibri"/>
          <w:szCs w:val="24"/>
        </w:rPr>
        <w:t>est</w:t>
      </w:r>
      <w:r w:rsidRPr="00577375">
        <w:rPr>
          <w:rFonts w:eastAsia="Calibri"/>
          <w:szCs w:val="24"/>
        </w:rPr>
        <w:t xml:space="preserve"> consigné</w:t>
      </w:r>
      <w:r w:rsidR="00560D37">
        <w:rPr>
          <w:rFonts w:eastAsia="Calibri"/>
          <w:szCs w:val="24"/>
        </w:rPr>
        <w:t>e</w:t>
      </w:r>
      <w:r w:rsidRPr="00577375">
        <w:rPr>
          <w:rFonts w:eastAsia="Calibri"/>
          <w:szCs w:val="24"/>
        </w:rPr>
        <w:t xml:space="preserve"> dans le tableau ci-dessous.</w:t>
      </w:r>
    </w:p>
    <w:p w14:paraId="0DDC7112" w14:textId="749AB80F" w:rsidR="00577375" w:rsidRPr="008D20C6" w:rsidRDefault="00F56CE9" w:rsidP="00577375">
      <w:pPr>
        <w:spacing w:before="120" w:after="120"/>
        <w:rPr>
          <w:iCs/>
          <w:sz w:val="22"/>
        </w:rPr>
      </w:pPr>
      <w:bookmarkStart w:id="110" w:name="_Toc164503637"/>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50</w:t>
      </w:r>
      <w:r w:rsidRPr="00B51145">
        <w:rPr>
          <w:b/>
          <w:bCs/>
          <w:sz w:val="22"/>
          <w:u w:val="single"/>
        </w:rPr>
        <w:fldChar w:fldCharType="end"/>
      </w:r>
      <w:r w:rsidR="00577375" w:rsidRPr="008D20C6">
        <w:rPr>
          <w:iCs/>
          <w:sz w:val="22"/>
        </w:rPr>
        <w:t>: situation des indicateurs de produits de l'action « </w:t>
      </w:r>
      <w:r w:rsidR="00560D37">
        <w:rPr>
          <w:iCs/>
          <w:sz w:val="22"/>
        </w:rPr>
        <w:t>a</w:t>
      </w:r>
      <w:r w:rsidR="00577375" w:rsidRPr="008D20C6">
        <w:rPr>
          <w:iCs/>
          <w:sz w:val="22"/>
        </w:rPr>
        <w:t>ccroissement des ressources mobilisées au profit des CT » au 31 décembre 2023</w:t>
      </w:r>
      <w:bookmarkEnd w:id="110"/>
    </w:p>
    <w:tbl>
      <w:tblPr>
        <w:tblStyle w:val="GridTable4-Accent111"/>
        <w:tblW w:w="5000" w:type="pct"/>
        <w:tblLayout w:type="fixed"/>
        <w:tblLook w:val="04A0" w:firstRow="1" w:lastRow="0" w:firstColumn="1" w:lastColumn="0" w:noHBand="0" w:noVBand="1"/>
      </w:tblPr>
      <w:tblGrid>
        <w:gridCol w:w="4955"/>
        <w:gridCol w:w="1354"/>
        <w:gridCol w:w="1356"/>
        <w:gridCol w:w="1351"/>
      </w:tblGrid>
      <w:tr w:rsidR="00577375" w:rsidRPr="003D2260" w14:paraId="421721BB"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shd w:val="clear" w:color="auto" w:fill="4472C4" w:themeFill="accent1"/>
          </w:tcPr>
          <w:p w14:paraId="5CEA696C" w14:textId="10062F74" w:rsidR="00577375" w:rsidRPr="003D2260" w:rsidRDefault="00577375" w:rsidP="00F175A7">
            <w:pPr>
              <w:spacing w:after="0" w:line="240" w:lineRule="auto"/>
              <w:rPr>
                <w:sz w:val="22"/>
              </w:rPr>
            </w:pPr>
            <w:bookmarkStart w:id="111" w:name="_heading=h.1yyy98l" w:colFirst="0" w:colLast="0"/>
            <w:bookmarkEnd w:id="111"/>
            <w:r w:rsidRPr="003D2260">
              <w:rPr>
                <w:sz w:val="22"/>
              </w:rPr>
              <w:t>Indicateur</w:t>
            </w:r>
            <w:r w:rsidR="00011E82">
              <w:rPr>
                <w:sz w:val="22"/>
              </w:rPr>
              <w:t>s</w:t>
            </w:r>
            <w:r w:rsidRPr="003D2260">
              <w:rPr>
                <w:sz w:val="22"/>
              </w:rPr>
              <w:t xml:space="preserve"> </w:t>
            </w:r>
          </w:p>
        </w:tc>
        <w:tc>
          <w:tcPr>
            <w:tcW w:w="751" w:type="pct"/>
            <w:shd w:val="clear" w:color="auto" w:fill="4472C4" w:themeFill="accent1"/>
          </w:tcPr>
          <w:p w14:paraId="27DB42AE"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2022</w:t>
            </w:r>
          </w:p>
        </w:tc>
        <w:tc>
          <w:tcPr>
            <w:tcW w:w="752" w:type="pct"/>
            <w:shd w:val="clear" w:color="auto" w:fill="4472C4" w:themeFill="accent1"/>
          </w:tcPr>
          <w:p w14:paraId="2199DD03"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Réal. 2023</w:t>
            </w:r>
          </w:p>
        </w:tc>
        <w:tc>
          <w:tcPr>
            <w:tcW w:w="749" w:type="pct"/>
            <w:shd w:val="clear" w:color="auto" w:fill="4472C4" w:themeFill="accent1"/>
          </w:tcPr>
          <w:p w14:paraId="26C080BA" w14:textId="77777777" w:rsidR="00577375" w:rsidRPr="003D2260" w:rsidRDefault="00577375"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3D2260">
              <w:rPr>
                <w:sz w:val="22"/>
              </w:rPr>
              <w:t>Cible 2023</w:t>
            </w:r>
          </w:p>
        </w:tc>
      </w:tr>
      <w:tr w:rsidR="00577375" w:rsidRPr="003D2260" w14:paraId="6B28A0D9" w14:textId="77777777" w:rsidTr="005773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tcPr>
          <w:p w14:paraId="0C75EBB0" w14:textId="77777777" w:rsidR="00577375" w:rsidRPr="003D2260" w:rsidRDefault="00577375" w:rsidP="00F175A7">
            <w:pPr>
              <w:spacing w:after="0" w:line="240" w:lineRule="auto"/>
              <w:rPr>
                <w:sz w:val="22"/>
              </w:rPr>
            </w:pPr>
            <w:r w:rsidRPr="003D2260">
              <w:rPr>
                <w:sz w:val="22"/>
              </w:rPr>
              <w:t>Nombre de projets de CT financés</w:t>
            </w:r>
          </w:p>
        </w:tc>
        <w:tc>
          <w:tcPr>
            <w:tcW w:w="751" w:type="pct"/>
          </w:tcPr>
          <w:p w14:paraId="22DF6FDE" w14:textId="70AA83D2" w:rsidR="00577375" w:rsidRPr="008139E1" w:rsidRDefault="00C5537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8139E1">
              <w:rPr>
                <w:sz w:val="22"/>
              </w:rPr>
              <w:t>364</w:t>
            </w:r>
          </w:p>
        </w:tc>
        <w:tc>
          <w:tcPr>
            <w:tcW w:w="752" w:type="pct"/>
          </w:tcPr>
          <w:p w14:paraId="70D36293"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364</w:t>
            </w:r>
          </w:p>
        </w:tc>
        <w:tc>
          <w:tcPr>
            <w:tcW w:w="749" w:type="pct"/>
          </w:tcPr>
          <w:p w14:paraId="787993D1"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364</w:t>
            </w:r>
          </w:p>
        </w:tc>
      </w:tr>
      <w:tr w:rsidR="00577375" w:rsidRPr="003D2260" w14:paraId="17F20E71" w14:textId="77777777" w:rsidTr="00577375">
        <w:trPr>
          <w:trHeight w:val="20"/>
        </w:trPr>
        <w:tc>
          <w:tcPr>
            <w:cnfStyle w:val="001000000000" w:firstRow="0" w:lastRow="0" w:firstColumn="1" w:lastColumn="0" w:oddVBand="0" w:evenVBand="0" w:oddHBand="0" w:evenHBand="0" w:firstRowFirstColumn="0" w:firstRowLastColumn="0" w:lastRowFirstColumn="0" w:lastRowLastColumn="0"/>
            <w:tcW w:w="2747" w:type="pct"/>
          </w:tcPr>
          <w:p w14:paraId="10AFA2A4" w14:textId="77777777" w:rsidR="00577375" w:rsidRPr="003D2260" w:rsidRDefault="00577375" w:rsidP="00F175A7">
            <w:pPr>
              <w:spacing w:after="0" w:line="240" w:lineRule="auto"/>
              <w:rPr>
                <w:sz w:val="22"/>
              </w:rPr>
            </w:pPr>
            <w:r w:rsidRPr="003D2260">
              <w:rPr>
                <w:sz w:val="22"/>
              </w:rPr>
              <w:t xml:space="preserve">Nombre de sessions de cadre de concertation tenues </w:t>
            </w:r>
          </w:p>
        </w:tc>
        <w:tc>
          <w:tcPr>
            <w:tcW w:w="751" w:type="pct"/>
          </w:tcPr>
          <w:p w14:paraId="3CFF2028" w14:textId="77777777" w:rsidR="00577375" w:rsidRPr="008139E1"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8139E1">
              <w:rPr>
                <w:sz w:val="22"/>
              </w:rPr>
              <w:t>-</w:t>
            </w:r>
          </w:p>
        </w:tc>
        <w:tc>
          <w:tcPr>
            <w:tcW w:w="752" w:type="pct"/>
          </w:tcPr>
          <w:p w14:paraId="22816950"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w:t>
            </w:r>
          </w:p>
        </w:tc>
        <w:tc>
          <w:tcPr>
            <w:tcW w:w="749" w:type="pct"/>
          </w:tcPr>
          <w:p w14:paraId="59B1E02D"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w:t>
            </w:r>
          </w:p>
        </w:tc>
      </w:tr>
      <w:tr w:rsidR="00577375" w:rsidRPr="003D2260" w14:paraId="19E598A8" w14:textId="77777777" w:rsidTr="005773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tcPr>
          <w:p w14:paraId="3C20D4B3" w14:textId="07877E0D" w:rsidR="00577375" w:rsidRPr="003D2260" w:rsidRDefault="00577375" w:rsidP="00F175A7">
            <w:pPr>
              <w:spacing w:after="0" w:line="240" w:lineRule="auto"/>
              <w:rPr>
                <w:sz w:val="22"/>
              </w:rPr>
            </w:pPr>
            <w:r w:rsidRPr="003D2260">
              <w:rPr>
                <w:sz w:val="22"/>
              </w:rPr>
              <w:t>Disponibilité du guide</w:t>
            </w:r>
            <w:r w:rsidR="00C55372" w:rsidRPr="004D715C">
              <w:rPr>
                <w:sz w:val="22"/>
              </w:rPr>
              <w:t xml:space="preserve"> sur les techniques de négociation et de mobilisation de ressources extérieures au profit des CT</w:t>
            </w:r>
          </w:p>
        </w:tc>
        <w:tc>
          <w:tcPr>
            <w:tcW w:w="751" w:type="pct"/>
          </w:tcPr>
          <w:p w14:paraId="528CB416" w14:textId="77777777" w:rsidR="00577375" w:rsidRPr="008139E1"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p>
        </w:tc>
        <w:tc>
          <w:tcPr>
            <w:tcW w:w="752" w:type="pct"/>
          </w:tcPr>
          <w:p w14:paraId="7AE5A0C2"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c>
          <w:tcPr>
            <w:tcW w:w="749" w:type="pct"/>
          </w:tcPr>
          <w:p w14:paraId="56551A7A"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r>
      <w:tr w:rsidR="00577375" w:rsidRPr="003D2260" w14:paraId="0489E95B" w14:textId="77777777" w:rsidTr="00577375">
        <w:trPr>
          <w:trHeight w:val="20"/>
        </w:trPr>
        <w:tc>
          <w:tcPr>
            <w:cnfStyle w:val="001000000000" w:firstRow="0" w:lastRow="0" w:firstColumn="1" w:lastColumn="0" w:oddVBand="0" w:evenVBand="0" w:oddHBand="0" w:evenHBand="0" w:firstRowFirstColumn="0" w:firstRowLastColumn="0" w:lastRowFirstColumn="0" w:lastRowLastColumn="0"/>
            <w:tcW w:w="2747" w:type="pct"/>
          </w:tcPr>
          <w:p w14:paraId="181E32CF" w14:textId="3B08C399" w:rsidR="00577375" w:rsidRPr="003D2260" w:rsidRDefault="00577375" w:rsidP="00F175A7">
            <w:pPr>
              <w:spacing w:after="0" w:line="240" w:lineRule="auto"/>
              <w:rPr>
                <w:sz w:val="22"/>
              </w:rPr>
            </w:pPr>
            <w:r w:rsidRPr="003D2260">
              <w:rPr>
                <w:sz w:val="22"/>
              </w:rPr>
              <w:t>Disponibilité de la stratégie</w:t>
            </w:r>
            <w:r w:rsidR="00C55372">
              <w:rPr>
                <w:sz w:val="22"/>
              </w:rPr>
              <w:t xml:space="preserve"> </w:t>
            </w:r>
            <w:r w:rsidR="00C55372" w:rsidRPr="004D715C">
              <w:rPr>
                <w:sz w:val="22"/>
              </w:rPr>
              <w:t>de résilience des CT face au défi sécuritaire</w:t>
            </w:r>
          </w:p>
        </w:tc>
        <w:tc>
          <w:tcPr>
            <w:tcW w:w="751" w:type="pct"/>
          </w:tcPr>
          <w:p w14:paraId="598FF781" w14:textId="77777777" w:rsidR="00577375" w:rsidRPr="008139E1"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8139E1">
              <w:rPr>
                <w:sz w:val="22"/>
              </w:rPr>
              <w:t>-</w:t>
            </w:r>
          </w:p>
        </w:tc>
        <w:tc>
          <w:tcPr>
            <w:tcW w:w="752" w:type="pct"/>
          </w:tcPr>
          <w:p w14:paraId="0316F492"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w:t>
            </w:r>
          </w:p>
        </w:tc>
        <w:tc>
          <w:tcPr>
            <w:tcW w:w="749" w:type="pct"/>
          </w:tcPr>
          <w:p w14:paraId="22B13D50" w14:textId="77777777" w:rsidR="00577375" w:rsidRPr="003D2260" w:rsidRDefault="0057737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3D2260">
              <w:rPr>
                <w:sz w:val="22"/>
              </w:rPr>
              <w:t>1</w:t>
            </w:r>
          </w:p>
        </w:tc>
      </w:tr>
      <w:tr w:rsidR="00577375" w:rsidRPr="003D2260" w14:paraId="51B31D4D" w14:textId="77777777" w:rsidTr="005773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tcPr>
          <w:p w14:paraId="39C9F085" w14:textId="6809FB56" w:rsidR="00577375" w:rsidRPr="003D2260" w:rsidRDefault="00577375" w:rsidP="00F175A7">
            <w:pPr>
              <w:spacing w:after="0" w:line="240" w:lineRule="auto"/>
              <w:rPr>
                <w:sz w:val="22"/>
              </w:rPr>
            </w:pPr>
            <w:r w:rsidRPr="003D2260">
              <w:rPr>
                <w:sz w:val="22"/>
              </w:rPr>
              <w:t>Disponibilité de la plate-forme de diffusion</w:t>
            </w:r>
            <w:r w:rsidR="00C55372">
              <w:rPr>
                <w:sz w:val="22"/>
              </w:rPr>
              <w:t xml:space="preserve"> d’outils au profit des CT</w:t>
            </w:r>
          </w:p>
        </w:tc>
        <w:tc>
          <w:tcPr>
            <w:tcW w:w="751" w:type="pct"/>
          </w:tcPr>
          <w:p w14:paraId="131CFB75" w14:textId="77777777" w:rsidR="00577375" w:rsidRPr="008139E1"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8139E1">
              <w:rPr>
                <w:sz w:val="22"/>
              </w:rPr>
              <w:t>-</w:t>
            </w:r>
          </w:p>
        </w:tc>
        <w:tc>
          <w:tcPr>
            <w:tcW w:w="752" w:type="pct"/>
          </w:tcPr>
          <w:p w14:paraId="59E76283"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0</w:t>
            </w:r>
          </w:p>
        </w:tc>
        <w:tc>
          <w:tcPr>
            <w:tcW w:w="749" w:type="pct"/>
          </w:tcPr>
          <w:p w14:paraId="1CBB1F79" w14:textId="77777777" w:rsidR="00577375" w:rsidRPr="003D2260" w:rsidRDefault="0057737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D2260">
              <w:rPr>
                <w:sz w:val="22"/>
              </w:rPr>
              <w:t>1</w:t>
            </w:r>
          </w:p>
        </w:tc>
      </w:tr>
    </w:tbl>
    <w:p w14:paraId="5F780397" w14:textId="64EC1606" w:rsidR="00577375" w:rsidRPr="00287D1E" w:rsidRDefault="00577375" w:rsidP="00577375">
      <w:pPr>
        <w:keepNext/>
        <w:pBdr>
          <w:top w:val="nil"/>
          <w:left w:val="nil"/>
          <w:bottom w:val="nil"/>
          <w:right w:val="nil"/>
          <w:between w:val="nil"/>
        </w:pBdr>
        <w:spacing w:before="120" w:after="200" w:line="240" w:lineRule="auto"/>
        <w:ind w:left="720" w:hanging="720"/>
        <w:rPr>
          <w:rFonts w:cs="Merriweather"/>
          <w:color w:val="000000"/>
          <w:sz w:val="20"/>
          <w:szCs w:val="20"/>
        </w:rPr>
      </w:pPr>
      <w:r w:rsidRPr="00287D1E">
        <w:rPr>
          <w:rFonts w:cs="Merriweather"/>
          <w:b/>
          <w:color w:val="000000"/>
          <w:sz w:val="20"/>
          <w:szCs w:val="20"/>
          <w:u w:val="single"/>
        </w:rPr>
        <w:t>Source </w:t>
      </w:r>
      <w:r w:rsidRPr="00287D1E">
        <w:rPr>
          <w:rFonts w:cs="Merriweather"/>
          <w:color w:val="000000"/>
          <w:sz w:val="20"/>
          <w:szCs w:val="20"/>
        </w:rPr>
        <w:t xml:space="preserve">: rapport </w:t>
      </w:r>
      <w:r w:rsidR="00287D1E" w:rsidRPr="00287D1E">
        <w:rPr>
          <w:rFonts w:cs="Merriweather"/>
          <w:color w:val="000000"/>
          <w:sz w:val="20"/>
          <w:szCs w:val="20"/>
        </w:rPr>
        <w:t xml:space="preserve">annuel </w:t>
      </w:r>
      <w:r w:rsidRPr="00287D1E">
        <w:rPr>
          <w:rFonts w:cs="Merriweather"/>
          <w:color w:val="000000"/>
          <w:sz w:val="20"/>
          <w:szCs w:val="20"/>
        </w:rPr>
        <w:t xml:space="preserve">de performance </w:t>
      </w:r>
      <w:r w:rsidR="00011E82" w:rsidRPr="00287D1E">
        <w:rPr>
          <w:rFonts w:cs="Merriweather"/>
          <w:color w:val="000000"/>
          <w:sz w:val="20"/>
          <w:szCs w:val="20"/>
        </w:rPr>
        <w:t xml:space="preserve">2023 </w:t>
      </w:r>
      <w:r w:rsidRPr="00287D1E">
        <w:rPr>
          <w:rFonts w:cs="Merriweather"/>
          <w:color w:val="000000"/>
          <w:sz w:val="20"/>
          <w:szCs w:val="20"/>
        </w:rPr>
        <w:t xml:space="preserve">du CSD-GE, février 2024 </w:t>
      </w:r>
    </w:p>
    <w:p w14:paraId="293D6894" w14:textId="1BCAE3CA" w:rsidR="00A63390" w:rsidRPr="00775DBB" w:rsidRDefault="00577375" w:rsidP="00F175A7">
      <w:pPr>
        <w:numPr>
          <w:ilvl w:val="0"/>
          <w:numId w:val="8"/>
        </w:numPr>
        <w:shd w:val="clear" w:color="auto" w:fill="FFFFFF"/>
        <w:spacing w:before="120" w:after="120" w:line="240" w:lineRule="auto"/>
        <w:ind w:left="0"/>
        <w:rPr>
          <w:rFonts w:eastAsia="Calibri"/>
          <w:szCs w:val="24"/>
        </w:rPr>
      </w:pPr>
      <w:r w:rsidRPr="00577375">
        <w:rPr>
          <w:rFonts w:eastAsia="Calibri"/>
          <w:szCs w:val="24"/>
        </w:rPr>
        <w:t>Concernant l’exécution financière, sur une prévision de 3</w:t>
      </w:r>
      <w:r w:rsidR="00861302">
        <w:rPr>
          <w:rFonts w:eastAsia="Calibri"/>
          <w:szCs w:val="24"/>
        </w:rPr>
        <w:t> </w:t>
      </w:r>
      <w:r w:rsidRPr="00577375">
        <w:rPr>
          <w:rFonts w:eastAsia="Calibri"/>
          <w:szCs w:val="24"/>
        </w:rPr>
        <w:t>138</w:t>
      </w:r>
      <w:r w:rsidR="00861302" w:rsidRPr="00056445">
        <w:rPr>
          <w:rFonts w:eastAsia="Calibri"/>
          <w:szCs w:val="24"/>
        </w:rPr>
        <w:t>°</w:t>
      </w:r>
      <w:r w:rsidRPr="00577375">
        <w:rPr>
          <w:rFonts w:eastAsia="Calibri"/>
          <w:szCs w:val="24"/>
        </w:rPr>
        <w:t>036 000 FCFA, 3</w:t>
      </w:r>
      <w:r w:rsidR="00560D37">
        <w:rPr>
          <w:rFonts w:eastAsia="Calibri"/>
          <w:szCs w:val="24"/>
        </w:rPr>
        <w:t> </w:t>
      </w:r>
      <w:r w:rsidRPr="00577375">
        <w:rPr>
          <w:rFonts w:eastAsia="Calibri"/>
          <w:szCs w:val="24"/>
        </w:rPr>
        <w:t>138</w:t>
      </w:r>
      <w:r w:rsidR="00560D37" w:rsidRPr="00056445">
        <w:rPr>
          <w:rFonts w:eastAsia="Calibri"/>
          <w:szCs w:val="24"/>
        </w:rPr>
        <w:t>°</w:t>
      </w:r>
      <w:r w:rsidRPr="00577375">
        <w:rPr>
          <w:rFonts w:eastAsia="Calibri"/>
          <w:szCs w:val="24"/>
        </w:rPr>
        <w:t>487</w:t>
      </w:r>
      <w:r w:rsidR="00560D37" w:rsidRPr="00056445">
        <w:rPr>
          <w:rFonts w:eastAsia="Calibri"/>
          <w:szCs w:val="24"/>
        </w:rPr>
        <w:t>°</w:t>
      </w:r>
      <w:r w:rsidRPr="00577375">
        <w:rPr>
          <w:rFonts w:eastAsia="Calibri"/>
          <w:szCs w:val="24"/>
        </w:rPr>
        <w:t>000 FCFA ont été dépensé</w:t>
      </w:r>
      <w:r w:rsidR="00861302">
        <w:rPr>
          <w:rFonts w:eastAsia="Calibri"/>
          <w:szCs w:val="24"/>
        </w:rPr>
        <w:t>s</w:t>
      </w:r>
      <w:r w:rsidRPr="00577375">
        <w:rPr>
          <w:rFonts w:eastAsia="Calibri"/>
          <w:szCs w:val="24"/>
        </w:rPr>
        <w:t>, soit un taux de 100,01%</w:t>
      </w:r>
      <w:r w:rsidR="00A63390" w:rsidRPr="00775DBB">
        <w:rPr>
          <w:rFonts w:eastAsia="Calibri"/>
          <w:szCs w:val="24"/>
        </w:rPr>
        <w:t xml:space="preserve">. </w:t>
      </w:r>
    </w:p>
    <w:p w14:paraId="3311D264" w14:textId="77777777" w:rsidR="002E04DF" w:rsidRPr="008D2129" w:rsidRDefault="002E04DF" w:rsidP="002E04DF"/>
    <w:p w14:paraId="1ADE9AA1" w14:textId="319DE644" w:rsidR="00577375" w:rsidRPr="00577375" w:rsidRDefault="00EA252D" w:rsidP="00577375">
      <w:pPr>
        <w:pStyle w:val="PAT4"/>
      </w:pPr>
      <w:bookmarkStart w:id="112" w:name="_Toc163141227"/>
      <w:r w:rsidRPr="008D2129">
        <w:t xml:space="preserve">Synthèse de l’approfondissement des réformes institutionnelles et </w:t>
      </w:r>
      <w:r w:rsidR="00935AD4" w:rsidRPr="008D2129">
        <w:t xml:space="preserve">modernisation de </w:t>
      </w:r>
      <w:r w:rsidRPr="008D2129">
        <w:t>l’administration publique</w:t>
      </w:r>
      <w:bookmarkEnd w:id="112"/>
    </w:p>
    <w:p w14:paraId="0CA4FACB" w14:textId="77777777" w:rsidR="00004DD2" w:rsidRPr="00D930A9" w:rsidRDefault="00004DD2" w:rsidP="0042784A">
      <w:pPr>
        <w:numPr>
          <w:ilvl w:val="0"/>
          <w:numId w:val="8"/>
        </w:numPr>
        <w:shd w:val="clear" w:color="auto" w:fill="FFFFFF"/>
        <w:spacing w:before="120" w:after="120" w:line="240" w:lineRule="auto"/>
        <w:ind w:left="0"/>
        <w:rPr>
          <w:rFonts w:eastAsia="Calibri"/>
          <w:szCs w:val="24"/>
        </w:rPr>
      </w:pPr>
      <w:r w:rsidRPr="00004DD2">
        <w:rPr>
          <w:rFonts w:eastAsia="Calibri"/>
          <w:szCs w:val="24"/>
        </w:rPr>
        <w:t>En matière d’</w:t>
      </w:r>
      <w:r w:rsidRPr="008D2129">
        <w:t>approfondissement des réformes institutionnelles et modernisation de l’administration publique</w:t>
      </w:r>
      <w:r>
        <w:t xml:space="preserve"> (</w:t>
      </w:r>
      <w:r w:rsidRPr="00004DD2">
        <w:rPr>
          <w:rFonts w:eastAsia="Calibri"/>
          <w:szCs w:val="24"/>
        </w:rPr>
        <w:t>axe 2 de la PND), des acquis importants ont été engrangés dans la réalisation des actions ci-après présentées par objectif</w:t>
      </w:r>
      <w:r w:rsidRPr="00D930A9">
        <w:rPr>
          <w:rFonts w:eastAsia="Calibri"/>
          <w:szCs w:val="24"/>
        </w:rPr>
        <w:t xml:space="preserve"> stratégique concerné de la PND.</w:t>
      </w:r>
    </w:p>
    <w:p w14:paraId="3036024F" w14:textId="77777777" w:rsidR="00004DD2" w:rsidRPr="00577375" w:rsidRDefault="00004DD2" w:rsidP="00004DD2">
      <w:pPr>
        <w:numPr>
          <w:ilvl w:val="0"/>
          <w:numId w:val="8"/>
        </w:numPr>
        <w:shd w:val="clear" w:color="auto" w:fill="FFFFFF"/>
        <w:spacing w:before="120" w:after="120" w:line="240" w:lineRule="auto"/>
        <w:ind w:left="0"/>
        <w:rPr>
          <w:rFonts w:eastAsia="Calibri"/>
          <w:szCs w:val="24"/>
        </w:rPr>
      </w:pPr>
      <w:r>
        <w:rPr>
          <w:rFonts w:eastAsia="Calibri"/>
          <w:szCs w:val="24"/>
        </w:rPr>
        <w:lastRenderedPageBreak/>
        <w:t xml:space="preserve">Ainsi, pour ce qui est </w:t>
      </w:r>
      <w:r w:rsidRPr="00775606">
        <w:rPr>
          <w:rFonts w:eastAsia="Calibri"/>
          <w:bCs/>
          <w:szCs w:val="24"/>
        </w:rPr>
        <w:t>l’objectif stratégique 2.1 : promouvoir la démocratie et la bonne gouvernance politique</w:t>
      </w:r>
      <w:r w:rsidRPr="00775606">
        <w:rPr>
          <w:rFonts w:eastAsia="Calibri"/>
          <w:szCs w:val="24"/>
        </w:rPr>
        <w:t>, l</w:t>
      </w:r>
      <w:r w:rsidRPr="00551C0C">
        <w:rPr>
          <w:rFonts w:eastAsia="Calibri"/>
          <w:szCs w:val="24"/>
        </w:rPr>
        <w:t xml:space="preserve">es principaux acquis concernent </w:t>
      </w:r>
      <w:r w:rsidRPr="00577375">
        <w:rPr>
          <w:rFonts w:eastAsia="Calibri"/>
          <w:szCs w:val="24"/>
        </w:rPr>
        <w:t xml:space="preserve">(i) l’amélioration du fonctionnement des juridictions (03034) avec l'exécution à </w:t>
      </w:r>
      <w:r>
        <w:rPr>
          <w:rFonts w:eastAsia="Calibri"/>
          <w:szCs w:val="24"/>
        </w:rPr>
        <w:t>100</w:t>
      </w:r>
      <w:r w:rsidRPr="00577375">
        <w:rPr>
          <w:rFonts w:eastAsia="Calibri"/>
          <w:szCs w:val="24"/>
        </w:rPr>
        <w:t xml:space="preserve">% du programme d'équipement des juridictions et le recouvrement à </w:t>
      </w:r>
      <w:r>
        <w:rPr>
          <w:rFonts w:eastAsia="Calibri"/>
          <w:szCs w:val="24"/>
        </w:rPr>
        <w:t>84</w:t>
      </w:r>
      <w:r w:rsidRPr="00577375">
        <w:rPr>
          <w:rFonts w:eastAsia="Calibri"/>
          <w:szCs w:val="24"/>
        </w:rPr>
        <w:t xml:space="preserve">,5% des amendes pénales ; (ii) l’amélioration de l’accès à la justice (03035) </w:t>
      </w:r>
      <w:r>
        <w:rPr>
          <w:rFonts w:eastAsia="Calibri"/>
          <w:szCs w:val="24"/>
        </w:rPr>
        <w:t xml:space="preserve">avec la réduction du rayon moyen d’accès à un TGI à 62,98 km grâce la réouverture des TGI de </w:t>
      </w:r>
      <w:proofErr w:type="spellStart"/>
      <w:r>
        <w:rPr>
          <w:rFonts w:eastAsia="Calibri"/>
          <w:szCs w:val="24"/>
        </w:rPr>
        <w:t>Dori</w:t>
      </w:r>
      <w:proofErr w:type="spellEnd"/>
      <w:r>
        <w:rPr>
          <w:rFonts w:eastAsia="Calibri"/>
          <w:szCs w:val="24"/>
        </w:rPr>
        <w:t xml:space="preserve"> et </w:t>
      </w:r>
      <w:proofErr w:type="spellStart"/>
      <w:r>
        <w:rPr>
          <w:rFonts w:eastAsia="Calibri"/>
          <w:szCs w:val="24"/>
        </w:rPr>
        <w:t>Kongoussi</w:t>
      </w:r>
      <w:proofErr w:type="spellEnd"/>
      <w:r>
        <w:rPr>
          <w:rFonts w:eastAsia="Calibri"/>
          <w:szCs w:val="24"/>
        </w:rPr>
        <w:t>,</w:t>
      </w:r>
      <w:r w:rsidRPr="00577375">
        <w:rPr>
          <w:rFonts w:eastAsia="Calibri"/>
          <w:szCs w:val="24"/>
        </w:rPr>
        <w:t xml:space="preserve"> l’octroi de l’assistance judiciaire à </w:t>
      </w:r>
      <w:r>
        <w:rPr>
          <w:rFonts w:eastAsia="Calibri"/>
          <w:szCs w:val="24"/>
        </w:rPr>
        <w:t>1 233</w:t>
      </w:r>
      <w:r w:rsidRPr="00577375">
        <w:rPr>
          <w:rFonts w:eastAsia="Calibri"/>
          <w:szCs w:val="24"/>
        </w:rPr>
        <w:t xml:space="preserve"> personnes, la formation et la sensibilisation de </w:t>
      </w:r>
      <w:r>
        <w:rPr>
          <w:rFonts w:eastAsia="Calibri"/>
          <w:szCs w:val="24"/>
        </w:rPr>
        <w:t>600</w:t>
      </w:r>
      <w:r w:rsidRPr="00577375">
        <w:rPr>
          <w:rFonts w:eastAsia="Calibri"/>
          <w:szCs w:val="24"/>
        </w:rPr>
        <w:t xml:space="preserve"> acteurs d’OSC, d’autorités coutumières et religieuses </w:t>
      </w:r>
      <w:r>
        <w:rPr>
          <w:rFonts w:eastAsia="Calibri"/>
          <w:szCs w:val="24"/>
        </w:rPr>
        <w:t xml:space="preserve">à </w:t>
      </w:r>
      <w:r w:rsidRPr="00577375">
        <w:rPr>
          <w:rFonts w:eastAsia="Calibri"/>
          <w:szCs w:val="24"/>
        </w:rPr>
        <w:t xml:space="preserve">l'organisation et </w:t>
      </w:r>
      <w:r>
        <w:rPr>
          <w:rFonts w:eastAsia="Calibri"/>
          <w:szCs w:val="24"/>
        </w:rPr>
        <w:t>aux</w:t>
      </w:r>
      <w:r w:rsidRPr="00577375">
        <w:rPr>
          <w:rFonts w:eastAsia="Calibri"/>
          <w:szCs w:val="24"/>
        </w:rPr>
        <w:t xml:space="preserve"> procédures judiciaires </w:t>
      </w:r>
      <w:r>
        <w:rPr>
          <w:rFonts w:eastAsia="Calibri"/>
          <w:szCs w:val="24"/>
        </w:rPr>
        <w:t>ainsi que</w:t>
      </w:r>
      <w:r w:rsidRPr="00577375">
        <w:rPr>
          <w:rFonts w:eastAsia="Calibri"/>
          <w:szCs w:val="24"/>
        </w:rPr>
        <w:t xml:space="preserve"> la réhabilitation à 98% du palais de justice de Bobo-Dioulasso</w:t>
      </w:r>
      <w:r>
        <w:rPr>
          <w:rFonts w:eastAsia="Calibri"/>
          <w:szCs w:val="24"/>
        </w:rPr>
        <w:t xml:space="preserve"> </w:t>
      </w:r>
      <w:r w:rsidRPr="00577375">
        <w:rPr>
          <w:rFonts w:eastAsia="Calibri"/>
          <w:szCs w:val="24"/>
        </w:rPr>
        <w:t xml:space="preserve">et (iii) le renforcement de l'effectivité des droits humains (03037) par la formation de </w:t>
      </w:r>
      <w:r>
        <w:rPr>
          <w:rFonts w:eastAsia="Calibri"/>
          <w:szCs w:val="24"/>
        </w:rPr>
        <w:t>797</w:t>
      </w:r>
      <w:r w:rsidRPr="00577375">
        <w:rPr>
          <w:rFonts w:eastAsia="Calibri"/>
          <w:szCs w:val="24"/>
        </w:rPr>
        <w:t xml:space="preserve"> FDS</w:t>
      </w:r>
      <w:r>
        <w:rPr>
          <w:rFonts w:eastAsia="Calibri"/>
          <w:szCs w:val="24"/>
        </w:rPr>
        <w:t xml:space="preserve"> et la sensibilisation de 15 302</w:t>
      </w:r>
      <w:r w:rsidRPr="00577375">
        <w:rPr>
          <w:rFonts w:eastAsia="Calibri"/>
          <w:szCs w:val="24"/>
        </w:rPr>
        <w:t xml:space="preserve"> acteurs socio-professionnels </w:t>
      </w:r>
      <w:r>
        <w:rPr>
          <w:rFonts w:eastAsia="Calibri"/>
          <w:szCs w:val="24"/>
        </w:rPr>
        <w:t>aux</w:t>
      </w:r>
      <w:r w:rsidRPr="00577375">
        <w:rPr>
          <w:rFonts w:eastAsia="Calibri"/>
          <w:szCs w:val="24"/>
        </w:rPr>
        <w:t xml:space="preserve"> droits humains et </w:t>
      </w:r>
      <w:r>
        <w:rPr>
          <w:rFonts w:eastAsia="Calibri"/>
          <w:szCs w:val="24"/>
        </w:rPr>
        <w:t>au</w:t>
      </w:r>
      <w:r w:rsidRPr="00577375">
        <w:rPr>
          <w:rFonts w:eastAsia="Calibri"/>
          <w:szCs w:val="24"/>
        </w:rPr>
        <w:t xml:space="preserve"> droit international humanitaire</w:t>
      </w:r>
      <w:r>
        <w:rPr>
          <w:rFonts w:eastAsia="Calibri"/>
          <w:szCs w:val="24"/>
        </w:rPr>
        <w:t xml:space="preserve"> ainsi que </w:t>
      </w:r>
      <w:r w:rsidRPr="00577375">
        <w:rPr>
          <w:rFonts w:eastAsia="Calibri"/>
          <w:szCs w:val="24"/>
        </w:rPr>
        <w:t xml:space="preserve">le traitement de 100% des plaintes des victimes de violation des droits humains. </w:t>
      </w:r>
    </w:p>
    <w:p w14:paraId="23034BE5" w14:textId="78F7531B" w:rsidR="00004DD2" w:rsidRPr="00775606" w:rsidRDefault="00004DD2" w:rsidP="00004DD2">
      <w:pPr>
        <w:numPr>
          <w:ilvl w:val="0"/>
          <w:numId w:val="8"/>
        </w:numPr>
        <w:shd w:val="clear" w:color="auto" w:fill="FFFFFF"/>
        <w:spacing w:before="120" w:after="120" w:line="240" w:lineRule="auto"/>
        <w:ind w:left="0"/>
        <w:rPr>
          <w:rFonts w:eastAsia="Calibri"/>
          <w:szCs w:val="24"/>
        </w:rPr>
      </w:pPr>
      <w:r w:rsidRPr="00775606">
        <w:rPr>
          <w:rFonts w:eastAsia="Calibri"/>
          <w:bCs/>
          <w:szCs w:val="24"/>
        </w:rPr>
        <w:t>Au titre de l’objectif stratégique 2.2 : promouvoir la bonne gouvernance administrative et moderniser l’administration publique</w:t>
      </w:r>
      <w:r w:rsidRPr="00775606">
        <w:rPr>
          <w:rFonts w:eastAsia="Calibri"/>
          <w:szCs w:val="24"/>
        </w:rPr>
        <w:t>,</w:t>
      </w:r>
      <w:r>
        <w:rPr>
          <w:rFonts w:eastAsia="Calibri"/>
          <w:szCs w:val="24"/>
        </w:rPr>
        <w:t xml:space="preserve"> l</w:t>
      </w:r>
      <w:r w:rsidRPr="00577375">
        <w:rPr>
          <w:rFonts w:eastAsia="Calibri"/>
          <w:szCs w:val="24"/>
        </w:rPr>
        <w:t>es principaux résultats</w:t>
      </w:r>
      <w:r>
        <w:rPr>
          <w:rFonts w:eastAsia="Calibri"/>
          <w:szCs w:val="24"/>
        </w:rPr>
        <w:t xml:space="preserve"> enregistrés ont trait entre autres</w:t>
      </w:r>
      <w:r w:rsidRPr="00577375">
        <w:rPr>
          <w:rFonts w:eastAsia="Calibri"/>
          <w:szCs w:val="24"/>
        </w:rPr>
        <w:t> </w:t>
      </w:r>
      <w:r>
        <w:rPr>
          <w:rFonts w:eastAsia="Calibri"/>
          <w:szCs w:val="24"/>
        </w:rPr>
        <w:t xml:space="preserve">à </w:t>
      </w:r>
      <w:r w:rsidRPr="00577375">
        <w:rPr>
          <w:rFonts w:eastAsia="Calibri"/>
          <w:szCs w:val="24"/>
        </w:rPr>
        <w:t>: (i) la gestion efficace des ressources humaines de l’administration publique (03016) avec la disponibilité d’un document d’évaluation de la mise en œuvre de la loi n° 081-2015/CNT</w:t>
      </w:r>
      <w:r>
        <w:rPr>
          <w:rFonts w:eastAsia="Calibri"/>
          <w:szCs w:val="24"/>
        </w:rPr>
        <w:t>,</w:t>
      </w:r>
      <w:r w:rsidRPr="00577375">
        <w:rPr>
          <w:rFonts w:eastAsia="Calibri"/>
          <w:szCs w:val="24"/>
        </w:rPr>
        <w:t xml:space="preserve"> la réception en ligne des candidatures de tous les concours directs et professionnels</w:t>
      </w:r>
      <w:r>
        <w:rPr>
          <w:rFonts w:eastAsia="Calibri"/>
          <w:szCs w:val="24"/>
        </w:rPr>
        <w:t>,</w:t>
      </w:r>
      <w:r w:rsidRPr="00577375">
        <w:rPr>
          <w:rFonts w:eastAsia="Calibri"/>
          <w:szCs w:val="24"/>
        </w:rPr>
        <w:t xml:space="preserve"> la composition en ligne de 89,06% des concours professionnels et la signature dans les délais des actes de carrière (intégration, reclassement, retraite) de 61,8%</w:t>
      </w:r>
      <w:r>
        <w:rPr>
          <w:rFonts w:eastAsia="Calibri"/>
          <w:szCs w:val="24"/>
        </w:rPr>
        <w:t xml:space="preserve"> des agents de la fonction publique</w:t>
      </w:r>
      <w:r w:rsidRPr="00577375">
        <w:rPr>
          <w:rFonts w:eastAsia="Calibri"/>
          <w:szCs w:val="24"/>
        </w:rPr>
        <w:t xml:space="preserve"> ; (ii) la dépolitisation de l'administration publique et promotion du mérite (03017) avec l’adoption de la loi n°002-2023/ALT du </w:t>
      </w:r>
      <w:r w:rsidRPr="00775606">
        <w:rPr>
          <w:rFonts w:eastAsia="Calibri"/>
          <w:szCs w:val="24"/>
        </w:rPr>
        <w:t>16 mars 2023 portant renforcement de la neutralité politique et de la méritocratie dans l’administration publique</w:t>
      </w:r>
      <w:r w:rsidR="00461A2C">
        <w:rPr>
          <w:rFonts w:eastAsia="Calibri"/>
          <w:szCs w:val="24"/>
        </w:rPr>
        <w:t xml:space="preserve"> et (iii) la promotion de la communication gouvernementale avec la publication des comptes rendus des Conseils des ministres, des communiqués de presse, la tenue de 15 points/conférences de presse et la réalisation de 109 films documentaires/Gouv actions</w:t>
      </w:r>
      <w:r w:rsidRPr="00775606">
        <w:rPr>
          <w:rFonts w:eastAsia="Calibri"/>
          <w:szCs w:val="24"/>
        </w:rPr>
        <w:t>.</w:t>
      </w:r>
    </w:p>
    <w:p w14:paraId="508356B3" w14:textId="77777777" w:rsidR="00004DD2" w:rsidRPr="00577375" w:rsidRDefault="00004DD2" w:rsidP="00004DD2">
      <w:pPr>
        <w:numPr>
          <w:ilvl w:val="0"/>
          <w:numId w:val="8"/>
        </w:numPr>
        <w:shd w:val="clear" w:color="auto" w:fill="FFFFFF"/>
        <w:spacing w:before="120" w:after="120" w:line="240" w:lineRule="auto"/>
        <w:ind w:left="0"/>
        <w:rPr>
          <w:rFonts w:eastAsia="Calibri"/>
          <w:szCs w:val="24"/>
        </w:rPr>
      </w:pPr>
      <w:r w:rsidRPr="00775606">
        <w:rPr>
          <w:rFonts w:eastAsia="Calibri"/>
          <w:bCs/>
          <w:szCs w:val="24"/>
        </w:rPr>
        <w:t>Concernant l’objectif stratégique 2.3 : promouvoir la bonne gouvernance économique, financière et les coopérations régionale et internationale</w:t>
      </w:r>
      <w:r w:rsidRPr="00775606">
        <w:rPr>
          <w:rFonts w:eastAsia="Calibri"/>
          <w:szCs w:val="24"/>
        </w:rPr>
        <w:t xml:space="preserve">, </w:t>
      </w:r>
      <w:r>
        <w:rPr>
          <w:rFonts w:eastAsia="Calibri"/>
          <w:szCs w:val="24"/>
        </w:rPr>
        <w:t>l</w:t>
      </w:r>
      <w:r w:rsidRPr="00775606">
        <w:rPr>
          <w:rFonts w:eastAsia="Calibri"/>
          <w:szCs w:val="24"/>
        </w:rPr>
        <w:t xml:space="preserve">es avancées majeures </w:t>
      </w:r>
      <w:r>
        <w:rPr>
          <w:rFonts w:eastAsia="Calibri"/>
          <w:szCs w:val="24"/>
        </w:rPr>
        <w:t>enregistrées</w:t>
      </w:r>
      <w:r w:rsidRPr="00775606">
        <w:rPr>
          <w:rFonts w:eastAsia="Calibri"/>
          <w:szCs w:val="24"/>
        </w:rPr>
        <w:t xml:space="preserve"> portent entre autres sur : (i) l’informatisation du cadastre foncier national</w:t>
      </w:r>
      <w:r w:rsidRPr="00577375">
        <w:rPr>
          <w:rFonts w:eastAsia="Calibri"/>
          <w:szCs w:val="24"/>
        </w:rPr>
        <w:t xml:space="preserve"> et </w:t>
      </w:r>
      <w:r>
        <w:rPr>
          <w:rFonts w:eastAsia="Calibri"/>
          <w:szCs w:val="24"/>
        </w:rPr>
        <w:t xml:space="preserve">la </w:t>
      </w:r>
      <w:r w:rsidRPr="00577375">
        <w:rPr>
          <w:rFonts w:eastAsia="Calibri"/>
          <w:szCs w:val="24"/>
        </w:rPr>
        <w:t xml:space="preserve">détermination d'une autorité unique de rattachement (03025) avec la numérisation de </w:t>
      </w:r>
      <w:r>
        <w:rPr>
          <w:rFonts w:eastAsia="Calibri"/>
          <w:szCs w:val="24"/>
        </w:rPr>
        <w:t>848</w:t>
      </w:r>
      <w:r w:rsidRPr="00577375">
        <w:rPr>
          <w:rFonts w:eastAsia="Calibri"/>
          <w:szCs w:val="24"/>
        </w:rPr>
        <w:t xml:space="preserve"> </w:t>
      </w:r>
      <w:r>
        <w:rPr>
          <w:rFonts w:eastAsia="Calibri"/>
          <w:szCs w:val="24"/>
        </w:rPr>
        <w:t>903</w:t>
      </w:r>
      <w:r w:rsidRPr="00577375">
        <w:rPr>
          <w:rFonts w:eastAsia="Calibri"/>
          <w:szCs w:val="24"/>
        </w:rPr>
        <w:t xml:space="preserve"> et le déploiement de la plateforme e-cadastre ; (ii) l’informatisation du système des marchés publics et de la comptabilité matière (03026) avec la conception et l'opérationnalisation à 4</w:t>
      </w:r>
      <w:r>
        <w:rPr>
          <w:rFonts w:eastAsia="Calibri"/>
          <w:szCs w:val="24"/>
        </w:rPr>
        <w:t>8</w:t>
      </w:r>
      <w:r w:rsidRPr="00577375">
        <w:rPr>
          <w:rFonts w:eastAsia="Calibri"/>
          <w:szCs w:val="24"/>
        </w:rPr>
        <w:t>% et le déploiement d</w:t>
      </w:r>
      <w:r>
        <w:rPr>
          <w:rFonts w:eastAsia="Calibri"/>
          <w:szCs w:val="24"/>
        </w:rPr>
        <w:t>u</w:t>
      </w:r>
      <w:r w:rsidRPr="00577375">
        <w:rPr>
          <w:rFonts w:eastAsia="Calibri"/>
          <w:szCs w:val="24"/>
        </w:rPr>
        <w:t xml:space="preserve"> SIGCM dans </w:t>
      </w:r>
      <w:r>
        <w:rPr>
          <w:rFonts w:eastAsia="Calibri"/>
          <w:szCs w:val="24"/>
        </w:rPr>
        <w:t>33</w:t>
      </w:r>
      <w:r w:rsidRPr="00577375">
        <w:rPr>
          <w:rFonts w:eastAsia="Calibri"/>
          <w:szCs w:val="24"/>
        </w:rPr>
        <w:t xml:space="preserve"> EPE et </w:t>
      </w:r>
      <w:r>
        <w:rPr>
          <w:rFonts w:eastAsia="Calibri"/>
          <w:szCs w:val="24"/>
        </w:rPr>
        <w:t>20</w:t>
      </w:r>
      <w:r w:rsidRPr="00577375">
        <w:rPr>
          <w:rFonts w:eastAsia="Calibri"/>
          <w:szCs w:val="24"/>
        </w:rPr>
        <w:t xml:space="preserve"> </w:t>
      </w:r>
      <w:r>
        <w:rPr>
          <w:rFonts w:eastAsia="Calibri"/>
          <w:szCs w:val="24"/>
        </w:rPr>
        <w:t>c</w:t>
      </w:r>
      <w:r w:rsidRPr="00577375">
        <w:rPr>
          <w:rFonts w:eastAsia="Calibri"/>
          <w:szCs w:val="24"/>
        </w:rPr>
        <w:t xml:space="preserve">ollectivités </w:t>
      </w:r>
      <w:r>
        <w:rPr>
          <w:rFonts w:eastAsia="Calibri"/>
          <w:szCs w:val="24"/>
        </w:rPr>
        <w:t>t</w:t>
      </w:r>
      <w:r w:rsidRPr="00577375">
        <w:rPr>
          <w:rFonts w:eastAsia="Calibri"/>
          <w:szCs w:val="24"/>
        </w:rPr>
        <w:t xml:space="preserve">erritoriales ; (iii) l’assainissement du marché intérieur (03029) par la répression de </w:t>
      </w:r>
      <w:r>
        <w:rPr>
          <w:rFonts w:eastAsia="Calibri"/>
          <w:szCs w:val="24"/>
        </w:rPr>
        <w:t>307</w:t>
      </w:r>
      <w:r w:rsidRPr="00577375">
        <w:rPr>
          <w:rFonts w:eastAsia="Calibri"/>
          <w:szCs w:val="24"/>
        </w:rPr>
        <w:t xml:space="preserve"> cas de fraude et d'usage de faux, le contrôle de </w:t>
      </w:r>
      <w:r>
        <w:rPr>
          <w:rFonts w:eastAsia="Calibri"/>
          <w:szCs w:val="24"/>
        </w:rPr>
        <w:t>167</w:t>
      </w:r>
      <w:r w:rsidRPr="00577375">
        <w:rPr>
          <w:rFonts w:eastAsia="Calibri"/>
          <w:szCs w:val="24"/>
        </w:rPr>
        <w:t xml:space="preserve"> entreprises sur l'application de la réglementation en matière douanière, fiscale, commerciale et environnementale et la réalisation de </w:t>
      </w:r>
      <w:r>
        <w:rPr>
          <w:rFonts w:eastAsia="Calibri"/>
          <w:szCs w:val="24"/>
        </w:rPr>
        <w:t>779</w:t>
      </w:r>
      <w:r w:rsidRPr="00577375">
        <w:rPr>
          <w:rFonts w:eastAsia="Calibri"/>
          <w:szCs w:val="24"/>
        </w:rPr>
        <w:t xml:space="preserve"> sorties</w:t>
      </w:r>
      <w:r>
        <w:rPr>
          <w:rFonts w:eastAsia="Calibri"/>
          <w:szCs w:val="24"/>
        </w:rPr>
        <w:t>-</w:t>
      </w:r>
      <w:r w:rsidRPr="00577375">
        <w:rPr>
          <w:rFonts w:eastAsia="Calibri"/>
          <w:szCs w:val="24"/>
        </w:rPr>
        <w:t>terrain pour le contrôle de la régularité et de la détention et de la destination des marchandises en circulation ou en transit ; (</w:t>
      </w:r>
      <w:r>
        <w:rPr>
          <w:rFonts w:eastAsia="Calibri"/>
          <w:szCs w:val="24"/>
        </w:rPr>
        <w:t>i</w:t>
      </w:r>
      <w:r w:rsidRPr="00577375">
        <w:rPr>
          <w:rFonts w:eastAsia="Calibri"/>
          <w:szCs w:val="24"/>
        </w:rPr>
        <w:t xml:space="preserve">v) l’audit des ministères et </w:t>
      </w:r>
      <w:r>
        <w:rPr>
          <w:rFonts w:eastAsia="Calibri"/>
          <w:szCs w:val="24"/>
        </w:rPr>
        <w:t>i</w:t>
      </w:r>
      <w:r w:rsidRPr="00577375">
        <w:rPr>
          <w:rFonts w:eastAsia="Calibri"/>
          <w:szCs w:val="24"/>
        </w:rPr>
        <w:t xml:space="preserve">nstitutions (03032) avec la réalisation des audits de </w:t>
      </w:r>
      <w:r>
        <w:rPr>
          <w:rFonts w:eastAsia="Calibri"/>
          <w:szCs w:val="24"/>
        </w:rPr>
        <w:t>12 ministères, 6 entreprises publiques, 10</w:t>
      </w:r>
      <w:r w:rsidRPr="00577375">
        <w:rPr>
          <w:rFonts w:eastAsia="Calibri"/>
          <w:szCs w:val="24"/>
        </w:rPr>
        <w:t xml:space="preserve"> établissements publics et </w:t>
      </w:r>
      <w:r>
        <w:rPr>
          <w:rFonts w:eastAsia="Calibri"/>
          <w:szCs w:val="24"/>
        </w:rPr>
        <w:t>21</w:t>
      </w:r>
      <w:r w:rsidRPr="00577375">
        <w:rPr>
          <w:rFonts w:eastAsia="Calibri"/>
          <w:szCs w:val="24"/>
        </w:rPr>
        <w:t xml:space="preserve"> projets et programmes ; (vi) le renforcement et élargissement des liens d’amitié et de coopération du Burkina Faso (03040) avec la participation du Burkina Faso à </w:t>
      </w:r>
      <w:r>
        <w:rPr>
          <w:rFonts w:eastAsia="Calibri"/>
          <w:szCs w:val="24"/>
        </w:rPr>
        <w:t>5</w:t>
      </w:r>
      <w:r w:rsidRPr="00577375">
        <w:rPr>
          <w:rFonts w:eastAsia="Calibri"/>
          <w:szCs w:val="24"/>
        </w:rPr>
        <w:t xml:space="preserve"> commissions mixtes de coopération et l’ouverture de </w:t>
      </w:r>
      <w:r w:rsidRPr="00577375">
        <w:rPr>
          <w:rFonts w:eastAsia="Calibri"/>
          <w:szCs w:val="24"/>
        </w:rPr>
        <w:lastRenderedPageBreak/>
        <w:t xml:space="preserve">l’ambassade du Burkina Faso en République islamique d’Iran et (vii) l’optimisation de la mobilisation des ressources financières </w:t>
      </w:r>
      <w:r>
        <w:rPr>
          <w:rFonts w:eastAsia="Calibri"/>
          <w:szCs w:val="24"/>
        </w:rPr>
        <w:t>avec un taux de réalisation du recouvrement des recettes intérieures de 99,23%</w:t>
      </w:r>
      <w:r w:rsidRPr="00577375">
        <w:rPr>
          <w:rFonts w:eastAsia="Calibri"/>
          <w:szCs w:val="24"/>
        </w:rPr>
        <w:t xml:space="preserve">. </w:t>
      </w:r>
    </w:p>
    <w:p w14:paraId="59A1E7F1" w14:textId="77777777" w:rsidR="00004DD2" w:rsidRPr="00577375" w:rsidRDefault="00004DD2" w:rsidP="00004DD2">
      <w:pPr>
        <w:numPr>
          <w:ilvl w:val="0"/>
          <w:numId w:val="8"/>
        </w:numPr>
        <w:shd w:val="clear" w:color="auto" w:fill="FFFFFF"/>
        <w:spacing w:before="120" w:after="120" w:line="240" w:lineRule="auto"/>
        <w:ind w:left="0"/>
        <w:rPr>
          <w:rFonts w:eastAsia="Calibri"/>
          <w:szCs w:val="24"/>
        </w:rPr>
      </w:pPr>
      <w:r w:rsidRPr="00053990">
        <w:rPr>
          <w:rFonts w:eastAsia="Calibri"/>
          <w:bCs/>
          <w:szCs w:val="24"/>
        </w:rPr>
        <w:t>Pour ce qui est de l’objectif stratégique 2.4 : renforcer la décentralisation et la bonne gouvernance locale</w:t>
      </w:r>
      <w:r w:rsidRPr="00053990">
        <w:rPr>
          <w:rFonts w:eastAsia="Calibri"/>
          <w:szCs w:val="24"/>
        </w:rPr>
        <w:t xml:space="preserve">, </w:t>
      </w:r>
      <w:r>
        <w:rPr>
          <w:rFonts w:eastAsia="Calibri"/>
          <w:szCs w:val="24"/>
        </w:rPr>
        <w:t>l</w:t>
      </w:r>
      <w:r w:rsidRPr="00577375">
        <w:rPr>
          <w:rFonts w:eastAsia="Calibri"/>
          <w:szCs w:val="24"/>
        </w:rPr>
        <w:t xml:space="preserve">es principaux résultats </w:t>
      </w:r>
      <w:r>
        <w:rPr>
          <w:rFonts w:eastAsia="Calibri"/>
          <w:szCs w:val="24"/>
        </w:rPr>
        <w:t>ont trait</w:t>
      </w:r>
      <w:r w:rsidRPr="00577375">
        <w:rPr>
          <w:rFonts w:eastAsia="Calibri"/>
          <w:szCs w:val="24"/>
        </w:rPr>
        <w:t xml:space="preserve"> à la poursuite du développement des économies locales (03046) avec entre autres la réalisation </w:t>
      </w:r>
      <w:r>
        <w:rPr>
          <w:rFonts w:eastAsia="Calibri"/>
          <w:szCs w:val="24"/>
        </w:rPr>
        <w:t>300</w:t>
      </w:r>
      <w:r w:rsidRPr="00577375">
        <w:rPr>
          <w:rFonts w:eastAsia="Calibri"/>
          <w:szCs w:val="24"/>
        </w:rPr>
        <w:t xml:space="preserve"> d'infrastructures à 100%, l’aménagement de 3</w:t>
      </w:r>
      <w:r>
        <w:rPr>
          <w:rFonts w:eastAsia="Calibri"/>
          <w:szCs w:val="24"/>
        </w:rPr>
        <w:t>6</w:t>
      </w:r>
      <w:r w:rsidRPr="00577375">
        <w:rPr>
          <w:rFonts w:eastAsia="Calibri"/>
          <w:szCs w:val="24"/>
        </w:rPr>
        <w:t xml:space="preserve"> Km de pistes rurales, la construction de 100 salles de classe, le cash transfert à 29 132 et la réalisation de </w:t>
      </w:r>
      <w:r>
        <w:rPr>
          <w:rFonts w:eastAsia="Calibri"/>
          <w:szCs w:val="24"/>
        </w:rPr>
        <w:t>41</w:t>
      </w:r>
      <w:r w:rsidRPr="00577375">
        <w:rPr>
          <w:rFonts w:eastAsia="Calibri"/>
          <w:szCs w:val="24"/>
        </w:rPr>
        <w:t xml:space="preserve"> forages positifs et d’AEPS. </w:t>
      </w:r>
    </w:p>
    <w:p w14:paraId="20D23655" w14:textId="784C7321" w:rsidR="00004DD2" w:rsidRPr="00830200" w:rsidRDefault="00004DD2" w:rsidP="00004DD2">
      <w:pPr>
        <w:numPr>
          <w:ilvl w:val="0"/>
          <w:numId w:val="8"/>
        </w:numPr>
        <w:shd w:val="clear" w:color="auto" w:fill="FFFFFF"/>
        <w:spacing w:before="120" w:after="120" w:line="240" w:lineRule="auto"/>
        <w:ind w:left="0"/>
        <w:rPr>
          <w:rFonts w:eastAsia="Calibri"/>
          <w:szCs w:val="24"/>
        </w:rPr>
      </w:pPr>
      <w:r>
        <w:rPr>
          <w:rFonts w:eastAsia="Calibri"/>
          <w:szCs w:val="24"/>
        </w:rPr>
        <w:t>D’autres</w:t>
      </w:r>
      <w:r w:rsidRPr="00577375">
        <w:rPr>
          <w:rFonts w:eastAsia="Calibri"/>
          <w:szCs w:val="24"/>
        </w:rPr>
        <w:t xml:space="preserve"> acquis enregistrés ont porté sur : (i) la création de </w:t>
      </w:r>
      <w:r>
        <w:rPr>
          <w:rFonts w:eastAsia="Calibri"/>
          <w:szCs w:val="24"/>
        </w:rPr>
        <w:t>21</w:t>
      </w:r>
      <w:r w:rsidRPr="00577375">
        <w:rPr>
          <w:rFonts w:eastAsia="Calibri"/>
          <w:szCs w:val="24"/>
        </w:rPr>
        <w:t> 7</w:t>
      </w:r>
      <w:r>
        <w:rPr>
          <w:rFonts w:eastAsia="Calibri"/>
          <w:szCs w:val="24"/>
        </w:rPr>
        <w:t>87</w:t>
      </w:r>
      <w:r w:rsidRPr="00577375">
        <w:rPr>
          <w:rFonts w:eastAsia="Calibri"/>
          <w:szCs w:val="24"/>
        </w:rPr>
        <w:t xml:space="preserve"> nouvelles entreprises ; (ii) la création du Fonds National pour les Aménagements Urbains et le Logement (FONAUL) ; (</w:t>
      </w:r>
      <w:r>
        <w:rPr>
          <w:rFonts w:eastAsia="Calibri"/>
          <w:szCs w:val="24"/>
        </w:rPr>
        <w:t>ii</w:t>
      </w:r>
      <w:r w:rsidRPr="00577375">
        <w:rPr>
          <w:rFonts w:eastAsia="Calibri"/>
          <w:szCs w:val="24"/>
        </w:rPr>
        <w:t>) l’adoption de la loi N°008-2023/ALT</w:t>
      </w:r>
      <w:r w:rsidR="00D41DC6">
        <w:rPr>
          <w:rFonts w:eastAsia="Calibri"/>
          <w:szCs w:val="24"/>
        </w:rPr>
        <w:t xml:space="preserve"> du 20 juin 2023</w:t>
      </w:r>
      <w:r w:rsidRPr="00577375">
        <w:rPr>
          <w:rFonts w:eastAsia="Calibri"/>
          <w:szCs w:val="24"/>
        </w:rPr>
        <w:t xml:space="preserve"> portant promotion immobilière au Burkina Faso ; (</w:t>
      </w:r>
      <w:r>
        <w:rPr>
          <w:rFonts w:eastAsia="Calibri"/>
          <w:szCs w:val="24"/>
        </w:rPr>
        <w:t>ii</w:t>
      </w:r>
      <w:r w:rsidRPr="00577375">
        <w:rPr>
          <w:rFonts w:eastAsia="Calibri"/>
          <w:szCs w:val="24"/>
        </w:rPr>
        <w:t>i) la mobilisation et la numérisation des plans d’aménagement et (</w:t>
      </w:r>
      <w:r>
        <w:rPr>
          <w:rFonts w:eastAsia="Calibri"/>
          <w:szCs w:val="24"/>
        </w:rPr>
        <w:t>i</w:t>
      </w:r>
      <w:r w:rsidRPr="00577375">
        <w:rPr>
          <w:rFonts w:eastAsia="Calibri"/>
          <w:szCs w:val="24"/>
        </w:rPr>
        <w:t xml:space="preserve">v) la disponibilité d’une base de données spatiales et des métadonnées sur les lotissements des </w:t>
      </w:r>
      <w:r w:rsidRPr="00830200">
        <w:rPr>
          <w:rFonts w:eastAsia="Calibri"/>
          <w:szCs w:val="24"/>
        </w:rPr>
        <w:t>treize régions du Burkina Faso</w:t>
      </w:r>
    </w:p>
    <w:p w14:paraId="4596E74A" w14:textId="77777777" w:rsidR="009768E9" w:rsidRPr="0042784A" w:rsidRDefault="00004DD2" w:rsidP="009768E9">
      <w:pPr>
        <w:numPr>
          <w:ilvl w:val="0"/>
          <w:numId w:val="8"/>
        </w:numPr>
        <w:shd w:val="clear" w:color="auto" w:fill="FFFFFF"/>
        <w:spacing w:before="120" w:after="120" w:line="240" w:lineRule="auto"/>
        <w:ind w:left="0"/>
        <w:rPr>
          <w:rFonts w:eastAsia="Calibri"/>
          <w:szCs w:val="24"/>
        </w:rPr>
      </w:pPr>
      <w:r w:rsidRPr="00830200">
        <w:rPr>
          <w:rFonts w:eastAsia="Calibri"/>
          <w:szCs w:val="24"/>
        </w:rPr>
        <w:t>En revanche,</w:t>
      </w:r>
      <w:r w:rsidR="009768E9" w:rsidRPr="00830200">
        <w:rPr>
          <w:rFonts w:eastAsia="Calibri"/>
          <w:szCs w:val="24"/>
        </w:rPr>
        <w:t xml:space="preserve"> des défis importants restent à être relevés en matière d’approfondissement des réformes </w:t>
      </w:r>
      <w:r w:rsidR="009768E9" w:rsidRPr="0042784A">
        <w:rPr>
          <w:rFonts w:eastAsia="Calibri"/>
          <w:szCs w:val="24"/>
        </w:rPr>
        <w:t>institutionnelles et de la modernisation de l’administration publique et ont trait à : (i) la révision du code électoral ; (ii) la réforme du système partisan ; (iii) la systématisation du recrutement par appel à candidatures des Directeurs généraux des entreprises et des établissements publics , (iv) la stabilisation du nombre et de la nomenclature des ministères dans une loi organique et à terme, dans la Constitution ; (v) l’accélération du processus de redécoupage administratif du territoire ; (vi) l’opérationnalisation de la dépolitisation de l'administration publique et la promotion du mérite.</w:t>
      </w:r>
    </w:p>
    <w:p w14:paraId="16D8A6C3" w14:textId="276313E8" w:rsidR="009768E9" w:rsidRPr="0042784A" w:rsidRDefault="009768E9" w:rsidP="009768E9">
      <w:pPr>
        <w:numPr>
          <w:ilvl w:val="0"/>
          <w:numId w:val="8"/>
        </w:numPr>
        <w:shd w:val="clear" w:color="auto" w:fill="FFFFFF"/>
        <w:spacing w:before="120" w:after="120" w:line="240" w:lineRule="auto"/>
        <w:ind w:left="0"/>
        <w:rPr>
          <w:rFonts w:eastAsia="Calibri"/>
          <w:szCs w:val="24"/>
        </w:rPr>
      </w:pPr>
      <w:r w:rsidRPr="0042784A">
        <w:rPr>
          <w:rFonts w:eastAsia="Calibri"/>
          <w:szCs w:val="24"/>
        </w:rPr>
        <w:t>Dans l’optique d’accélérer la mise en œuvre de toutes ces réformes importantes, il est nécessaire que des solutions idoines soient trouvées</w:t>
      </w:r>
      <w:r>
        <w:rPr>
          <w:rFonts w:eastAsia="Calibri"/>
          <w:szCs w:val="24"/>
        </w:rPr>
        <w:t>.</w:t>
      </w:r>
    </w:p>
    <w:p w14:paraId="4D7D79D2" w14:textId="77777777" w:rsidR="00577375" w:rsidRPr="00775DBB" w:rsidRDefault="00577375" w:rsidP="00577375">
      <w:pPr>
        <w:shd w:val="clear" w:color="auto" w:fill="FFFFFF"/>
        <w:spacing w:before="120" w:after="120" w:line="240" w:lineRule="auto"/>
        <w:rPr>
          <w:rFonts w:eastAsia="Calibri"/>
          <w:szCs w:val="24"/>
        </w:rPr>
      </w:pPr>
    </w:p>
    <w:p w14:paraId="630CE367" w14:textId="1F82027B" w:rsidR="004F63B4" w:rsidRPr="00C2076B" w:rsidRDefault="00EE73D2" w:rsidP="00C2076B">
      <w:pPr>
        <w:pStyle w:val="PAT3"/>
        <w:rPr>
          <w:rFonts w:eastAsia="Calibri"/>
          <w:szCs w:val="24"/>
        </w:rPr>
      </w:pPr>
      <w:bookmarkStart w:id="113" w:name="_Toc163141228"/>
      <w:r w:rsidRPr="008D2129">
        <w:t>Axe 3 : Consolider le développement du capital humain et la solidarité nationale</w:t>
      </w:r>
      <w:bookmarkEnd w:id="113"/>
    </w:p>
    <w:p w14:paraId="3A744AB2" w14:textId="61A99315" w:rsidR="0059679C" w:rsidRPr="008D2129" w:rsidRDefault="00C2076B" w:rsidP="00F175A7">
      <w:pPr>
        <w:numPr>
          <w:ilvl w:val="0"/>
          <w:numId w:val="8"/>
        </w:numPr>
        <w:shd w:val="clear" w:color="auto" w:fill="FFFFFF"/>
        <w:spacing w:before="120" w:after="120" w:line="240" w:lineRule="auto"/>
        <w:ind w:left="0"/>
        <w:rPr>
          <w:rFonts w:eastAsia="Calibri"/>
          <w:szCs w:val="24"/>
        </w:rPr>
      </w:pPr>
      <w:r w:rsidRPr="00E31E23">
        <w:t xml:space="preserve">Six (06) objectifs stratégiques contribuent à la réalisation de cet axe 3 du </w:t>
      </w:r>
      <w:r w:rsidR="00861302">
        <w:t>P</w:t>
      </w:r>
      <w:r w:rsidRPr="00E31E23">
        <w:t>ilier 3</w:t>
      </w:r>
      <w:r w:rsidR="0059679C" w:rsidRPr="008D2129">
        <w:rPr>
          <w:rFonts w:eastAsia="Calibri"/>
          <w:szCs w:val="24"/>
        </w:rPr>
        <w:t>.</w:t>
      </w:r>
    </w:p>
    <w:p w14:paraId="16B680AE" w14:textId="65E3AC59" w:rsidR="00C2076B" w:rsidRPr="00DC7590" w:rsidRDefault="001B7B59" w:rsidP="00DC7590">
      <w:pPr>
        <w:pStyle w:val="PAT4"/>
        <w:rPr>
          <w:lang w:eastAsia="fr-FR"/>
        </w:rPr>
      </w:pPr>
      <w:bookmarkStart w:id="114" w:name="_Toc163141229"/>
      <w:r w:rsidRPr="008D2129">
        <w:t>Objectif stratégique 3.1 : Promouvoir la sant</w:t>
      </w:r>
      <w:r w:rsidR="001D34DD" w:rsidRPr="008D2129">
        <w:t>é</w:t>
      </w:r>
      <w:r w:rsidRPr="008D2129">
        <w:t xml:space="preserve"> de la population et accélérer la transition démographique</w:t>
      </w:r>
      <w:bookmarkEnd w:id="114"/>
    </w:p>
    <w:p w14:paraId="6907D227" w14:textId="7777777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La promotion de la santé de la population et l’accélération de la transition démographique s’opérationnalisent à travers trois (03) actions dont l’état de mise en œuvre au 31 décembre 2023 se présente comme suit.</w:t>
      </w:r>
    </w:p>
    <w:p w14:paraId="6C161F12" w14:textId="5E42A671"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Relativement à la première action portant sur </w:t>
      </w:r>
      <w:r w:rsidRPr="00F175A7">
        <w:rPr>
          <w:rFonts w:eastAsia="Calibri"/>
          <w:b/>
          <w:szCs w:val="24"/>
        </w:rPr>
        <w:t>la poursuite des réformes en matière de santé (03049)</w:t>
      </w:r>
      <w:r w:rsidRPr="00DC7590">
        <w:rPr>
          <w:rFonts w:eastAsia="Calibri"/>
          <w:szCs w:val="24"/>
        </w:rPr>
        <w:t xml:space="preserve">, elle est mesurée par le nombre de contacts par habitant et par an dans la population générale et par le nombre de contacts par habitant et par an pour les enfants de moins de </w:t>
      </w:r>
      <w:r w:rsidRPr="00DC7590">
        <w:rPr>
          <w:rFonts w:eastAsia="Calibri"/>
          <w:szCs w:val="24"/>
        </w:rPr>
        <w:lastRenderedPageBreak/>
        <w:t>05 ans</w:t>
      </w:r>
      <w:r w:rsidR="00861302">
        <w:rPr>
          <w:rFonts w:eastAsia="Calibri"/>
          <w:szCs w:val="24"/>
        </w:rPr>
        <w:t>.</w:t>
      </w:r>
      <w:r w:rsidRPr="00DC7590">
        <w:rPr>
          <w:rFonts w:eastAsia="Calibri"/>
          <w:szCs w:val="24"/>
        </w:rPr>
        <w:t xml:space="preserve"> </w:t>
      </w:r>
      <w:r w:rsidR="00861302">
        <w:rPr>
          <w:rFonts w:eastAsia="Calibri"/>
          <w:szCs w:val="24"/>
        </w:rPr>
        <w:t>L</w:t>
      </w:r>
      <w:r w:rsidRPr="00DC7590">
        <w:rPr>
          <w:rFonts w:eastAsia="Calibri"/>
          <w:szCs w:val="24"/>
        </w:rPr>
        <w:t>es initiatives engagées ont permis d’atteindre respectivement les taux de 1,12 pour une prévision annuelle</w:t>
      </w:r>
      <w:r w:rsidR="001575B0">
        <w:rPr>
          <w:rFonts w:eastAsia="Calibri"/>
          <w:szCs w:val="24"/>
        </w:rPr>
        <w:t xml:space="preserve"> de plus de </w:t>
      </w:r>
      <w:r w:rsidRPr="00DC7590">
        <w:rPr>
          <w:rFonts w:eastAsia="Calibri"/>
          <w:szCs w:val="24"/>
        </w:rPr>
        <w:t>1,5 et de 2,14 pour un taux</w:t>
      </w:r>
      <w:r w:rsidR="001575B0">
        <w:rPr>
          <w:rFonts w:eastAsia="Calibri"/>
          <w:szCs w:val="24"/>
        </w:rPr>
        <w:t xml:space="preserve"> attendu de </w:t>
      </w:r>
      <w:r w:rsidRPr="00DC7590">
        <w:rPr>
          <w:rFonts w:eastAsia="Calibri"/>
          <w:szCs w:val="24"/>
        </w:rPr>
        <w:t>2,5</w:t>
      </w:r>
      <w:r w:rsidR="0068620E">
        <w:rPr>
          <w:rFonts w:eastAsia="Calibri"/>
          <w:szCs w:val="24"/>
        </w:rPr>
        <w:t xml:space="preserve"> en 2023</w:t>
      </w:r>
      <w:r w:rsidRPr="00DC7590">
        <w:rPr>
          <w:rFonts w:eastAsia="Calibri"/>
          <w:szCs w:val="24"/>
        </w:rPr>
        <w:t>.</w:t>
      </w:r>
    </w:p>
    <w:p w14:paraId="27B2EDE0" w14:textId="395EA9EC"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Le tableau ci-dessous donne la situation des indicateurs des produits de l’action au </w:t>
      </w:r>
      <w:r>
        <w:rPr>
          <w:rFonts w:eastAsia="Calibri"/>
          <w:szCs w:val="24"/>
        </w:rPr>
        <w:t>31 décembre 2023</w:t>
      </w:r>
      <w:r w:rsidRPr="00DC7590">
        <w:rPr>
          <w:rFonts w:eastAsia="Calibri"/>
          <w:szCs w:val="24"/>
        </w:rPr>
        <w:t>.</w:t>
      </w:r>
    </w:p>
    <w:p w14:paraId="165C796D" w14:textId="24935E93" w:rsidR="00DC7590" w:rsidRDefault="009467E6" w:rsidP="00DC7590">
      <w:pPr>
        <w:shd w:val="clear" w:color="auto" w:fill="FFFFFF"/>
        <w:spacing w:before="240" w:after="240" w:line="240" w:lineRule="auto"/>
        <w:rPr>
          <w:sz w:val="22"/>
        </w:rPr>
      </w:pPr>
      <w:bookmarkStart w:id="115" w:name="_Toc164503638"/>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51</w:t>
      </w:r>
      <w:r w:rsidRPr="00B51145">
        <w:rPr>
          <w:b/>
          <w:bCs/>
          <w:sz w:val="22"/>
          <w:u w:val="single"/>
        </w:rPr>
        <w:fldChar w:fldCharType="end"/>
      </w:r>
      <w:r w:rsidR="00DC7590" w:rsidRPr="00E31E23">
        <w:rPr>
          <w:sz w:val="22"/>
        </w:rPr>
        <w:t xml:space="preserve">: </w:t>
      </w:r>
      <w:r w:rsidR="004903D4">
        <w:rPr>
          <w:sz w:val="22"/>
        </w:rPr>
        <w:t>s</w:t>
      </w:r>
      <w:r w:rsidR="00DC7590" w:rsidRPr="00E31E23">
        <w:rPr>
          <w:sz w:val="22"/>
        </w:rPr>
        <w:t>ituation des indicateurs de produits de la poursuite des réformes en matière de santé (03049) au 31 décembre 2023</w:t>
      </w:r>
      <w:bookmarkEnd w:id="115"/>
      <w:r w:rsidR="00DC7590" w:rsidRPr="00E31E23">
        <w:rPr>
          <w:sz w:val="22"/>
        </w:rPr>
        <w:t xml:space="preserve"> </w:t>
      </w:r>
    </w:p>
    <w:tbl>
      <w:tblPr>
        <w:tblStyle w:val="TableauGrille4-Accentuation119"/>
        <w:tblW w:w="5000" w:type="pct"/>
        <w:tblLook w:val="04A0" w:firstRow="1" w:lastRow="0" w:firstColumn="1" w:lastColumn="0" w:noHBand="0" w:noVBand="1"/>
      </w:tblPr>
      <w:tblGrid>
        <w:gridCol w:w="4944"/>
        <w:gridCol w:w="1351"/>
        <w:gridCol w:w="1351"/>
        <w:gridCol w:w="1370"/>
      </w:tblGrid>
      <w:tr w:rsidR="00DC7590" w:rsidRPr="003D2260" w14:paraId="0B3D874A" w14:textId="77777777" w:rsidTr="00F175A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742" w:type="pct"/>
            <w:shd w:val="clear" w:color="auto" w:fill="4472C4" w:themeFill="accent1"/>
          </w:tcPr>
          <w:p w14:paraId="74AB1646" w14:textId="6DC3553D" w:rsidR="00DC7590" w:rsidRPr="003D2260" w:rsidRDefault="00DC7590" w:rsidP="00F175A7">
            <w:pPr>
              <w:spacing w:after="0" w:line="240" w:lineRule="auto"/>
              <w:ind w:firstLine="0"/>
            </w:pPr>
            <w:r w:rsidRPr="003D2260">
              <w:t xml:space="preserve">Indicateurs </w:t>
            </w:r>
          </w:p>
        </w:tc>
        <w:tc>
          <w:tcPr>
            <w:tcW w:w="749" w:type="pct"/>
            <w:shd w:val="clear" w:color="auto" w:fill="4472C4" w:themeFill="accent1"/>
          </w:tcPr>
          <w:p w14:paraId="628266CD" w14:textId="77777777" w:rsidR="00DC7590" w:rsidRPr="003D226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3D2260">
              <w:t>Réal. 2022</w:t>
            </w:r>
          </w:p>
        </w:tc>
        <w:tc>
          <w:tcPr>
            <w:tcW w:w="749" w:type="pct"/>
            <w:shd w:val="clear" w:color="auto" w:fill="4472C4" w:themeFill="accent1"/>
          </w:tcPr>
          <w:p w14:paraId="3FAEAB8D" w14:textId="77777777" w:rsidR="00DC7590" w:rsidRPr="003D226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3D2260">
              <w:t>Réal. 2023</w:t>
            </w:r>
          </w:p>
        </w:tc>
        <w:tc>
          <w:tcPr>
            <w:tcW w:w="760" w:type="pct"/>
            <w:shd w:val="clear" w:color="auto" w:fill="4472C4" w:themeFill="accent1"/>
          </w:tcPr>
          <w:p w14:paraId="2AF81B56" w14:textId="77777777" w:rsidR="00DC7590" w:rsidRPr="003D226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3D2260">
              <w:t>Cible 2023</w:t>
            </w:r>
          </w:p>
        </w:tc>
      </w:tr>
      <w:tr w:rsidR="00DC7590" w:rsidRPr="003D2260" w14:paraId="69EB566E"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2" w:type="pct"/>
          </w:tcPr>
          <w:p w14:paraId="527BDB94" w14:textId="77777777" w:rsidR="00DC7590" w:rsidRPr="003D2260" w:rsidRDefault="00DC7590" w:rsidP="00F175A7">
            <w:pPr>
              <w:spacing w:after="0" w:line="240" w:lineRule="auto"/>
              <w:ind w:firstLine="0"/>
            </w:pPr>
            <w:r w:rsidRPr="003D2260">
              <w:t>Nombre de prestations gratuites offertes aux enfants de moins de 05 ans</w:t>
            </w:r>
          </w:p>
        </w:tc>
        <w:tc>
          <w:tcPr>
            <w:tcW w:w="749" w:type="pct"/>
          </w:tcPr>
          <w:p w14:paraId="74A3915B"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9 857 875</w:t>
            </w:r>
          </w:p>
        </w:tc>
        <w:tc>
          <w:tcPr>
            <w:tcW w:w="749" w:type="pct"/>
          </w:tcPr>
          <w:p w14:paraId="420C5309"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10 306 739</w:t>
            </w:r>
          </w:p>
        </w:tc>
        <w:tc>
          <w:tcPr>
            <w:tcW w:w="760" w:type="pct"/>
          </w:tcPr>
          <w:p w14:paraId="6DDA4739"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13 286 126</w:t>
            </w:r>
          </w:p>
        </w:tc>
      </w:tr>
      <w:tr w:rsidR="00DC7590" w:rsidRPr="003D2260" w14:paraId="54BD1CCB"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42" w:type="pct"/>
          </w:tcPr>
          <w:p w14:paraId="045FBC91" w14:textId="77777777" w:rsidR="00DC7590" w:rsidRPr="003D2260" w:rsidRDefault="00DC7590" w:rsidP="00F175A7">
            <w:pPr>
              <w:spacing w:after="0" w:line="240" w:lineRule="auto"/>
              <w:ind w:firstLine="0"/>
            </w:pPr>
            <w:r w:rsidRPr="003D2260">
              <w:t>Nombre de prestations gratuites offertes aux femmes</w:t>
            </w:r>
          </w:p>
        </w:tc>
        <w:tc>
          <w:tcPr>
            <w:tcW w:w="749" w:type="pct"/>
          </w:tcPr>
          <w:p w14:paraId="67D1AACA"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7 142 208</w:t>
            </w:r>
          </w:p>
        </w:tc>
        <w:tc>
          <w:tcPr>
            <w:tcW w:w="749" w:type="pct"/>
          </w:tcPr>
          <w:p w14:paraId="7191F659"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9 228 233</w:t>
            </w:r>
          </w:p>
        </w:tc>
        <w:tc>
          <w:tcPr>
            <w:tcW w:w="760" w:type="pct"/>
          </w:tcPr>
          <w:p w14:paraId="07A4B4EA"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13 800 216</w:t>
            </w:r>
          </w:p>
        </w:tc>
      </w:tr>
      <w:tr w:rsidR="00DC7590" w:rsidRPr="003D2260" w14:paraId="0A76043D"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2" w:type="pct"/>
          </w:tcPr>
          <w:p w14:paraId="760682E4" w14:textId="77777777" w:rsidR="00DC7590" w:rsidRPr="003D2260" w:rsidRDefault="00DC7590" w:rsidP="00F175A7">
            <w:pPr>
              <w:spacing w:after="0" w:line="240" w:lineRule="auto"/>
              <w:ind w:firstLine="0"/>
            </w:pPr>
            <w:r w:rsidRPr="003D2260">
              <w:t>Nombre de prestations gratuites offertes aux personnes âgées</w:t>
            </w:r>
          </w:p>
        </w:tc>
        <w:tc>
          <w:tcPr>
            <w:tcW w:w="749" w:type="pct"/>
          </w:tcPr>
          <w:p w14:paraId="72D85B49"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0</w:t>
            </w:r>
          </w:p>
        </w:tc>
        <w:tc>
          <w:tcPr>
            <w:tcW w:w="749" w:type="pct"/>
          </w:tcPr>
          <w:p w14:paraId="71330676"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0</w:t>
            </w:r>
          </w:p>
        </w:tc>
        <w:tc>
          <w:tcPr>
            <w:tcW w:w="760" w:type="pct"/>
          </w:tcPr>
          <w:p w14:paraId="4D8BE250"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1 129 458</w:t>
            </w:r>
          </w:p>
        </w:tc>
      </w:tr>
      <w:tr w:rsidR="00DC7590" w:rsidRPr="003D2260" w14:paraId="72CD8213"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42" w:type="pct"/>
          </w:tcPr>
          <w:p w14:paraId="6C8D3E39" w14:textId="77777777" w:rsidR="00DC7590" w:rsidRPr="003D2260" w:rsidRDefault="00DC7590" w:rsidP="00F175A7">
            <w:pPr>
              <w:spacing w:after="0" w:line="240" w:lineRule="auto"/>
              <w:ind w:firstLine="0"/>
            </w:pPr>
            <w:r w:rsidRPr="003D2260">
              <w:t>Nombre de prestations gratuites offertes aux personnes affectées par le VIH</w:t>
            </w:r>
          </w:p>
        </w:tc>
        <w:tc>
          <w:tcPr>
            <w:tcW w:w="749" w:type="pct"/>
          </w:tcPr>
          <w:p w14:paraId="0198F50A"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52 381</w:t>
            </w:r>
          </w:p>
        </w:tc>
        <w:tc>
          <w:tcPr>
            <w:tcW w:w="749" w:type="pct"/>
          </w:tcPr>
          <w:p w14:paraId="63FD3C80"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81767</w:t>
            </w:r>
          </w:p>
        </w:tc>
        <w:tc>
          <w:tcPr>
            <w:tcW w:w="760" w:type="pct"/>
          </w:tcPr>
          <w:p w14:paraId="0506D95D"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89 782</w:t>
            </w:r>
          </w:p>
        </w:tc>
      </w:tr>
      <w:tr w:rsidR="00DC7590" w:rsidRPr="003D2260" w14:paraId="5A100BFA"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2" w:type="pct"/>
          </w:tcPr>
          <w:p w14:paraId="51040312" w14:textId="77777777" w:rsidR="00DC7590" w:rsidRPr="003D2260" w:rsidRDefault="00DC7590" w:rsidP="00F175A7">
            <w:pPr>
              <w:spacing w:after="0" w:line="240" w:lineRule="auto"/>
              <w:ind w:firstLine="0"/>
            </w:pPr>
            <w:r w:rsidRPr="003D2260">
              <w:t>Niveau de fonctionnalité du centre d’appel d’urgence du SAMU de Ouagadougou (%)</w:t>
            </w:r>
          </w:p>
        </w:tc>
        <w:tc>
          <w:tcPr>
            <w:tcW w:w="749" w:type="pct"/>
          </w:tcPr>
          <w:p w14:paraId="21F6A03C"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10</w:t>
            </w:r>
          </w:p>
        </w:tc>
        <w:tc>
          <w:tcPr>
            <w:tcW w:w="749" w:type="pct"/>
          </w:tcPr>
          <w:p w14:paraId="0D6DD758"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95</w:t>
            </w:r>
          </w:p>
        </w:tc>
        <w:tc>
          <w:tcPr>
            <w:tcW w:w="760" w:type="pct"/>
          </w:tcPr>
          <w:p w14:paraId="49EB11A0"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100</w:t>
            </w:r>
          </w:p>
        </w:tc>
      </w:tr>
      <w:tr w:rsidR="00DC7590" w:rsidRPr="003D2260" w14:paraId="707CA8EB"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42" w:type="pct"/>
          </w:tcPr>
          <w:p w14:paraId="34A86264" w14:textId="758F6C96" w:rsidR="00DC7590" w:rsidRPr="003D2260" w:rsidRDefault="00DC7590" w:rsidP="00F175A7">
            <w:pPr>
              <w:spacing w:after="0" w:line="240" w:lineRule="auto"/>
              <w:ind w:firstLine="0"/>
            </w:pPr>
            <w:r w:rsidRPr="003D2260">
              <w:t>Niveau de fonctionnalité du centre d’appel d’urgence du SAMU de Bobo</w:t>
            </w:r>
            <w:r w:rsidR="00860AEA">
              <w:t>-</w:t>
            </w:r>
            <w:r w:rsidRPr="003D2260">
              <w:t>Dioulasso (%)</w:t>
            </w:r>
          </w:p>
        </w:tc>
        <w:tc>
          <w:tcPr>
            <w:tcW w:w="749" w:type="pct"/>
          </w:tcPr>
          <w:p w14:paraId="3AD377BC"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0</w:t>
            </w:r>
          </w:p>
        </w:tc>
        <w:tc>
          <w:tcPr>
            <w:tcW w:w="749" w:type="pct"/>
          </w:tcPr>
          <w:p w14:paraId="5DA5463B"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25</w:t>
            </w:r>
          </w:p>
        </w:tc>
        <w:tc>
          <w:tcPr>
            <w:tcW w:w="760" w:type="pct"/>
          </w:tcPr>
          <w:p w14:paraId="28842498"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100</w:t>
            </w:r>
          </w:p>
        </w:tc>
      </w:tr>
      <w:tr w:rsidR="00DC7590" w:rsidRPr="003D2260" w14:paraId="1288AAF1"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2" w:type="pct"/>
            <w:vMerge w:val="restart"/>
          </w:tcPr>
          <w:p w14:paraId="79692712" w14:textId="77777777" w:rsidR="00DC7590" w:rsidRPr="003D2260" w:rsidRDefault="00DC7590" w:rsidP="00F175A7">
            <w:pPr>
              <w:spacing w:after="0" w:line="240" w:lineRule="auto"/>
              <w:ind w:firstLine="0"/>
            </w:pPr>
            <w:r w:rsidRPr="003D2260">
              <w:t>Proportion des formations sanitaires certifiées</w:t>
            </w:r>
          </w:p>
        </w:tc>
        <w:tc>
          <w:tcPr>
            <w:tcW w:w="749" w:type="pct"/>
            <w:vMerge w:val="restart"/>
          </w:tcPr>
          <w:p w14:paraId="520CC65D"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NA</w:t>
            </w:r>
          </w:p>
        </w:tc>
        <w:tc>
          <w:tcPr>
            <w:tcW w:w="749" w:type="pct"/>
          </w:tcPr>
          <w:p w14:paraId="4F22BC1F" w14:textId="77777777" w:rsidR="00DC7590" w:rsidRPr="003D226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3D2260">
              <w:t>CHR/CHU : 100</w:t>
            </w:r>
          </w:p>
        </w:tc>
        <w:tc>
          <w:tcPr>
            <w:tcW w:w="760" w:type="pct"/>
          </w:tcPr>
          <w:p w14:paraId="0297BF0B" w14:textId="77777777" w:rsidR="00DC7590" w:rsidRPr="003D226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3D2260">
              <w:t>CHR/CHU : 100</w:t>
            </w:r>
          </w:p>
        </w:tc>
      </w:tr>
      <w:tr w:rsidR="00DC7590" w:rsidRPr="003D2260" w14:paraId="0AA4532B"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42" w:type="pct"/>
            <w:vMerge/>
          </w:tcPr>
          <w:p w14:paraId="20129DE5" w14:textId="77777777" w:rsidR="00DC7590" w:rsidRPr="003D2260" w:rsidRDefault="00DC7590" w:rsidP="00F175A7">
            <w:pPr>
              <w:spacing w:after="0" w:line="240" w:lineRule="auto"/>
            </w:pPr>
          </w:p>
        </w:tc>
        <w:tc>
          <w:tcPr>
            <w:tcW w:w="749" w:type="pct"/>
            <w:vMerge/>
          </w:tcPr>
          <w:p w14:paraId="05402978"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749" w:type="pct"/>
          </w:tcPr>
          <w:p w14:paraId="09839AD1" w14:textId="77777777" w:rsidR="00DC7590" w:rsidRPr="003D226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3D2260">
              <w:t>CMA : 100</w:t>
            </w:r>
          </w:p>
        </w:tc>
        <w:tc>
          <w:tcPr>
            <w:tcW w:w="760" w:type="pct"/>
          </w:tcPr>
          <w:p w14:paraId="18D6FC93" w14:textId="77777777" w:rsidR="00DC7590" w:rsidRPr="003D226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3D2260">
              <w:t>CMA : 100</w:t>
            </w:r>
          </w:p>
        </w:tc>
      </w:tr>
      <w:tr w:rsidR="00DC7590" w:rsidRPr="003D2260" w14:paraId="0AEFAC0A"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2" w:type="pct"/>
            <w:vMerge/>
          </w:tcPr>
          <w:p w14:paraId="5D176233" w14:textId="77777777" w:rsidR="00DC7590" w:rsidRPr="003D2260" w:rsidRDefault="00DC7590" w:rsidP="00F175A7">
            <w:pPr>
              <w:spacing w:after="0" w:line="240" w:lineRule="auto"/>
            </w:pPr>
          </w:p>
        </w:tc>
        <w:tc>
          <w:tcPr>
            <w:tcW w:w="749" w:type="pct"/>
            <w:vMerge/>
          </w:tcPr>
          <w:p w14:paraId="651F269A"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49" w:type="pct"/>
          </w:tcPr>
          <w:p w14:paraId="7718C73F" w14:textId="77777777" w:rsidR="00DC7590" w:rsidRPr="003D226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3D2260">
              <w:t>CSPS/CM : ND</w:t>
            </w:r>
          </w:p>
        </w:tc>
        <w:tc>
          <w:tcPr>
            <w:tcW w:w="760" w:type="pct"/>
          </w:tcPr>
          <w:p w14:paraId="0CA0ABE8" w14:textId="77777777" w:rsidR="00DC7590" w:rsidRPr="003D226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3D2260">
              <w:t>CSPS/CM : 100</w:t>
            </w:r>
          </w:p>
        </w:tc>
      </w:tr>
      <w:tr w:rsidR="00DC7590" w:rsidRPr="003D2260" w14:paraId="7B2F3808"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42" w:type="pct"/>
          </w:tcPr>
          <w:p w14:paraId="27A7BD6C" w14:textId="0660CEE9" w:rsidR="00DC7590" w:rsidRPr="003D2260" w:rsidRDefault="00DC7590" w:rsidP="00F175A7">
            <w:pPr>
              <w:spacing w:after="0" w:line="240" w:lineRule="auto"/>
              <w:ind w:firstLine="0"/>
            </w:pPr>
            <w:r w:rsidRPr="003D2260">
              <w:t>Pourcentage d'enfants âgé</w:t>
            </w:r>
            <w:r w:rsidR="00860AEA">
              <w:t>s</w:t>
            </w:r>
            <w:r w:rsidRPr="003D2260">
              <w:t xml:space="preserve"> de 9 ans ayant reçu une dose de vaccin HPV au niveau national</w:t>
            </w:r>
          </w:p>
        </w:tc>
        <w:tc>
          <w:tcPr>
            <w:tcW w:w="749" w:type="pct"/>
          </w:tcPr>
          <w:p w14:paraId="691A9E24"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70</w:t>
            </w:r>
          </w:p>
        </w:tc>
        <w:tc>
          <w:tcPr>
            <w:tcW w:w="749" w:type="pct"/>
          </w:tcPr>
          <w:p w14:paraId="3D31B6FA"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95,6</w:t>
            </w:r>
          </w:p>
        </w:tc>
        <w:tc>
          <w:tcPr>
            <w:tcW w:w="760" w:type="pct"/>
          </w:tcPr>
          <w:p w14:paraId="37455DE0"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100</w:t>
            </w:r>
          </w:p>
        </w:tc>
      </w:tr>
      <w:tr w:rsidR="00DC7590" w:rsidRPr="003D2260" w14:paraId="7675545A"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2" w:type="pct"/>
          </w:tcPr>
          <w:p w14:paraId="5D858D0E" w14:textId="77777777" w:rsidR="00DC7590" w:rsidRPr="003D2260" w:rsidRDefault="00DC7590" w:rsidP="00F175A7">
            <w:pPr>
              <w:spacing w:after="0" w:line="240" w:lineRule="auto"/>
              <w:ind w:firstLine="0"/>
            </w:pPr>
            <w:r w:rsidRPr="003D2260">
              <w:t>Pourcentage d'enfants ayant reçu une dose de vaccin hépatite B à la naissance (%)</w:t>
            </w:r>
          </w:p>
        </w:tc>
        <w:tc>
          <w:tcPr>
            <w:tcW w:w="749" w:type="pct"/>
          </w:tcPr>
          <w:p w14:paraId="67813F8E"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62,4</w:t>
            </w:r>
          </w:p>
        </w:tc>
        <w:tc>
          <w:tcPr>
            <w:tcW w:w="749" w:type="pct"/>
          </w:tcPr>
          <w:p w14:paraId="647012E2"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95,18</w:t>
            </w:r>
          </w:p>
        </w:tc>
        <w:tc>
          <w:tcPr>
            <w:tcW w:w="760" w:type="pct"/>
          </w:tcPr>
          <w:p w14:paraId="3A91624F" w14:textId="77777777" w:rsidR="00DC7590" w:rsidRPr="003D226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3D2260">
              <w:t>90</w:t>
            </w:r>
          </w:p>
        </w:tc>
      </w:tr>
      <w:tr w:rsidR="00DC7590" w:rsidRPr="003D2260" w14:paraId="6E1BDBB5"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42" w:type="pct"/>
          </w:tcPr>
          <w:p w14:paraId="0E31F0DE" w14:textId="77777777" w:rsidR="00DC7590" w:rsidRPr="003D2260" w:rsidRDefault="00DC7590" w:rsidP="00F175A7">
            <w:pPr>
              <w:spacing w:after="0" w:line="240" w:lineRule="auto"/>
              <w:ind w:firstLine="0"/>
            </w:pPr>
            <w:r w:rsidRPr="003D2260">
              <w:t>Nombre de séances de sport pour tous organisées</w:t>
            </w:r>
          </w:p>
        </w:tc>
        <w:tc>
          <w:tcPr>
            <w:tcW w:w="749" w:type="pct"/>
          </w:tcPr>
          <w:p w14:paraId="2CF224FB"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16 438</w:t>
            </w:r>
          </w:p>
        </w:tc>
        <w:tc>
          <w:tcPr>
            <w:tcW w:w="749" w:type="pct"/>
          </w:tcPr>
          <w:p w14:paraId="60816ABA"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33 395</w:t>
            </w:r>
          </w:p>
        </w:tc>
        <w:tc>
          <w:tcPr>
            <w:tcW w:w="760" w:type="pct"/>
          </w:tcPr>
          <w:p w14:paraId="5FE84E97" w14:textId="77777777" w:rsidR="00DC7590" w:rsidRPr="003D226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3D2260">
              <w:t>15 000</w:t>
            </w:r>
          </w:p>
        </w:tc>
      </w:tr>
    </w:tbl>
    <w:p w14:paraId="3DC89B53" w14:textId="050BADA5" w:rsidR="00DC7590" w:rsidRPr="00905C09" w:rsidRDefault="00DC7590" w:rsidP="00DC7590">
      <w:pPr>
        <w:shd w:val="clear" w:color="auto" w:fill="FFFFFF"/>
        <w:spacing w:before="120" w:after="120" w:line="276" w:lineRule="auto"/>
        <w:rPr>
          <w:sz w:val="20"/>
          <w:szCs w:val="20"/>
        </w:rPr>
      </w:pPr>
      <w:r w:rsidRPr="00905C09">
        <w:rPr>
          <w:b/>
          <w:sz w:val="20"/>
          <w:szCs w:val="20"/>
        </w:rPr>
        <w:t xml:space="preserve">Source </w:t>
      </w:r>
      <w:r w:rsidR="00287D1E">
        <w:rPr>
          <w:sz w:val="20"/>
          <w:szCs w:val="20"/>
        </w:rPr>
        <w:t>: r</w:t>
      </w:r>
      <w:r w:rsidRPr="00905C09">
        <w:rPr>
          <w:sz w:val="20"/>
          <w:szCs w:val="20"/>
        </w:rPr>
        <w:t xml:space="preserve">apport </w:t>
      </w:r>
      <w:r w:rsidR="00287D1E">
        <w:rPr>
          <w:sz w:val="20"/>
          <w:szCs w:val="20"/>
        </w:rPr>
        <w:t xml:space="preserve">annuel </w:t>
      </w:r>
      <w:r w:rsidRPr="00905C09">
        <w:rPr>
          <w:sz w:val="20"/>
          <w:szCs w:val="20"/>
        </w:rPr>
        <w:t>de performance 2023 du CSD santé, février 2024</w:t>
      </w:r>
    </w:p>
    <w:p w14:paraId="53FBA0A2" w14:textId="7777777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Au niveau de la gratuité des soins offerts, la cible relative aux prestations gratuites de soins au profit des enfants de moins de 5 ans n’est pas atteinte en 2023. Cette situation s’explique par le déplacement des populations consécutif aux attaques terroristes. Toutefois, le montant dépensé est supérieur au montant prévisionnel et serait imputable à une surestimation de la cible, une sous-estimation du montant prévisionnel et à la flambée des coûts des examens complémentaires.</w:t>
      </w:r>
    </w:p>
    <w:p w14:paraId="774E4CC0" w14:textId="1A45B114"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Les prestations à l’endroit des femmes ont concerné les accouchements, les interventions obstétricales, les dépistages des lésions précancéreuses, les soins pendant la grossesse et la </w:t>
      </w:r>
      <w:r w:rsidR="00860AEA">
        <w:rPr>
          <w:rFonts w:eastAsia="Calibri"/>
          <w:szCs w:val="24"/>
        </w:rPr>
        <w:t>p</w:t>
      </w:r>
      <w:r w:rsidRPr="00DC7590">
        <w:rPr>
          <w:rFonts w:eastAsia="Calibri"/>
          <w:szCs w:val="24"/>
        </w:rPr>
        <w:t>lanification familiale. Quant aux prestations gratuites offertes aux personnes âgées, elles ne sont pas encore effectives.</w:t>
      </w:r>
    </w:p>
    <w:p w14:paraId="11E36328" w14:textId="689F62D4"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lastRenderedPageBreak/>
        <w:t xml:space="preserve"> Pour ce qui est des SAMU, celui de Ouagadougou est fonctionnel depuis fin 2023 et assure les transports secondaires, la couverture sanitaire des évènements, la régulation et participe à la gestion des catastrophes. </w:t>
      </w:r>
      <w:r w:rsidR="00860AEA">
        <w:rPr>
          <w:rFonts w:eastAsia="Calibri"/>
          <w:szCs w:val="24"/>
        </w:rPr>
        <w:t>En revanche</w:t>
      </w:r>
      <w:r w:rsidRPr="00DC7590">
        <w:rPr>
          <w:rFonts w:eastAsia="Calibri"/>
          <w:szCs w:val="24"/>
        </w:rPr>
        <w:t>, le SAMU de Bobo-Dioulasso n’est pas encore fonctionnel.</w:t>
      </w:r>
    </w:p>
    <w:p w14:paraId="5B5F9D51" w14:textId="7777777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 Concernant la pharmacie hospitalière, au 31 décembre 2023, le niveau de mise en œuvre de la Dispensation individuelle nominative (DIN) au lit du malade est de 93,23 %. Cette performance est due à une allocation conséquente des ressources financières au profit des structures de mise en œuvre.</w:t>
      </w:r>
    </w:p>
    <w:p w14:paraId="7E231792" w14:textId="62C501E0"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 A la même </w:t>
      </w:r>
      <w:r w:rsidR="001575B0">
        <w:rPr>
          <w:rFonts w:eastAsia="Calibri"/>
          <w:szCs w:val="24"/>
        </w:rPr>
        <w:t>période</w:t>
      </w:r>
      <w:r w:rsidRPr="00DC7590">
        <w:rPr>
          <w:rFonts w:eastAsia="Calibri"/>
          <w:szCs w:val="24"/>
        </w:rPr>
        <w:t>, tous les 15 CHU/CHR, les 8 polycliniques et les 3 hôpitaux privés ont été certifiés ainsi que tous les 46 Centres médicaux avec antenne chirurgicale (CMA) publics et les 4 CMA privés. La certification des CM/CSPS</w:t>
      </w:r>
      <w:r w:rsidR="001575B0">
        <w:rPr>
          <w:rFonts w:eastAsia="Calibri"/>
          <w:szCs w:val="24"/>
        </w:rPr>
        <w:t>,</w:t>
      </w:r>
      <w:r w:rsidRPr="00DC7590">
        <w:rPr>
          <w:rFonts w:eastAsia="Calibri"/>
          <w:szCs w:val="24"/>
        </w:rPr>
        <w:t xml:space="preserve"> </w:t>
      </w:r>
      <w:r w:rsidR="001575B0">
        <w:rPr>
          <w:rFonts w:eastAsia="Calibri"/>
          <w:szCs w:val="24"/>
        </w:rPr>
        <w:t xml:space="preserve">commencée en 2023, </w:t>
      </w:r>
      <w:r w:rsidRPr="00DC7590">
        <w:rPr>
          <w:rFonts w:eastAsia="Calibri"/>
          <w:szCs w:val="24"/>
        </w:rPr>
        <w:t xml:space="preserve">est prévue pour </w:t>
      </w:r>
      <w:r w:rsidR="001575B0">
        <w:rPr>
          <w:rFonts w:eastAsia="Calibri"/>
          <w:szCs w:val="24"/>
        </w:rPr>
        <w:t xml:space="preserve">être finalisée </w:t>
      </w:r>
      <w:r w:rsidRPr="00DC7590">
        <w:rPr>
          <w:rFonts w:eastAsia="Calibri"/>
          <w:szCs w:val="24"/>
        </w:rPr>
        <w:t>en 2024.</w:t>
      </w:r>
    </w:p>
    <w:p w14:paraId="234C3281" w14:textId="7777777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Pour ce qui est de la lutte contre le cancer du col de l'utérus, le pourcentage d’enfants âgés de 9 à 13 ans ayant reçu une dose de vaccin HPV est de 95,6%.</w:t>
      </w:r>
    </w:p>
    <w:p w14:paraId="3D3A3915" w14:textId="3AE5CD03"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Pour l</w:t>
      </w:r>
      <w:r w:rsidR="001575B0">
        <w:rPr>
          <w:rFonts w:eastAsia="Calibri"/>
          <w:szCs w:val="24"/>
        </w:rPr>
        <w:t>a pratique du</w:t>
      </w:r>
      <w:r w:rsidRPr="00DC7590">
        <w:rPr>
          <w:rFonts w:eastAsia="Calibri"/>
          <w:szCs w:val="24"/>
        </w:rPr>
        <w:t xml:space="preserve"> « sport pour tous », la cible est atteinte. Cette performance s'explique par l'ouverture de nouveaux sites de pratique. Sur le plan financier, sur une prévision de 288 568 000 FCFA, 154 372 000 FCFA ont été dépensés, soit un taux d’exécution financière de 54,49%.</w:t>
      </w:r>
    </w:p>
    <w:p w14:paraId="7DACB9A2" w14:textId="459F5E05"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Concernant la deuxième action relative à </w:t>
      </w:r>
      <w:r w:rsidRPr="00F175A7">
        <w:rPr>
          <w:rFonts w:eastAsia="Calibri"/>
          <w:b/>
          <w:szCs w:val="24"/>
        </w:rPr>
        <w:t>la poursuite de la mise en œuvre de la stratégie de santé communautaire (03050)</w:t>
      </w:r>
      <w:r w:rsidRPr="00DC7590">
        <w:rPr>
          <w:rFonts w:eastAsia="Calibri"/>
          <w:szCs w:val="24"/>
        </w:rPr>
        <w:t xml:space="preserve">, au 31 décembre 2023, la proportion des villages disposant d’au moins deux (02) ASBC fonctionnels est de 94,42% pour une cible de 100%. Cette situation s’explique par </w:t>
      </w:r>
      <w:r w:rsidR="001575B0">
        <w:rPr>
          <w:rFonts w:eastAsia="Calibri"/>
          <w:szCs w:val="24"/>
        </w:rPr>
        <w:t xml:space="preserve">la faible motivation des </w:t>
      </w:r>
      <w:r w:rsidR="001575B0" w:rsidRPr="00DC7590">
        <w:rPr>
          <w:rFonts w:eastAsia="Calibri"/>
          <w:szCs w:val="24"/>
        </w:rPr>
        <w:t>ASBC</w:t>
      </w:r>
      <w:r w:rsidR="001575B0">
        <w:rPr>
          <w:rFonts w:eastAsia="Calibri"/>
          <w:szCs w:val="24"/>
        </w:rPr>
        <w:t xml:space="preserve"> et les retards dans leur paiement</w:t>
      </w:r>
      <w:r w:rsidRPr="00DC7590">
        <w:rPr>
          <w:rFonts w:eastAsia="Calibri"/>
          <w:szCs w:val="24"/>
        </w:rPr>
        <w:t>. Par ailleurs, les villes de Ouagadougou et de Bobo</w:t>
      </w:r>
      <w:r w:rsidR="00860AEA">
        <w:rPr>
          <w:rFonts w:eastAsia="Calibri"/>
          <w:szCs w:val="24"/>
        </w:rPr>
        <w:t>-</w:t>
      </w:r>
      <w:r w:rsidRPr="00DC7590">
        <w:rPr>
          <w:rFonts w:eastAsia="Calibri"/>
          <w:szCs w:val="24"/>
        </w:rPr>
        <w:t>Dioulasso qui ne disposaient pas d’ASBC ont été couvertes par le recrutement de 15 000 Volontaires nationaux ASBC (VN-ASBC). Les Zones à défi sécuritaire (ZADS) ont également été renforcées par ces mêmes volontaires dans le cadre de la mise en œuvre des recommandations du forum sur la santé communautaire.</w:t>
      </w:r>
    </w:p>
    <w:p w14:paraId="665A8857" w14:textId="4AAC2403" w:rsidR="00DC7590" w:rsidRPr="004208F8" w:rsidRDefault="004208F8" w:rsidP="00DC7590">
      <w:pPr>
        <w:shd w:val="clear" w:color="auto" w:fill="FFFFFF"/>
        <w:spacing w:before="240" w:after="240" w:line="240" w:lineRule="auto"/>
        <w:rPr>
          <w:sz w:val="22"/>
        </w:rPr>
      </w:pPr>
      <w:bookmarkStart w:id="116" w:name="_Toc164503639"/>
      <w:r w:rsidRPr="00B51145">
        <w:rPr>
          <w:b/>
          <w:bCs/>
          <w:sz w:val="22"/>
          <w:u w:val="single"/>
        </w:rPr>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52</w:t>
      </w:r>
      <w:r w:rsidRPr="00B51145">
        <w:rPr>
          <w:b/>
          <w:bCs/>
          <w:sz w:val="22"/>
          <w:u w:val="single"/>
        </w:rPr>
        <w:fldChar w:fldCharType="end"/>
      </w:r>
      <w:r w:rsidR="00DC7590" w:rsidRPr="00E31E23">
        <w:t xml:space="preserve">: </w:t>
      </w:r>
      <w:r w:rsidR="004903D4">
        <w:rPr>
          <w:sz w:val="22"/>
        </w:rPr>
        <w:t>s</w:t>
      </w:r>
      <w:r w:rsidR="00DC7590" w:rsidRPr="004208F8">
        <w:rPr>
          <w:sz w:val="22"/>
        </w:rPr>
        <w:t>ituation des indicateurs de produits de la poursuite de la mise en œuvre de la stratégie de santé communautaire (03050) au 31 décembre 2023</w:t>
      </w:r>
      <w:bookmarkEnd w:id="116"/>
      <w:r w:rsidR="00DC7590" w:rsidRPr="004208F8">
        <w:rPr>
          <w:sz w:val="22"/>
        </w:rPr>
        <w:t xml:space="preserve"> </w:t>
      </w:r>
    </w:p>
    <w:tbl>
      <w:tblPr>
        <w:tblStyle w:val="TableauGrille4-Accentuation119"/>
        <w:tblW w:w="5000" w:type="pct"/>
        <w:tblLook w:val="04A0" w:firstRow="1" w:lastRow="0" w:firstColumn="1" w:lastColumn="0" w:noHBand="0" w:noVBand="1"/>
      </w:tblPr>
      <w:tblGrid>
        <w:gridCol w:w="5216"/>
        <w:gridCol w:w="1260"/>
        <w:gridCol w:w="1260"/>
        <w:gridCol w:w="1280"/>
      </w:tblGrid>
      <w:tr w:rsidR="00DC7590" w14:paraId="59E5A9EF" w14:textId="77777777" w:rsidTr="00E5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tcPr>
          <w:p w14:paraId="3A2D61A0" w14:textId="4E483F62" w:rsidR="00DC7590" w:rsidRDefault="00DC7590" w:rsidP="00F175A7">
            <w:pPr>
              <w:spacing w:after="0" w:line="240" w:lineRule="auto"/>
            </w:pPr>
            <w:r w:rsidRPr="00E31E23">
              <w:rPr>
                <w:sz w:val="20"/>
                <w:szCs w:val="20"/>
              </w:rPr>
              <w:t>Indicateur</w:t>
            </w:r>
            <w:r w:rsidR="0068620E">
              <w:rPr>
                <w:sz w:val="20"/>
                <w:szCs w:val="20"/>
              </w:rPr>
              <w:t>s</w:t>
            </w:r>
          </w:p>
        </w:tc>
        <w:tc>
          <w:tcPr>
            <w:tcW w:w="699" w:type="pct"/>
          </w:tcPr>
          <w:p w14:paraId="7A06FFCD" w14:textId="77777777" w:rsidR="00DC759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rPr>
                <w:sz w:val="20"/>
                <w:szCs w:val="20"/>
              </w:rPr>
              <w:t>Réal. 2022</w:t>
            </w:r>
          </w:p>
        </w:tc>
        <w:tc>
          <w:tcPr>
            <w:tcW w:w="699" w:type="pct"/>
          </w:tcPr>
          <w:p w14:paraId="79906304" w14:textId="77777777" w:rsidR="00DC759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rPr>
                <w:sz w:val="20"/>
                <w:szCs w:val="20"/>
              </w:rPr>
              <w:t>Réal. 2023</w:t>
            </w:r>
          </w:p>
        </w:tc>
        <w:tc>
          <w:tcPr>
            <w:tcW w:w="710" w:type="pct"/>
          </w:tcPr>
          <w:p w14:paraId="333380EC" w14:textId="77777777" w:rsidR="00DC7590" w:rsidRDefault="00DC7590" w:rsidP="00F175A7">
            <w:pPr>
              <w:spacing w:after="0" w:line="240" w:lineRule="auto"/>
              <w:cnfStyle w:val="100000000000" w:firstRow="1" w:lastRow="0" w:firstColumn="0" w:lastColumn="0" w:oddVBand="0" w:evenVBand="0" w:oddHBand="0" w:evenHBand="0" w:firstRowFirstColumn="0" w:firstRowLastColumn="0" w:lastRowFirstColumn="0" w:lastRowLastColumn="0"/>
            </w:pPr>
            <w:r>
              <w:rPr>
                <w:sz w:val="20"/>
                <w:szCs w:val="20"/>
              </w:rPr>
              <w:t xml:space="preserve">Cible </w:t>
            </w:r>
            <w:r w:rsidRPr="00E31E23">
              <w:rPr>
                <w:sz w:val="20"/>
                <w:szCs w:val="20"/>
              </w:rPr>
              <w:t>2023</w:t>
            </w:r>
          </w:p>
        </w:tc>
      </w:tr>
      <w:tr w:rsidR="00DC7590" w14:paraId="6A130ADD"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tcPr>
          <w:p w14:paraId="5AB52B9C" w14:textId="77777777" w:rsidR="00DC7590" w:rsidRDefault="00DC7590" w:rsidP="00F175A7">
            <w:pPr>
              <w:spacing w:after="0" w:line="240" w:lineRule="auto"/>
              <w:ind w:firstLine="0"/>
            </w:pPr>
            <w:r w:rsidRPr="00E31E23">
              <w:rPr>
                <w:sz w:val="20"/>
                <w:szCs w:val="20"/>
              </w:rPr>
              <w:t>Proportion d’ASBC ayant bénéficié de l’intégralité de leur motivation financière (%)</w:t>
            </w:r>
          </w:p>
        </w:tc>
        <w:tc>
          <w:tcPr>
            <w:tcW w:w="699" w:type="pct"/>
          </w:tcPr>
          <w:p w14:paraId="7356EE30"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97,5</w:t>
            </w:r>
          </w:p>
        </w:tc>
        <w:tc>
          <w:tcPr>
            <w:tcW w:w="699" w:type="pct"/>
          </w:tcPr>
          <w:p w14:paraId="68FCA491"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96,5</w:t>
            </w:r>
          </w:p>
        </w:tc>
        <w:tc>
          <w:tcPr>
            <w:tcW w:w="710" w:type="pct"/>
          </w:tcPr>
          <w:p w14:paraId="3F4235B4"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100</w:t>
            </w:r>
          </w:p>
        </w:tc>
      </w:tr>
      <w:tr w:rsidR="00DC7590" w14:paraId="750C5851" w14:textId="77777777" w:rsidTr="00E52836">
        <w:tc>
          <w:tcPr>
            <w:cnfStyle w:val="001000000000" w:firstRow="0" w:lastRow="0" w:firstColumn="1" w:lastColumn="0" w:oddVBand="0" w:evenVBand="0" w:oddHBand="0" w:evenHBand="0" w:firstRowFirstColumn="0" w:firstRowLastColumn="0" w:lastRowFirstColumn="0" w:lastRowLastColumn="0"/>
            <w:tcW w:w="2892" w:type="pct"/>
          </w:tcPr>
          <w:p w14:paraId="77949D45" w14:textId="77777777" w:rsidR="00DC7590" w:rsidRDefault="00DC7590" w:rsidP="00F175A7">
            <w:pPr>
              <w:spacing w:after="0" w:line="240" w:lineRule="auto"/>
              <w:ind w:firstLine="0"/>
            </w:pPr>
            <w:r w:rsidRPr="00E31E23">
              <w:rPr>
                <w:sz w:val="20"/>
                <w:szCs w:val="20"/>
              </w:rPr>
              <w:t>Proportion de districts couverts par la délégation des tâches en planification familiale (PF)</w:t>
            </w:r>
          </w:p>
        </w:tc>
        <w:tc>
          <w:tcPr>
            <w:tcW w:w="699" w:type="pct"/>
          </w:tcPr>
          <w:p w14:paraId="1B6249DE"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20</w:t>
            </w:r>
          </w:p>
        </w:tc>
        <w:tc>
          <w:tcPr>
            <w:tcW w:w="699" w:type="pct"/>
          </w:tcPr>
          <w:p w14:paraId="24B88F69"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47,14</w:t>
            </w:r>
          </w:p>
        </w:tc>
        <w:tc>
          <w:tcPr>
            <w:tcW w:w="710" w:type="pct"/>
          </w:tcPr>
          <w:p w14:paraId="576266BD"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52,85</w:t>
            </w:r>
          </w:p>
        </w:tc>
      </w:tr>
      <w:tr w:rsidR="00DC7590" w14:paraId="74E68C28"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tcPr>
          <w:p w14:paraId="75A51EB2" w14:textId="77777777" w:rsidR="00DC7590" w:rsidRDefault="00DC7590" w:rsidP="00F175A7">
            <w:pPr>
              <w:spacing w:after="0" w:line="240" w:lineRule="auto"/>
              <w:ind w:firstLine="0"/>
            </w:pPr>
            <w:r w:rsidRPr="00E31E23">
              <w:rPr>
                <w:sz w:val="20"/>
                <w:szCs w:val="20"/>
              </w:rPr>
              <w:t>Proportion des VN/ASBC disposant de kits (%)</w:t>
            </w:r>
          </w:p>
        </w:tc>
        <w:tc>
          <w:tcPr>
            <w:tcW w:w="699" w:type="pct"/>
          </w:tcPr>
          <w:p w14:paraId="5A979BDB"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NA</w:t>
            </w:r>
          </w:p>
        </w:tc>
        <w:tc>
          <w:tcPr>
            <w:tcW w:w="699" w:type="pct"/>
          </w:tcPr>
          <w:p w14:paraId="054310E1"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100</w:t>
            </w:r>
          </w:p>
        </w:tc>
        <w:tc>
          <w:tcPr>
            <w:tcW w:w="710" w:type="pct"/>
          </w:tcPr>
          <w:p w14:paraId="78EB45ED"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60</w:t>
            </w:r>
          </w:p>
        </w:tc>
      </w:tr>
    </w:tbl>
    <w:p w14:paraId="4B9BCC7F" w14:textId="04DF7A73" w:rsidR="00DC7590" w:rsidRPr="00287D1E" w:rsidRDefault="00DC7590" w:rsidP="00DC7590">
      <w:pPr>
        <w:shd w:val="clear" w:color="auto" w:fill="FFFFFF"/>
        <w:spacing w:before="120" w:after="120" w:line="276" w:lineRule="auto"/>
        <w:rPr>
          <w:sz w:val="20"/>
          <w:szCs w:val="20"/>
        </w:rPr>
      </w:pPr>
      <w:r w:rsidRPr="00287D1E">
        <w:rPr>
          <w:b/>
          <w:sz w:val="20"/>
          <w:szCs w:val="20"/>
          <w:u w:val="single"/>
        </w:rPr>
        <w:t>Source</w:t>
      </w:r>
      <w:r w:rsidRPr="00287D1E">
        <w:rPr>
          <w:sz w:val="20"/>
          <w:szCs w:val="20"/>
        </w:rPr>
        <w:t xml:space="preserve"> : rapport </w:t>
      </w:r>
      <w:r w:rsidR="00287D1E" w:rsidRPr="00287D1E">
        <w:rPr>
          <w:sz w:val="20"/>
          <w:szCs w:val="20"/>
        </w:rPr>
        <w:t xml:space="preserve">annuel </w:t>
      </w:r>
      <w:r w:rsidRPr="00287D1E">
        <w:rPr>
          <w:sz w:val="20"/>
          <w:szCs w:val="20"/>
        </w:rPr>
        <w:t>de performance 2023 du CSD santé, février 2024</w:t>
      </w:r>
    </w:p>
    <w:p w14:paraId="3301089E" w14:textId="1B10D474"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Un seul produit de l’action « </w:t>
      </w:r>
      <w:r w:rsidR="00860AEA">
        <w:rPr>
          <w:rFonts w:eastAsia="Calibri"/>
          <w:szCs w:val="24"/>
        </w:rPr>
        <w:t>p</w:t>
      </w:r>
      <w:r w:rsidRPr="00DC7590">
        <w:rPr>
          <w:rFonts w:eastAsia="Calibri"/>
          <w:szCs w:val="24"/>
        </w:rPr>
        <w:t>oursuite de la mise en œuvre de la stratégie de santé communautaire » (03050) a atteint sa cible. La non</w:t>
      </w:r>
      <w:r w:rsidR="00860AEA">
        <w:rPr>
          <w:rFonts w:eastAsia="Calibri"/>
          <w:szCs w:val="24"/>
        </w:rPr>
        <w:t>-</w:t>
      </w:r>
      <w:r w:rsidRPr="00DC7590">
        <w:rPr>
          <w:rFonts w:eastAsia="Calibri"/>
          <w:szCs w:val="24"/>
        </w:rPr>
        <w:t xml:space="preserve">disponibilité du réseau téléphonique dans certaines localités, l’expiration de certaines CNIB, la perte de puces par certains ASBC expliquent le niveau de couverture des ASBC ayant bénéficié de l’intégralité de leur </w:t>
      </w:r>
      <w:r w:rsidRPr="00DC7590">
        <w:rPr>
          <w:rFonts w:eastAsia="Calibri"/>
          <w:szCs w:val="24"/>
        </w:rPr>
        <w:lastRenderedPageBreak/>
        <w:t>motivation financière.  La proportion de districts couverts par la délégation des tâches en planification familiale est en hausse mais reste en deçà de la cible. Cet état de fait est lié à l’insuffisance des ressources financières</w:t>
      </w:r>
      <w:r w:rsidR="001575B0">
        <w:rPr>
          <w:rFonts w:eastAsia="Calibri"/>
          <w:szCs w:val="24"/>
        </w:rPr>
        <w:t xml:space="preserve"> pour l’opérationnalisation de cette stratégie</w:t>
      </w:r>
      <w:r w:rsidRPr="00DC7590">
        <w:rPr>
          <w:rFonts w:eastAsia="Calibri"/>
          <w:szCs w:val="24"/>
        </w:rPr>
        <w:t>.</w:t>
      </w:r>
    </w:p>
    <w:p w14:paraId="49B45F21" w14:textId="7C12B1AF"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Quant à </w:t>
      </w:r>
      <w:r w:rsidRPr="00F175A7">
        <w:rPr>
          <w:rFonts w:eastAsia="Calibri"/>
          <w:b/>
          <w:szCs w:val="24"/>
        </w:rPr>
        <w:t>l’action relative à la poursuite des investissements en matière de santé (03051)</w:t>
      </w:r>
      <w:r w:rsidRPr="00DC7590">
        <w:rPr>
          <w:rFonts w:eastAsia="Calibri"/>
          <w:szCs w:val="24"/>
        </w:rPr>
        <w:t xml:space="preserve">, les effets sont appréciés à travers l’évolution du rayon moyen d’action théorique y compris le privé. En 2023, l’indicateur s’est amélioré avec l’ouverture de </w:t>
      </w:r>
      <w:r w:rsidR="001575B0">
        <w:rPr>
          <w:rFonts w:eastAsia="Calibri"/>
          <w:szCs w:val="24"/>
        </w:rPr>
        <w:t>50</w:t>
      </w:r>
      <w:r w:rsidRPr="00DC7590">
        <w:rPr>
          <w:rFonts w:eastAsia="Calibri"/>
          <w:szCs w:val="24"/>
        </w:rPr>
        <w:t xml:space="preserve"> CSPS. La poursuite des constructions et l’opérationnalisation de nouvelles formations sanitaires de base contribuent à l’amélioration du niveau de cet indicateur.</w:t>
      </w:r>
    </w:p>
    <w:p w14:paraId="27B244A4" w14:textId="1513002E" w:rsidR="00DC7590" w:rsidRPr="004208F8" w:rsidRDefault="004208F8" w:rsidP="00DC7590">
      <w:pPr>
        <w:shd w:val="clear" w:color="auto" w:fill="FFFFFF"/>
        <w:spacing w:before="240" w:after="240" w:line="240" w:lineRule="auto"/>
        <w:rPr>
          <w:sz w:val="22"/>
        </w:rPr>
      </w:pPr>
      <w:bookmarkStart w:id="117" w:name="_Toc164503640"/>
      <w:r w:rsidRPr="004208F8">
        <w:rPr>
          <w:b/>
          <w:bCs/>
          <w:sz w:val="22"/>
          <w:u w:val="single"/>
        </w:rPr>
        <w:t xml:space="preserve">Tableau </w:t>
      </w:r>
      <w:r w:rsidRPr="004208F8">
        <w:rPr>
          <w:b/>
          <w:bCs/>
          <w:sz w:val="22"/>
          <w:u w:val="single"/>
        </w:rPr>
        <w:fldChar w:fldCharType="begin"/>
      </w:r>
      <w:r w:rsidRPr="004208F8">
        <w:rPr>
          <w:b/>
          <w:bCs/>
          <w:sz w:val="22"/>
          <w:u w:val="single"/>
        </w:rPr>
        <w:instrText xml:space="preserve"> SEQ Tableau \* ARABIC </w:instrText>
      </w:r>
      <w:r w:rsidRPr="004208F8">
        <w:rPr>
          <w:b/>
          <w:bCs/>
          <w:sz w:val="22"/>
          <w:u w:val="single"/>
        </w:rPr>
        <w:fldChar w:fldCharType="separate"/>
      </w:r>
      <w:r w:rsidR="007C2E4E">
        <w:rPr>
          <w:b/>
          <w:bCs/>
          <w:noProof/>
          <w:sz w:val="22"/>
          <w:u w:val="single"/>
        </w:rPr>
        <w:t>53</w:t>
      </w:r>
      <w:r w:rsidRPr="004208F8">
        <w:rPr>
          <w:b/>
          <w:bCs/>
          <w:sz w:val="22"/>
          <w:u w:val="single"/>
        </w:rPr>
        <w:fldChar w:fldCharType="end"/>
      </w:r>
      <w:r w:rsidR="00DC7590" w:rsidRPr="004208F8">
        <w:rPr>
          <w:sz w:val="22"/>
        </w:rPr>
        <w:t xml:space="preserve">: </w:t>
      </w:r>
      <w:r w:rsidR="00860AEA">
        <w:rPr>
          <w:sz w:val="22"/>
        </w:rPr>
        <w:t>s</w:t>
      </w:r>
      <w:r w:rsidR="00DC7590" w:rsidRPr="004208F8">
        <w:rPr>
          <w:sz w:val="22"/>
        </w:rPr>
        <w:t>ituation des indicateurs de produits en matière de poursuite des investissements en matière de santé (A3051) au 31 décembre</w:t>
      </w:r>
      <w:bookmarkEnd w:id="117"/>
      <w:r w:rsidR="00DC7590" w:rsidRPr="004208F8">
        <w:rPr>
          <w:sz w:val="22"/>
        </w:rPr>
        <w:t xml:space="preserve"> </w:t>
      </w:r>
    </w:p>
    <w:tbl>
      <w:tblPr>
        <w:tblStyle w:val="TableauGrille4-Accentuation119"/>
        <w:tblW w:w="5000" w:type="pct"/>
        <w:tblLook w:val="04A0" w:firstRow="1" w:lastRow="0" w:firstColumn="1" w:lastColumn="0" w:noHBand="0" w:noVBand="1"/>
      </w:tblPr>
      <w:tblGrid>
        <w:gridCol w:w="4135"/>
        <w:gridCol w:w="1711"/>
        <w:gridCol w:w="1619"/>
        <w:gridCol w:w="1551"/>
      </w:tblGrid>
      <w:tr w:rsidR="00DC7590" w14:paraId="6F5D7DE2" w14:textId="77777777" w:rsidTr="00E63F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3" w:type="pct"/>
          </w:tcPr>
          <w:p w14:paraId="7CFFFE46" w14:textId="77777777" w:rsidR="00DC7590" w:rsidRDefault="00DC7590" w:rsidP="00F175A7">
            <w:pPr>
              <w:spacing w:after="0" w:line="240" w:lineRule="auto"/>
            </w:pPr>
            <w:r w:rsidRPr="00E31E23">
              <w:rPr>
                <w:sz w:val="20"/>
                <w:szCs w:val="20"/>
              </w:rPr>
              <w:t>Indicateurs</w:t>
            </w:r>
          </w:p>
        </w:tc>
        <w:tc>
          <w:tcPr>
            <w:tcW w:w="949" w:type="pct"/>
          </w:tcPr>
          <w:p w14:paraId="03CAB433" w14:textId="77777777" w:rsidR="00DC759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rPr>
                <w:sz w:val="20"/>
                <w:szCs w:val="20"/>
              </w:rPr>
              <w:t>Réal. 2022</w:t>
            </w:r>
          </w:p>
        </w:tc>
        <w:tc>
          <w:tcPr>
            <w:tcW w:w="898" w:type="pct"/>
          </w:tcPr>
          <w:p w14:paraId="126FCA3E" w14:textId="77777777" w:rsidR="00DC759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rPr>
                <w:sz w:val="20"/>
                <w:szCs w:val="20"/>
              </w:rPr>
              <w:t>Réal. 2023</w:t>
            </w:r>
          </w:p>
        </w:tc>
        <w:tc>
          <w:tcPr>
            <w:tcW w:w="860" w:type="pct"/>
          </w:tcPr>
          <w:p w14:paraId="65AE6B76" w14:textId="77777777" w:rsidR="00DC7590" w:rsidRDefault="00DC7590"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rPr>
                <w:sz w:val="20"/>
                <w:szCs w:val="20"/>
              </w:rPr>
              <w:t>Cible 2023</w:t>
            </w:r>
          </w:p>
        </w:tc>
      </w:tr>
      <w:tr w:rsidR="00DC7590" w14:paraId="2C204A2D"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70B33625" w14:textId="77777777" w:rsidR="00DC7590" w:rsidRDefault="00DC7590" w:rsidP="00F175A7">
            <w:pPr>
              <w:spacing w:after="0" w:line="240" w:lineRule="auto"/>
              <w:ind w:firstLine="0"/>
            </w:pPr>
            <w:r w:rsidRPr="00E31E23">
              <w:rPr>
                <w:sz w:val="20"/>
                <w:szCs w:val="20"/>
              </w:rPr>
              <w:t>Nombre de nouveaux CSPS construits et équipés</w:t>
            </w:r>
          </w:p>
        </w:tc>
        <w:tc>
          <w:tcPr>
            <w:tcW w:w="949" w:type="pct"/>
          </w:tcPr>
          <w:p w14:paraId="26310AC6"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27</w:t>
            </w:r>
          </w:p>
        </w:tc>
        <w:tc>
          <w:tcPr>
            <w:tcW w:w="898" w:type="pct"/>
          </w:tcPr>
          <w:p w14:paraId="427725F8" w14:textId="25DE5275" w:rsidR="00DC7590" w:rsidRDefault="00002390" w:rsidP="00F175A7">
            <w:pPr>
              <w:spacing w:after="0" w:line="240" w:lineRule="auto"/>
              <w:cnfStyle w:val="000000100000" w:firstRow="0" w:lastRow="0" w:firstColumn="0" w:lastColumn="0" w:oddVBand="0" w:evenVBand="0" w:oddHBand="1" w:evenHBand="0" w:firstRowFirstColumn="0" w:firstRowLastColumn="0" w:lastRowFirstColumn="0" w:lastRowLastColumn="0"/>
            </w:pPr>
            <w:r>
              <w:rPr>
                <w:sz w:val="20"/>
                <w:szCs w:val="20"/>
              </w:rPr>
              <w:t>50</w:t>
            </w:r>
          </w:p>
        </w:tc>
        <w:tc>
          <w:tcPr>
            <w:tcW w:w="860" w:type="pct"/>
          </w:tcPr>
          <w:p w14:paraId="6FF88557"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64</w:t>
            </w:r>
          </w:p>
        </w:tc>
      </w:tr>
      <w:tr w:rsidR="00DC7590" w14:paraId="7FA4DCC7"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6DCA65A7" w14:textId="77777777" w:rsidR="00DC7590" w:rsidRDefault="00DC7590" w:rsidP="00F175A7">
            <w:pPr>
              <w:spacing w:after="0" w:line="240" w:lineRule="auto"/>
              <w:ind w:firstLine="0"/>
            </w:pPr>
            <w:r w:rsidRPr="00E31E23">
              <w:rPr>
                <w:sz w:val="20"/>
                <w:szCs w:val="20"/>
              </w:rPr>
              <w:t>Nombre de nouveaux CSPS transformés en CM</w:t>
            </w:r>
          </w:p>
        </w:tc>
        <w:tc>
          <w:tcPr>
            <w:tcW w:w="949" w:type="pct"/>
          </w:tcPr>
          <w:p w14:paraId="08AAB88C"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44</w:t>
            </w:r>
          </w:p>
        </w:tc>
        <w:tc>
          <w:tcPr>
            <w:tcW w:w="898" w:type="pct"/>
          </w:tcPr>
          <w:p w14:paraId="18769686"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16</w:t>
            </w:r>
          </w:p>
        </w:tc>
        <w:tc>
          <w:tcPr>
            <w:tcW w:w="860" w:type="pct"/>
          </w:tcPr>
          <w:p w14:paraId="187946FB"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16</w:t>
            </w:r>
          </w:p>
        </w:tc>
      </w:tr>
      <w:tr w:rsidR="00DC7590" w14:paraId="239E0DBE"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vMerge w:val="restart"/>
          </w:tcPr>
          <w:p w14:paraId="72B6B713" w14:textId="77777777" w:rsidR="00DC7590" w:rsidRDefault="00DC7590" w:rsidP="00F175A7">
            <w:pPr>
              <w:spacing w:after="0" w:line="240" w:lineRule="auto"/>
              <w:ind w:firstLine="0"/>
            </w:pPr>
            <w:r w:rsidRPr="00E31E23">
              <w:rPr>
                <w:sz w:val="20"/>
                <w:szCs w:val="20"/>
              </w:rPr>
              <w:t>Niveau de réalisation des CMA normalisés (%)</w:t>
            </w:r>
          </w:p>
        </w:tc>
        <w:tc>
          <w:tcPr>
            <w:tcW w:w="949" w:type="pct"/>
          </w:tcPr>
          <w:p w14:paraId="669A4C9C"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Po: 50</w:t>
            </w:r>
          </w:p>
        </w:tc>
        <w:tc>
          <w:tcPr>
            <w:tcW w:w="898" w:type="pct"/>
          </w:tcPr>
          <w:p w14:paraId="4879EE7D"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Po: 100</w:t>
            </w:r>
          </w:p>
        </w:tc>
        <w:tc>
          <w:tcPr>
            <w:tcW w:w="860" w:type="pct"/>
          </w:tcPr>
          <w:p w14:paraId="08BF07E2"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Po: 100</w:t>
            </w:r>
          </w:p>
        </w:tc>
      </w:tr>
      <w:tr w:rsidR="00DC7590" w14:paraId="76F406B3" w14:textId="77777777" w:rsidTr="00E52836">
        <w:tc>
          <w:tcPr>
            <w:cnfStyle w:val="001000000000" w:firstRow="0" w:lastRow="0" w:firstColumn="1" w:lastColumn="0" w:oddVBand="0" w:evenVBand="0" w:oddHBand="0" w:evenHBand="0" w:firstRowFirstColumn="0" w:firstRowLastColumn="0" w:lastRowFirstColumn="0" w:lastRowLastColumn="0"/>
            <w:tcW w:w="2293" w:type="pct"/>
            <w:vMerge/>
          </w:tcPr>
          <w:p w14:paraId="0182050C" w14:textId="77777777" w:rsidR="00DC7590" w:rsidRDefault="00DC7590" w:rsidP="00F175A7">
            <w:pPr>
              <w:spacing w:after="0" w:line="240" w:lineRule="auto"/>
            </w:pPr>
          </w:p>
        </w:tc>
        <w:tc>
          <w:tcPr>
            <w:tcW w:w="949" w:type="pct"/>
          </w:tcPr>
          <w:p w14:paraId="74085AB9"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proofErr w:type="spellStart"/>
            <w:r w:rsidRPr="00E31E23">
              <w:rPr>
                <w:sz w:val="20"/>
                <w:szCs w:val="20"/>
              </w:rPr>
              <w:t>Diébougou</w:t>
            </w:r>
            <w:proofErr w:type="spellEnd"/>
            <w:r w:rsidRPr="00E31E23">
              <w:rPr>
                <w:sz w:val="20"/>
                <w:szCs w:val="20"/>
              </w:rPr>
              <w:t>: 50</w:t>
            </w:r>
          </w:p>
        </w:tc>
        <w:tc>
          <w:tcPr>
            <w:tcW w:w="898" w:type="pct"/>
          </w:tcPr>
          <w:p w14:paraId="7F8D6257"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proofErr w:type="spellStart"/>
            <w:r w:rsidRPr="00E31E23">
              <w:rPr>
                <w:sz w:val="20"/>
                <w:szCs w:val="20"/>
              </w:rPr>
              <w:t>Diébougou</w:t>
            </w:r>
            <w:proofErr w:type="spellEnd"/>
            <w:r w:rsidRPr="00E31E23">
              <w:rPr>
                <w:sz w:val="20"/>
                <w:szCs w:val="20"/>
              </w:rPr>
              <w:t>: 62</w:t>
            </w:r>
          </w:p>
        </w:tc>
        <w:tc>
          <w:tcPr>
            <w:tcW w:w="860" w:type="pct"/>
          </w:tcPr>
          <w:p w14:paraId="6E02A800"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proofErr w:type="spellStart"/>
            <w:r w:rsidRPr="00E31E23">
              <w:rPr>
                <w:sz w:val="20"/>
                <w:szCs w:val="20"/>
              </w:rPr>
              <w:t>Diébougou</w:t>
            </w:r>
            <w:proofErr w:type="spellEnd"/>
            <w:r w:rsidRPr="00E31E23">
              <w:rPr>
                <w:sz w:val="20"/>
                <w:szCs w:val="20"/>
              </w:rPr>
              <w:t>: 100</w:t>
            </w:r>
          </w:p>
        </w:tc>
      </w:tr>
      <w:tr w:rsidR="00DC7590" w14:paraId="5C9B6A5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vMerge w:val="restart"/>
          </w:tcPr>
          <w:p w14:paraId="0AB2073A" w14:textId="77777777" w:rsidR="00DC7590" w:rsidRDefault="00DC7590" w:rsidP="00F175A7">
            <w:pPr>
              <w:spacing w:after="0" w:line="240" w:lineRule="auto"/>
              <w:ind w:firstLine="0"/>
            </w:pPr>
            <w:r w:rsidRPr="00E31E23">
              <w:rPr>
                <w:sz w:val="20"/>
                <w:szCs w:val="20"/>
              </w:rPr>
              <w:t>Niveau de réalisation de nouveaux CMA (%)</w:t>
            </w:r>
          </w:p>
        </w:tc>
        <w:tc>
          <w:tcPr>
            <w:tcW w:w="949" w:type="pct"/>
          </w:tcPr>
          <w:p w14:paraId="6ACBFBD5"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Léna: 5</w:t>
            </w:r>
          </w:p>
        </w:tc>
        <w:tc>
          <w:tcPr>
            <w:tcW w:w="898" w:type="pct"/>
          </w:tcPr>
          <w:p w14:paraId="2E890A53"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Léna: 12,59</w:t>
            </w:r>
          </w:p>
        </w:tc>
        <w:tc>
          <w:tcPr>
            <w:tcW w:w="860" w:type="pct"/>
          </w:tcPr>
          <w:p w14:paraId="5A5DD403"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Léna: 20</w:t>
            </w:r>
          </w:p>
        </w:tc>
      </w:tr>
      <w:tr w:rsidR="00DC7590" w14:paraId="77C3429F" w14:textId="77777777" w:rsidTr="00E52836">
        <w:tc>
          <w:tcPr>
            <w:cnfStyle w:val="001000000000" w:firstRow="0" w:lastRow="0" w:firstColumn="1" w:lastColumn="0" w:oddVBand="0" w:evenVBand="0" w:oddHBand="0" w:evenHBand="0" w:firstRowFirstColumn="0" w:firstRowLastColumn="0" w:lastRowFirstColumn="0" w:lastRowLastColumn="0"/>
            <w:tcW w:w="2293" w:type="pct"/>
            <w:vMerge/>
          </w:tcPr>
          <w:p w14:paraId="514B004A" w14:textId="77777777" w:rsidR="00DC7590" w:rsidRDefault="00DC7590" w:rsidP="00F175A7">
            <w:pPr>
              <w:spacing w:after="0" w:line="240" w:lineRule="auto"/>
            </w:pPr>
          </w:p>
        </w:tc>
        <w:tc>
          <w:tcPr>
            <w:tcW w:w="949" w:type="pct"/>
          </w:tcPr>
          <w:p w14:paraId="455706AD"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rPr>
                <w:sz w:val="20"/>
                <w:szCs w:val="20"/>
              </w:rPr>
              <w:t>K-</w:t>
            </w:r>
            <w:proofErr w:type="spellStart"/>
            <w:r w:rsidRPr="00E31E23">
              <w:rPr>
                <w:sz w:val="20"/>
                <w:szCs w:val="20"/>
              </w:rPr>
              <w:t>igué</w:t>
            </w:r>
            <w:proofErr w:type="spellEnd"/>
            <w:r w:rsidRPr="00E31E23">
              <w:rPr>
                <w:sz w:val="20"/>
                <w:szCs w:val="20"/>
              </w:rPr>
              <w:t>: 5</w:t>
            </w:r>
          </w:p>
        </w:tc>
        <w:tc>
          <w:tcPr>
            <w:tcW w:w="898" w:type="pct"/>
          </w:tcPr>
          <w:p w14:paraId="36A7F4FD"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proofErr w:type="spellStart"/>
            <w:r w:rsidRPr="00E31E23">
              <w:rPr>
                <w:sz w:val="20"/>
                <w:szCs w:val="20"/>
              </w:rPr>
              <w:t>Kvigué</w:t>
            </w:r>
            <w:proofErr w:type="spellEnd"/>
            <w:r w:rsidRPr="00E31E23">
              <w:rPr>
                <w:sz w:val="20"/>
                <w:szCs w:val="20"/>
              </w:rPr>
              <w:t>: 31,60</w:t>
            </w:r>
          </w:p>
        </w:tc>
        <w:tc>
          <w:tcPr>
            <w:tcW w:w="860" w:type="pct"/>
          </w:tcPr>
          <w:p w14:paraId="646E5517"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rPr>
                <w:sz w:val="20"/>
                <w:szCs w:val="20"/>
              </w:rPr>
              <w:t xml:space="preserve">K </w:t>
            </w:r>
            <w:proofErr w:type="spellStart"/>
            <w:r w:rsidRPr="00E31E23">
              <w:rPr>
                <w:sz w:val="20"/>
                <w:szCs w:val="20"/>
              </w:rPr>
              <w:t>vigué</w:t>
            </w:r>
            <w:proofErr w:type="spellEnd"/>
            <w:r w:rsidRPr="00E31E23">
              <w:rPr>
                <w:sz w:val="20"/>
                <w:szCs w:val="20"/>
              </w:rPr>
              <w:t>: 20</w:t>
            </w:r>
          </w:p>
        </w:tc>
      </w:tr>
      <w:tr w:rsidR="00DC7590" w14:paraId="5E78439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vMerge/>
          </w:tcPr>
          <w:p w14:paraId="18DFC3DA" w14:textId="77777777" w:rsidR="00DC7590" w:rsidRDefault="00DC7590" w:rsidP="00F175A7">
            <w:pPr>
              <w:spacing w:after="0" w:line="240" w:lineRule="auto"/>
            </w:pPr>
          </w:p>
        </w:tc>
        <w:tc>
          <w:tcPr>
            <w:tcW w:w="949" w:type="pct"/>
          </w:tcPr>
          <w:p w14:paraId="5B693FDC"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Kampti</w:t>
            </w:r>
            <w:proofErr w:type="spellEnd"/>
            <w:r w:rsidRPr="00E31E23">
              <w:rPr>
                <w:sz w:val="20"/>
                <w:szCs w:val="20"/>
              </w:rPr>
              <w:t>: 45</w:t>
            </w:r>
          </w:p>
        </w:tc>
        <w:tc>
          <w:tcPr>
            <w:tcW w:w="898" w:type="pct"/>
          </w:tcPr>
          <w:p w14:paraId="6FC3C791"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Kampti</w:t>
            </w:r>
            <w:proofErr w:type="spellEnd"/>
            <w:r w:rsidRPr="00E31E23">
              <w:rPr>
                <w:sz w:val="20"/>
                <w:szCs w:val="20"/>
              </w:rPr>
              <w:t>: 69,72</w:t>
            </w:r>
          </w:p>
        </w:tc>
        <w:tc>
          <w:tcPr>
            <w:tcW w:w="860" w:type="pct"/>
          </w:tcPr>
          <w:p w14:paraId="44CBEE0D"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Kampti</w:t>
            </w:r>
            <w:proofErr w:type="spellEnd"/>
            <w:r w:rsidRPr="00E31E23">
              <w:rPr>
                <w:sz w:val="20"/>
                <w:szCs w:val="20"/>
              </w:rPr>
              <w:t>: 60</w:t>
            </w:r>
          </w:p>
        </w:tc>
      </w:tr>
      <w:tr w:rsidR="00DC7590" w14:paraId="670AFD15" w14:textId="77777777" w:rsidTr="00E52836">
        <w:tc>
          <w:tcPr>
            <w:cnfStyle w:val="001000000000" w:firstRow="0" w:lastRow="0" w:firstColumn="1" w:lastColumn="0" w:oddVBand="0" w:evenVBand="0" w:oddHBand="0" w:evenHBand="0" w:firstRowFirstColumn="0" w:firstRowLastColumn="0" w:lastRowFirstColumn="0" w:lastRowLastColumn="0"/>
            <w:tcW w:w="2293" w:type="pct"/>
            <w:vMerge/>
          </w:tcPr>
          <w:p w14:paraId="46C69E2C" w14:textId="77777777" w:rsidR="00DC7590" w:rsidRDefault="00DC7590" w:rsidP="00F175A7">
            <w:pPr>
              <w:spacing w:after="0" w:line="240" w:lineRule="auto"/>
            </w:pPr>
          </w:p>
        </w:tc>
        <w:tc>
          <w:tcPr>
            <w:tcW w:w="949" w:type="pct"/>
          </w:tcPr>
          <w:p w14:paraId="4CAEEA68"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rPr>
                <w:sz w:val="20"/>
                <w:szCs w:val="20"/>
              </w:rPr>
              <w:t>N’</w:t>
            </w:r>
            <w:proofErr w:type="spellStart"/>
            <w:r w:rsidRPr="00E31E23">
              <w:rPr>
                <w:sz w:val="20"/>
                <w:szCs w:val="20"/>
              </w:rPr>
              <w:t>Dorola</w:t>
            </w:r>
            <w:proofErr w:type="spellEnd"/>
            <w:r w:rsidRPr="00E31E23">
              <w:rPr>
                <w:sz w:val="20"/>
                <w:szCs w:val="20"/>
              </w:rPr>
              <w:t xml:space="preserve"> : 58</w:t>
            </w:r>
          </w:p>
        </w:tc>
        <w:tc>
          <w:tcPr>
            <w:tcW w:w="898" w:type="pct"/>
          </w:tcPr>
          <w:p w14:paraId="6D636B40"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rPr>
                <w:sz w:val="20"/>
                <w:szCs w:val="20"/>
              </w:rPr>
              <w:t>N’</w:t>
            </w:r>
            <w:proofErr w:type="spellStart"/>
            <w:r w:rsidRPr="00E31E23">
              <w:rPr>
                <w:sz w:val="20"/>
                <w:szCs w:val="20"/>
              </w:rPr>
              <w:t>Dorola</w:t>
            </w:r>
            <w:proofErr w:type="spellEnd"/>
            <w:r w:rsidRPr="00E31E23">
              <w:rPr>
                <w:sz w:val="20"/>
                <w:szCs w:val="20"/>
              </w:rPr>
              <w:t xml:space="preserve"> : 58</w:t>
            </w:r>
          </w:p>
        </w:tc>
        <w:tc>
          <w:tcPr>
            <w:tcW w:w="860" w:type="pct"/>
          </w:tcPr>
          <w:p w14:paraId="1A165D6E" w14:textId="77777777" w:rsidR="00DC7590" w:rsidRDefault="00DC7590"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rPr>
                <w:sz w:val="20"/>
                <w:szCs w:val="20"/>
              </w:rPr>
              <w:t>N’</w:t>
            </w:r>
            <w:proofErr w:type="spellStart"/>
            <w:r w:rsidRPr="00E31E23">
              <w:rPr>
                <w:sz w:val="20"/>
                <w:szCs w:val="20"/>
              </w:rPr>
              <w:t>Dorola</w:t>
            </w:r>
            <w:proofErr w:type="spellEnd"/>
            <w:r w:rsidRPr="00E31E23">
              <w:rPr>
                <w:sz w:val="20"/>
                <w:szCs w:val="20"/>
              </w:rPr>
              <w:t xml:space="preserve"> : 60</w:t>
            </w:r>
          </w:p>
        </w:tc>
      </w:tr>
      <w:tr w:rsidR="00DC7590" w14:paraId="25DA68E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vMerge/>
          </w:tcPr>
          <w:p w14:paraId="2B9BEA58" w14:textId="77777777" w:rsidR="00DC7590" w:rsidRDefault="00DC7590" w:rsidP="00F175A7">
            <w:pPr>
              <w:spacing w:after="0" w:line="240" w:lineRule="auto"/>
            </w:pPr>
          </w:p>
        </w:tc>
        <w:tc>
          <w:tcPr>
            <w:tcW w:w="949" w:type="pct"/>
          </w:tcPr>
          <w:p w14:paraId="1779F209"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Mani: 95</w:t>
            </w:r>
          </w:p>
        </w:tc>
        <w:tc>
          <w:tcPr>
            <w:tcW w:w="898" w:type="pct"/>
          </w:tcPr>
          <w:p w14:paraId="3C47025C"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Mani: 95</w:t>
            </w:r>
          </w:p>
        </w:tc>
        <w:tc>
          <w:tcPr>
            <w:tcW w:w="860" w:type="pct"/>
          </w:tcPr>
          <w:p w14:paraId="0B325B04" w14:textId="77777777" w:rsidR="00DC7590" w:rsidRDefault="00DC7590"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rPr>
                <w:sz w:val="20"/>
                <w:szCs w:val="20"/>
              </w:rPr>
              <w:t>Mani: 100</w:t>
            </w:r>
          </w:p>
        </w:tc>
      </w:tr>
      <w:tr w:rsidR="00DC7590" w14:paraId="1AE50F28"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46F6D4C2" w14:textId="5C8CD264" w:rsidR="00DC7590" w:rsidRDefault="00DC7590" w:rsidP="00F175A7">
            <w:pPr>
              <w:spacing w:after="0" w:line="240" w:lineRule="auto"/>
              <w:ind w:firstLine="0"/>
            </w:pPr>
            <w:r w:rsidRPr="00E31E23">
              <w:rPr>
                <w:sz w:val="20"/>
                <w:szCs w:val="20"/>
              </w:rPr>
              <w:t xml:space="preserve">Niveau de réalisation de la première phase du centre de </w:t>
            </w:r>
            <w:r w:rsidR="00860AEA">
              <w:rPr>
                <w:sz w:val="20"/>
                <w:szCs w:val="20"/>
              </w:rPr>
              <w:t>c</w:t>
            </w:r>
            <w:r w:rsidRPr="00E31E23">
              <w:rPr>
                <w:sz w:val="20"/>
                <w:szCs w:val="20"/>
              </w:rPr>
              <w:t xml:space="preserve">ancérologie de </w:t>
            </w:r>
            <w:proofErr w:type="spellStart"/>
            <w:r w:rsidRPr="00E31E23">
              <w:rPr>
                <w:sz w:val="20"/>
                <w:szCs w:val="20"/>
              </w:rPr>
              <w:t>Tengandogo</w:t>
            </w:r>
            <w:proofErr w:type="spellEnd"/>
            <w:r w:rsidRPr="00E31E23">
              <w:rPr>
                <w:sz w:val="20"/>
                <w:szCs w:val="20"/>
              </w:rPr>
              <w:t xml:space="preserve"> (%)</w:t>
            </w:r>
          </w:p>
        </w:tc>
        <w:tc>
          <w:tcPr>
            <w:tcW w:w="949" w:type="pct"/>
          </w:tcPr>
          <w:p w14:paraId="064CFFD4"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75</w:t>
            </w:r>
          </w:p>
        </w:tc>
        <w:tc>
          <w:tcPr>
            <w:tcW w:w="898" w:type="pct"/>
          </w:tcPr>
          <w:p w14:paraId="52FF2A54"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98</w:t>
            </w:r>
          </w:p>
        </w:tc>
        <w:tc>
          <w:tcPr>
            <w:tcW w:w="860" w:type="pct"/>
          </w:tcPr>
          <w:p w14:paraId="2207A8D7"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100</w:t>
            </w:r>
          </w:p>
        </w:tc>
      </w:tr>
      <w:tr w:rsidR="00DC7590" w14:paraId="5D790F8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60833D35" w14:textId="77777777" w:rsidR="00DC7590" w:rsidRDefault="00DC7590" w:rsidP="00F175A7">
            <w:pPr>
              <w:spacing w:after="0" w:line="240" w:lineRule="auto"/>
              <w:ind w:firstLine="0"/>
            </w:pPr>
            <w:r w:rsidRPr="00E31E23">
              <w:rPr>
                <w:sz w:val="20"/>
                <w:szCs w:val="20"/>
              </w:rPr>
              <w:t>Niveau de réalisation du nouveau CHU de Bobo-Dioulasso (%)</w:t>
            </w:r>
          </w:p>
        </w:tc>
        <w:tc>
          <w:tcPr>
            <w:tcW w:w="949" w:type="pct"/>
          </w:tcPr>
          <w:p w14:paraId="25D005A1"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15</w:t>
            </w:r>
          </w:p>
        </w:tc>
        <w:tc>
          <w:tcPr>
            <w:tcW w:w="898" w:type="pct"/>
          </w:tcPr>
          <w:p w14:paraId="3874B021"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75</w:t>
            </w:r>
          </w:p>
        </w:tc>
        <w:tc>
          <w:tcPr>
            <w:tcW w:w="860" w:type="pct"/>
          </w:tcPr>
          <w:p w14:paraId="6F95B621"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50</w:t>
            </w:r>
          </w:p>
        </w:tc>
      </w:tr>
      <w:tr w:rsidR="00DC7590" w14:paraId="424B42F3"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08551ACA" w14:textId="77777777" w:rsidR="00DC7590" w:rsidRDefault="00DC7590" w:rsidP="00F175A7">
            <w:pPr>
              <w:spacing w:after="0" w:line="240" w:lineRule="auto"/>
              <w:ind w:firstLine="0"/>
            </w:pPr>
            <w:r w:rsidRPr="00E31E23">
              <w:rPr>
                <w:sz w:val="20"/>
                <w:szCs w:val="20"/>
              </w:rPr>
              <w:t>Niveau de réalisation du centre de radiothérapie de Bobo-Dioulasso (%)</w:t>
            </w:r>
          </w:p>
        </w:tc>
        <w:tc>
          <w:tcPr>
            <w:tcW w:w="949" w:type="pct"/>
          </w:tcPr>
          <w:p w14:paraId="43F17712"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w:t>
            </w:r>
          </w:p>
        </w:tc>
        <w:tc>
          <w:tcPr>
            <w:tcW w:w="898" w:type="pct"/>
          </w:tcPr>
          <w:p w14:paraId="2171D684"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65</w:t>
            </w:r>
          </w:p>
        </w:tc>
        <w:tc>
          <w:tcPr>
            <w:tcW w:w="860" w:type="pct"/>
          </w:tcPr>
          <w:p w14:paraId="273F4BCA"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100</w:t>
            </w:r>
          </w:p>
        </w:tc>
      </w:tr>
      <w:tr w:rsidR="00DC7590" w14:paraId="28AAE9D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5C543174" w14:textId="77777777" w:rsidR="00DC7590" w:rsidRDefault="00DC7590" w:rsidP="00F175A7">
            <w:pPr>
              <w:spacing w:after="0" w:line="240" w:lineRule="auto"/>
              <w:ind w:firstLine="0"/>
            </w:pPr>
            <w:r w:rsidRPr="00E31E23">
              <w:rPr>
                <w:sz w:val="20"/>
                <w:szCs w:val="20"/>
              </w:rPr>
              <w:t xml:space="preserve">Niveau de réalisation du CHU de </w:t>
            </w:r>
            <w:proofErr w:type="spellStart"/>
            <w:r w:rsidRPr="00E31E23">
              <w:rPr>
                <w:sz w:val="20"/>
                <w:szCs w:val="20"/>
              </w:rPr>
              <w:t>Bassinko</w:t>
            </w:r>
            <w:proofErr w:type="spellEnd"/>
            <w:r w:rsidRPr="00E31E23">
              <w:rPr>
                <w:sz w:val="20"/>
                <w:szCs w:val="20"/>
              </w:rPr>
              <w:t xml:space="preserve"> (%)</w:t>
            </w:r>
          </w:p>
        </w:tc>
        <w:tc>
          <w:tcPr>
            <w:tcW w:w="949" w:type="pct"/>
          </w:tcPr>
          <w:p w14:paraId="24FA0C6E" w14:textId="1C10BC38" w:rsidR="00DC7590" w:rsidRDefault="001575B0" w:rsidP="00F175A7">
            <w:pPr>
              <w:spacing w:after="0" w:line="240" w:lineRule="auto"/>
              <w:cnfStyle w:val="000000100000" w:firstRow="0" w:lastRow="0" w:firstColumn="0" w:lastColumn="0" w:oddVBand="0" w:evenVBand="0" w:oddHBand="1" w:evenHBand="0" w:firstRowFirstColumn="0" w:firstRowLastColumn="0" w:lastRowFirstColumn="0" w:lastRowLastColumn="0"/>
            </w:pPr>
            <w:r>
              <w:rPr>
                <w:sz w:val="20"/>
                <w:szCs w:val="20"/>
              </w:rPr>
              <w:t>7</w:t>
            </w:r>
          </w:p>
        </w:tc>
        <w:tc>
          <w:tcPr>
            <w:tcW w:w="898" w:type="pct"/>
          </w:tcPr>
          <w:p w14:paraId="27BB90E9" w14:textId="49116E02"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 xml:space="preserve"> </w:t>
            </w:r>
            <w:r w:rsidR="001575B0">
              <w:rPr>
                <w:sz w:val="20"/>
                <w:szCs w:val="20"/>
              </w:rPr>
              <w:t>8</w:t>
            </w:r>
          </w:p>
        </w:tc>
        <w:tc>
          <w:tcPr>
            <w:tcW w:w="860" w:type="pct"/>
          </w:tcPr>
          <w:p w14:paraId="61B2EFEB" w14:textId="3CB62F60"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10</w:t>
            </w:r>
          </w:p>
        </w:tc>
      </w:tr>
      <w:tr w:rsidR="00DC7590" w14:paraId="0BD27CFC"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3FD95397" w14:textId="43B5D3DD" w:rsidR="00DC7590" w:rsidRDefault="00DC7590" w:rsidP="00F175A7">
            <w:pPr>
              <w:spacing w:after="0" w:line="240" w:lineRule="auto"/>
              <w:ind w:firstLine="0"/>
            </w:pPr>
            <w:r w:rsidRPr="00E31E23">
              <w:rPr>
                <w:sz w:val="20"/>
                <w:szCs w:val="20"/>
              </w:rPr>
              <w:t xml:space="preserve">Niveau de réalisation </w:t>
            </w:r>
            <w:r w:rsidR="00860AEA">
              <w:rPr>
                <w:sz w:val="20"/>
                <w:szCs w:val="20"/>
              </w:rPr>
              <w:t xml:space="preserve">du </w:t>
            </w:r>
            <w:r w:rsidRPr="00E31E23">
              <w:rPr>
                <w:sz w:val="20"/>
                <w:szCs w:val="20"/>
              </w:rPr>
              <w:t>CHR de Manga (%)</w:t>
            </w:r>
          </w:p>
        </w:tc>
        <w:tc>
          <w:tcPr>
            <w:tcW w:w="949" w:type="pct"/>
          </w:tcPr>
          <w:p w14:paraId="0F689F13"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70,75</w:t>
            </w:r>
          </w:p>
        </w:tc>
        <w:tc>
          <w:tcPr>
            <w:tcW w:w="898" w:type="pct"/>
          </w:tcPr>
          <w:p w14:paraId="3BAB5FDD"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95,54</w:t>
            </w:r>
          </w:p>
        </w:tc>
        <w:tc>
          <w:tcPr>
            <w:tcW w:w="860" w:type="pct"/>
          </w:tcPr>
          <w:p w14:paraId="38897176"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100</w:t>
            </w:r>
          </w:p>
        </w:tc>
      </w:tr>
      <w:tr w:rsidR="00DC7590" w14:paraId="57753A7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25117D1B" w14:textId="741E0340" w:rsidR="00DC7590" w:rsidRDefault="00DC7590" w:rsidP="00F175A7">
            <w:pPr>
              <w:spacing w:after="0" w:line="240" w:lineRule="auto"/>
              <w:ind w:firstLine="0"/>
            </w:pPr>
            <w:r w:rsidRPr="00E31E23">
              <w:rPr>
                <w:sz w:val="20"/>
                <w:szCs w:val="20"/>
              </w:rPr>
              <w:t>Niveau de réalisation du pool mère enfant du nouveau CHR</w:t>
            </w:r>
            <w:r w:rsidR="00860AEA">
              <w:rPr>
                <w:sz w:val="20"/>
                <w:szCs w:val="20"/>
              </w:rPr>
              <w:t>-</w:t>
            </w:r>
            <w:r w:rsidRPr="00E31E23">
              <w:rPr>
                <w:sz w:val="20"/>
                <w:szCs w:val="20"/>
              </w:rPr>
              <w:t>U de Dédougou (%)</w:t>
            </w:r>
          </w:p>
        </w:tc>
        <w:tc>
          <w:tcPr>
            <w:tcW w:w="949" w:type="pct"/>
          </w:tcPr>
          <w:p w14:paraId="2AF93912"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70</w:t>
            </w:r>
          </w:p>
        </w:tc>
        <w:tc>
          <w:tcPr>
            <w:tcW w:w="898" w:type="pct"/>
          </w:tcPr>
          <w:p w14:paraId="360F2D39"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70</w:t>
            </w:r>
          </w:p>
        </w:tc>
        <w:tc>
          <w:tcPr>
            <w:tcW w:w="860" w:type="pct"/>
          </w:tcPr>
          <w:p w14:paraId="7F46BAB2"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100</w:t>
            </w:r>
          </w:p>
        </w:tc>
      </w:tr>
      <w:tr w:rsidR="00DC7590" w14:paraId="5864C50C"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475003F3" w14:textId="77777777" w:rsidR="00DC7590" w:rsidRDefault="00DC7590" w:rsidP="00F175A7">
            <w:pPr>
              <w:spacing w:after="0" w:line="240" w:lineRule="auto"/>
              <w:ind w:firstLine="0"/>
            </w:pPr>
            <w:r w:rsidRPr="00E31E23">
              <w:rPr>
                <w:sz w:val="20"/>
                <w:szCs w:val="20"/>
              </w:rPr>
              <w:t>Niveau de réalisation du CHR-U de Fada (%)</w:t>
            </w:r>
          </w:p>
        </w:tc>
        <w:tc>
          <w:tcPr>
            <w:tcW w:w="949" w:type="pct"/>
          </w:tcPr>
          <w:p w14:paraId="63B467A1"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0</w:t>
            </w:r>
          </w:p>
        </w:tc>
        <w:tc>
          <w:tcPr>
            <w:tcW w:w="898" w:type="pct"/>
          </w:tcPr>
          <w:p w14:paraId="1AF869FA"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0</w:t>
            </w:r>
          </w:p>
        </w:tc>
        <w:tc>
          <w:tcPr>
            <w:tcW w:w="860" w:type="pct"/>
          </w:tcPr>
          <w:p w14:paraId="4706512B"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 xml:space="preserve"> 15</w:t>
            </w:r>
          </w:p>
        </w:tc>
      </w:tr>
      <w:tr w:rsidR="00DC7590" w14:paraId="03614A9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2CE842D0" w14:textId="77777777" w:rsidR="00DC7590" w:rsidRDefault="00DC7590" w:rsidP="00F175A7">
            <w:pPr>
              <w:spacing w:after="0" w:line="240" w:lineRule="auto"/>
              <w:ind w:firstLine="0"/>
            </w:pPr>
            <w:r w:rsidRPr="00E31E23">
              <w:rPr>
                <w:sz w:val="20"/>
                <w:szCs w:val="20"/>
              </w:rPr>
              <w:t xml:space="preserve">Niveau de réalisation du CHR-U de </w:t>
            </w:r>
            <w:proofErr w:type="spellStart"/>
            <w:r w:rsidRPr="00E31E23">
              <w:rPr>
                <w:sz w:val="20"/>
                <w:szCs w:val="20"/>
              </w:rPr>
              <w:t>Gaoua</w:t>
            </w:r>
            <w:proofErr w:type="spellEnd"/>
            <w:r w:rsidRPr="00E31E23">
              <w:rPr>
                <w:sz w:val="20"/>
                <w:szCs w:val="20"/>
              </w:rPr>
              <w:t xml:space="preserve"> (%)</w:t>
            </w:r>
          </w:p>
        </w:tc>
        <w:tc>
          <w:tcPr>
            <w:tcW w:w="949" w:type="pct"/>
          </w:tcPr>
          <w:p w14:paraId="6557FD27"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0</w:t>
            </w:r>
          </w:p>
        </w:tc>
        <w:tc>
          <w:tcPr>
            <w:tcW w:w="898" w:type="pct"/>
          </w:tcPr>
          <w:p w14:paraId="7B97A7F7" w14:textId="344437E3" w:rsidR="00DC7590" w:rsidRDefault="001575B0" w:rsidP="00F175A7">
            <w:pPr>
              <w:spacing w:after="0" w:line="240" w:lineRule="auto"/>
              <w:cnfStyle w:val="000000100000" w:firstRow="0" w:lastRow="0" w:firstColumn="0" w:lastColumn="0" w:oddVBand="0" w:evenVBand="0" w:oddHBand="1" w:evenHBand="0" w:firstRowFirstColumn="0" w:firstRowLastColumn="0" w:lastRowFirstColumn="0" w:lastRowLastColumn="0"/>
            </w:pPr>
            <w:r>
              <w:rPr>
                <w:sz w:val="20"/>
                <w:szCs w:val="20"/>
              </w:rPr>
              <w:t>15</w:t>
            </w:r>
          </w:p>
        </w:tc>
        <w:tc>
          <w:tcPr>
            <w:tcW w:w="860" w:type="pct"/>
          </w:tcPr>
          <w:p w14:paraId="0413B707"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15</w:t>
            </w:r>
          </w:p>
        </w:tc>
      </w:tr>
      <w:tr w:rsidR="00DC7590" w14:paraId="1B33ACCA"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4677E597" w14:textId="77777777" w:rsidR="00DC7590" w:rsidRDefault="00DC7590" w:rsidP="00F175A7">
            <w:pPr>
              <w:spacing w:after="0" w:line="240" w:lineRule="auto"/>
              <w:ind w:firstLine="0"/>
            </w:pPr>
            <w:r w:rsidRPr="00E31E23">
              <w:rPr>
                <w:sz w:val="20"/>
                <w:szCs w:val="20"/>
              </w:rPr>
              <w:t xml:space="preserve">Niveau de réalisation du centre de neurochirurgie spécialisé de </w:t>
            </w:r>
            <w:proofErr w:type="spellStart"/>
            <w:r w:rsidRPr="00E31E23">
              <w:rPr>
                <w:sz w:val="20"/>
                <w:szCs w:val="20"/>
              </w:rPr>
              <w:t>Tengandogo</w:t>
            </w:r>
            <w:proofErr w:type="spellEnd"/>
            <w:r w:rsidRPr="00E31E23">
              <w:rPr>
                <w:sz w:val="20"/>
                <w:szCs w:val="20"/>
              </w:rPr>
              <w:t xml:space="preserve"> (%)</w:t>
            </w:r>
          </w:p>
        </w:tc>
        <w:tc>
          <w:tcPr>
            <w:tcW w:w="949" w:type="pct"/>
          </w:tcPr>
          <w:p w14:paraId="00AF9E10" w14:textId="3820DA47" w:rsidR="00DC7590" w:rsidRDefault="001575B0"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sz w:val="20"/>
                <w:szCs w:val="20"/>
              </w:rPr>
              <w:t>75</w:t>
            </w:r>
          </w:p>
        </w:tc>
        <w:tc>
          <w:tcPr>
            <w:tcW w:w="898" w:type="pct"/>
          </w:tcPr>
          <w:p w14:paraId="6C4F74DF" w14:textId="5F62B553"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7</w:t>
            </w:r>
            <w:r w:rsidR="001575B0">
              <w:rPr>
                <w:sz w:val="20"/>
                <w:szCs w:val="20"/>
              </w:rPr>
              <w:t>9</w:t>
            </w:r>
          </w:p>
        </w:tc>
        <w:tc>
          <w:tcPr>
            <w:tcW w:w="860" w:type="pct"/>
          </w:tcPr>
          <w:p w14:paraId="3F437D88"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80</w:t>
            </w:r>
          </w:p>
        </w:tc>
      </w:tr>
      <w:tr w:rsidR="00DC7590" w14:paraId="582512AA"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287887D1" w14:textId="77777777" w:rsidR="00DC7590" w:rsidRDefault="00DC7590" w:rsidP="00F175A7">
            <w:pPr>
              <w:spacing w:after="0" w:line="240" w:lineRule="auto"/>
              <w:ind w:firstLine="0"/>
            </w:pPr>
            <w:r w:rsidRPr="00E31E23">
              <w:rPr>
                <w:sz w:val="20"/>
                <w:szCs w:val="20"/>
              </w:rPr>
              <w:t>Niveau de réalisation du centre de gériatrie de Ouagadougou (%)</w:t>
            </w:r>
          </w:p>
        </w:tc>
        <w:tc>
          <w:tcPr>
            <w:tcW w:w="949" w:type="pct"/>
          </w:tcPr>
          <w:p w14:paraId="32FF2CE0"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44</w:t>
            </w:r>
          </w:p>
        </w:tc>
        <w:tc>
          <w:tcPr>
            <w:tcW w:w="898" w:type="pct"/>
          </w:tcPr>
          <w:p w14:paraId="02695FF3" w14:textId="68D321B1" w:rsidR="00DC7590" w:rsidRDefault="001575B0" w:rsidP="00F175A7">
            <w:pPr>
              <w:spacing w:after="0" w:line="240" w:lineRule="auto"/>
              <w:cnfStyle w:val="000000100000" w:firstRow="0" w:lastRow="0" w:firstColumn="0" w:lastColumn="0" w:oddVBand="0" w:evenVBand="0" w:oddHBand="1" w:evenHBand="0" w:firstRowFirstColumn="0" w:firstRowLastColumn="0" w:lastRowFirstColumn="0" w:lastRowLastColumn="0"/>
            </w:pPr>
            <w:r>
              <w:rPr>
                <w:sz w:val="20"/>
                <w:szCs w:val="20"/>
              </w:rPr>
              <w:t>60</w:t>
            </w:r>
          </w:p>
        </w:tc>
        <w:tc>
          <w:tcPr>
            <w:tcW w:w="860" w:type="pct"/>
          </w:tcPr>
          <w:p w14:paraId="1F92A733"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100</w:t>
            </w:r>
          </w:p>
        </w:tc>
      </w:tr>
      <w:tr w:rsidR="00DC7590" w14:paraId="7FE15EBB"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2149EB03" w14:textId="77777777" w:rsidR="00DC7590" w:rsidRDefault="00DC7590" w:rsidP="00F175A7">
            <w:pPr>
              <w:spacing w:after="0" w:line="240" w:lineRule="auto"/>
              <w:ind w:firstLine="0"/>
            </w:pPr>
            <w:r w:rsidRPr="00E31E23">
              <w:rPr>
                <w:sz w:val="20"/>
                <w:szCs w:val="20"/>
              </w:rPr>
              <w:t>Niveau de réalisation du centre de gériatrie de Bobo-Dioulasso (%)</w:t>
            </w:r>
          </w:p>
        </w:tc>
        <w:tc>
          <w:tcPr>
            <w:tcW w:w="949" w:type="pct"/>
          </w:tcPr>
          <w:p w14:paraId="2BC9911B"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0</w:t>
            </w:r>
          </w:p>
        </w:tc>
        <w:tc>
          <w:tcPr>
            <w:tcW w:w="898" w:type="pct"/>
          </w:tcPr>
          <w:p w14:paraId="6ED0896E" w14:textId="06C07CC3" w:rsidR="00DC7590" w:rsidRDefault="001575B0" w:rsidP="00F175A7">
            <w:pPr>
              <w:spacing w:after="0" w:line="240" w:lineRule="auto"/>
              <w:cnfStyle w:val="000000000000" w:firstRow="0" w:lastRow="0" w:firstColumn="0" w:lastColumn="0" w:oddVBand="0" w:evenVBand="0" w:oddHBand="0" w:evenHBand="0" w:firstRowFirstColumn="0" w:firstRowLastColumn="0" w:lastRowFirstColumn="0" w:lastRowLastColumn="0"/>
            </w:pPr>
            <w:r>
              <w:rPr>
                <w:sz w:val="20"/>
                <w:szCs w:val="20"/>
              </w:rPr>
              <w:t>0</w:t>
            </w:r>
          </w:p>
        </w:tc>
        <w:tc>
          <w:tcPr>
            <w:tcW w:w="860" w:type="pct"/>
          </w:tcPr>
          <w:p w14:paraId="51352BE2"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10</w:t>
            </w:r>
          </w:p>
        </w:tc>
      </w:tr>
      <w:tr w:rsidR="00DC7590" w14:paraId="75C9FC88"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03FC1FC7" w14:textId="77777777" w:rsidR="00DC7590" w:rsidRDefault="00DC7590" w:rsidP="00F175A7">
            <w:pPr>
              <w:spacing w:after="0" w:line="240" w:lineRule="auto"/>
              <w:ind w:firstLine="0"/>
            </w:pPr>
            <w:r w:rsidRPr="00E31E23">
              <w:rPr>
                <w:sz w:val="20"/>
                <w:szCs w:val="20"/>
              </w:rPr>
              <w:t>Niveau de réalisation du CHR de Fada (%)</w:t>
            </w:r>
          </w:p>
        </w:tc>
        <w:tc>
          <w:tcPr>
            <w:tcW w:w="949" w:type="pct"/>
          </w:tcPr>
          <w:p w14:paraId="7A5BC1DF"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31,69</w:t>
            </w:r>
          </w:p>
        </w:tc>
        <w:tc>
          <w:tcPr>
            <w:tcW w:w="898" w:type="pct"/>
          </w:tcPr>
          <w:p w14:paraId="2D298B23"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31,69</w:t>
            </w:r>
          </w:p>
        </w:tc>
        <w:tc>
          <w:tcPr>
            <w:tcW w:w="860" w:type="pct"/>
          </w:tcPr>
          <w:p w14:paraId="2DCB92C3"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60</w:t>
            </w:r>
          </w:p>
        </w:tc>
      </w:tr>
      <w:tr w:rsidR="00DC7590" w14:paraId="32BA7B6E" w14:textId="77777777" w:rsidTr="00E52836">
        <w:tc>
          <w:tcPr>
            <w:cnfStyle w:val="001000000000" w:firstRow="0" w:lastRow="0" w:firstColumn="1" w:lastColumn="0" w:oddVBand="0" w:evenVBand="0" w:oddHBand="0" w:evenHBand="0" w:firstRowFirstColumn="0" w:firstRowLastColumn="0" w:lastRowFirstColumn="0" w:lastRowLastColumn="0"/>
            <w:tcW w:w="2293" w:type="pct"/>
          </w:tcPr>
          <w:p w14:paraId="60E9E85D" w14:textId="68D35DA8" w:rsidR="00DC7590" w:rsidRDefault="00DC7590" w:rsidP="00860AEA">
            <w:pPr>
              <w:spacing w:after="0" w:line="240" w:lineRule="auto"/>
              <w:ind w:firstLine="0"/>
            </w:pPr>
            <w:r w:rsidRPr="00E31E23">
              <w:rPr>
                <w:sz w:val="20"/>
                <w:szCs w:val="20"/>
              </w:rPr>
              <w:t xml:space="preserve">Niveau de réalisation du centre </w:t>
            </w:r>
            <w:r w:rsidR="00860AEA">
              <w:rPr>
                <w:sz w:val="20"/>
                <w:szCs w:val="20"/>
              </w:rPr>
              <w:t>r</w:t>
            </w:r>
            <w:r w:rsidRPr="00E31E23">
              <w:rPr>
                <w:sz w:val="20"/>
                <w:szCs w:val="20"/>
              </w:rPr>
              <w:t xml:space="preserve">égional de transfusion de </w:t>
            </w:r>
            <w:proofErr w:type="spellStart"/>
            <w:r w:rsidRPr="00E31E23">
              <w:rPr>
                <w:sz w:val="20"/>
                <w:szCs w:val="20"/>
              </w:rPr>
              <w:t>D</w:t>
            </w:r>
            <w:r w:rsidR="00860AEA">
              <w:rPr>
                <w:sz w:val="20"/>
                <w:szCs w:val="20"/>
              </w:rPr>
              <w:t>ori</w:t>
            </w:r>
            <w:proofErr w:type="spellEnd"/>
            <w:r w:rsidRPr="00E31E23">
              <w:rPr>
                <w:sz w:val="20"/>
                <w:szCs w:val="20"/>
              </w:rPr>
              <w:t xml:space="preserve"> (%)</w:t>
            </w:r>
          </w:p>
        </w:tc>
        <w:tc>
          <w:tcPr>
            <w:tcW w:w="949" w:type="pct"/>
          </w:tcPr>
          <w:p w14:paraId="0884147A"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0</w:t>
            </w:r>
          </w:p>
        </w:tc>
        <w:tc>
          <w:tcPr>
            <w:tcW w:w="898" w:type="pct"/>
          </w:tcPr>
          <w:p w14:paraId="4E1233E2"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0</w:t>
            </w:r>
          </w:p>
        </w:tc>
        <w:tc>
          <w:tcPr>
            <w:tcW w:w="860" w:type="pct"/>
          </w:tcPr>
          <w:p w14:paraId="2B5D3B58"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0</w:t>
            </w:r>
          </w:p>
        </w:tc>
      </w:tr>
      <w:tr w:rsidR="00DC7590" w14:paraId="5662F65E"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vMerge w:val="restart"/>
          </w:tcPr>
          <w:p w14:paraId="371E0A58" w14:textId="77777777" w:rsidR="00DC7590" w:rsidRDefault="00DC7590" w:rsidP="00F175A7">
            <w:pPr>
              <w:spacing w:after="0" w:line="240" w:lineRule="auto"/>
              <w:ind w:firstLine="0"/>
            </w:pPr>
            <w:r w:rsidRPr="00E31E23">
              <w:rPr>
                <w:sz w:val="20"/>
                <w:szCs w:val="20"/>
              </w:rPr>
              <w:t>Taux de réalisation des hôpitaux de districts</w:t>
            </w:r>
          </w:p>
        </w:tc>
        <w:tc>
          <w:tcPr>
            <w:tcW w:w="949" w:type="pct"/>
          </w:tcPr>
          <w:p w14:paraId="167FB494" w14:textId="217F092D"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Zorgho</w:t>
            </w:r>
            <w:proofErr w:type="spellEnd"/>
            <w:r w:rsidRPr="00E31E23">
              <w:rPr>
                <w:sz w:val="20"/>
                <w:szCs w:val="20"/>
              </w:rPr>
              <w:t xml:space="preserve">: </w:t>
            </w:r>
            <w:r w:rsidR="001575B0">
              <w:rPr>
                <w:sz w:val="20"/>
                <w:szCs w:val="20"/>
              </w:rPr>
              <w:t>5</w:t>
            </w:r>
            <w:r w:rsidRPr="00E31E23">
              <w:rPr>
                <w:sz w:val="20"/>
                <w:szCs w:val="20"/>
              </w:rPr>
              <w:t>%</w:t>
            </w:r>
          </w:p>
        </w:tc>
        <w:tc>
          <w:tcPr>
            <w:tcW w:w="898" w:type="pct"/>
          </w:tcPr>
          <w:p w14:paraId="3C3F46BE" w14:textId="63427C35"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Zorgho</w:t>
            </w:r>
            <w:proofErr w:type="spellEnd"/>
            <w:r w:rsidRPr="00E31E23">
              <w:rPr>
                <w:sz w:val="20"/>
                <w:szCs w:val="20"/>
              </w:rPr>
              <w:t>:</w:t>
            </w:r>
            <w:r w:rsidR="001575B0">
              <w:rPr>
                <w:sz w:val="20"/>
                <w:szCs w:val="20"/>
              </w:rPr>
              <w:t xml:space="preserve"> 9,09</w:t>
            </w:r>
          </w:p>
        </w:tc>
        <w:tc>
          <w:tcPr>
            <w:tcW w:w="860" w:type="pct"/>
          </w:tcPr>
          <w:p w14:paraId="6289AA9B"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Zorgho</w:t>
            </w:r>
            <w:proofErr w:type="spellEnd"/>
            <w:r w:rsidRPr="00E31E23">
              <w:rPr>
                <w:sz w:val="20"/>
                <w:szCs w:val="20"/>
              </w:rPr>
              <w:t>: 20</w:t>
            </w:r>
          </w:p>
        </w:tc>
      </w:tr>
      <w:tr w:rsidR="00DC7590" w14:paraId="3BB87FF4" w14:textId="77777777" w:rsidTr="00E52836">
        <w:tc>
          <w:tcPr>
            <w:cnfStyle w:val="001000000000" w:firstRow="0" w:lastRow="0" w:firstColumn="1" w:lastColumn="0" w:oddVBand="0" w:evenVBand="0" w:oddHBand="0" w:evenHBand="0" w:firstRowFirstColumn="0" w:firstRowLastColumn="0" w:lastRowFirstColumn="0" w:lastRowLastColumn="0"/>
            <w:tcW w:w="2293" w:type="pct"/>
            <w:vMerge/>
          </w:tcPr>
          <w:p w14:paraId="2D9249DE" w14:textId="77777777" w:rsidR="00DC7590" w:rsidRDefault="00DC7590" w:rsidP="00F175A7">
            <w:pPr>
              <w:spacing w:after="0" w:line="240" w:lineRule="auto"/>
            </w:pPr>
          </w:p>
        </w:tc>
        <w:tc>
          <w:tcPr>
            <w:tcW w:w="949" w:type="pct"/>
          </w:tcPr>
          <w:p w14:paraId="60289BB1"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Boromo: 0%</w:t>
            </w:r>
          </w:p>
        </w:tc>
        <w:tc>
          <w:tcPr>
            <w:tcW w:w="898" w:type="pct"/>
          </w:tcPr>
          <w:p w14:paraId="10E9D189" w14:textId="6D6A2D7A"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Boromo:</w:t>
            </w:r>
            <w:r w:rsidR="001575B0">
              <w:rPr>
                <w:sz w:val="20"/>
                <w:szCs w:val="20"/>
              </w:rPr>
              <w:t xml:space="preserve"> 0</w:t>
            </w:r>
          </w:p>
        </w:tc>
        <w:tc>
          <w:tcPr>
            <w:tcW w:w="860" w:type="pct"/>
          </w:tcPr>
          <w:p w14:paraId="75182E63"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Boromo: 10</w:t>
            </w:r>
          </w:p>
        </w:tc>
      </w:tr>
      <w:tr w:rsidR="00DC7590" w14:paraId="4542B310"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vMerge/>
          </w:tcPr>
          <w:p w14:paraId="30119460" w14:textId="77777777" w:rsidR="00DC7590" w:rsidRDefault="00DC7590" w:rsidP="00F175A7">
            <w:pPr>
              <w:spacing w:after="0" w:line="240" w:lineRule="auto"/>
            </w:pPr>
          </w:p>
        </w:tc>
        <w:tc>
          <w:tcPr>
            <w:tcW w:w="949" w:type="pct"/>
          </w:tcPr>
          <w:p w14:paraId="2D75ED75"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Sindou</w:t>
            </w:r>
            <w:proofErr w:type="spellEnd"/>
            <w:r w:rsidRPr="00E31E23">
              <w:rPr>
                <w:sz w:val="20"/>
                <w:szCs w:val="20"/>
              </w:rPr>
              <w:t>: 0%</w:t>
            </w:r>
          </w:p>
        </w:tc>
        <w:tc>
          <w:tcPr>
            <w:tcW w:w="898" w:type="pct"/>
          </w:tcPr>
          <w:p w14:paraId="20237F64" w14:textId="028ED409"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E31E23">
              <w:rPr>
                <w:sz w:val="20"/>
                <w:szCs w:val="20"/>
              </w:rPr>
              <w:t>Sindou</w:t>
            </w:r>
            <w:proofErr w:type="spellEnd"/>
            <w:r w:rsidRPr="00E31E23">
              <w:rPr>
                <w:sz w:val="20"/>
                <w:szCs w:val="20"/>
              </w:rPr>
              <w:t>:</w:t>
            </w:r>
            <w:r w:rsidR="001575B0">
              <w:rPr>
                <w:sz w:val="20"/>
                <w:szCs w:val="20"/>
              </w:rPr>
              <w:t xml:space="preserve"> 0</w:t>
            </w:r>
          </w:p>
        </w:tc>
        <w:tc>
          <w:tcPr>
            <w:tcW w:w="860" w:type="pct"/>
          </w:tcPr>
          <w:p w14:paraId="0CDAE9A9"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Sindou:10</w:t>
            </w:r>
          </w:p>
        </w:tc>
      </w:tr>
      <w:tr w:rsidR="00DC7590" w14:paraId="0937ED7A" w14:textId="77777777" w:rsidTr="00E52836">
        <w:tc>
          <w:tcPr>
            <w:cnfStyle w:val="001000000000" w:firstRow="0" w:lastRow="0" w:firstColumn="1" w:lastColumn="0" w:oddVBand="0" w:evenVBand="0" w:oddHBand="0" w:evenHBand="0" w:firstRowFirstColumn="0" w:firstRowLastColumn="0" w:lastRowFirstColumn="0" w:lastRowLastColumn="0"/>
            <w:tcW w:w="2293" w:type="pct"/>
            <w:vMerge/>
          </w:tcPr>
          <w:p w14:paraId="2ADC4F45" w14:textId="77777777" w:rsidR="00DC7590" w:rsidRDefault="00DC7590" w:rsidP="00F175A7">
            <w:pPr>
              <w:spacing w:after="0" w:line="240" w:lineRule="auto"/>
            </w:pPr>
          </w:p>
        </w:tc>
        <w:tc>
          <w:tcPr>
            <w:tcW w:w="949" w:type="pct"/>
          </w:tcPr>
          <w:p w14:paraId="60D9D777"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Do:</w:t>
            </w:r>
          </w:p>
        </w:tc>
        <w:tc>
          <w:tcPr>
            <w:tcW w:w="898" w:type="pct"/>
          </w:tcPr>
          <w:p w14:paraId="202BE26C" w14:textId="3CFF4168"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Do:</w:t>
            </w:r>
            <w:r w:rsidR="001575B0">
              <w:rPr>
                <w:sz w:val="20"/>
                <w:szCs w:val="20"/>
              </w:rPr>
              <w:t xml:space="preserve"> 0</w:t>
            </w:r>
          </w:p>
        </w:tc>
        <w:tc>
          <w:tcPr>
            <w:tcW w:w="860" w:type="pct"/>
          </w:tcPr>
          <w:p w14:paraId="4E9A1C2E" w14:textId="77777777" w:rsidR="00DC7590" w:rsidRDefault="00DC7590"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rPr>
                <w:sz w:val="20"/>
                <w:szCs w:val="20"/>
              </w:rPr>
              <w:t>Do: 10</w:t>
            </w:r>
          </w:p>
        </w:tc>
      </w:tr>
      <w:tr w:rsidR="00DC7590" w14:paraId="36C9D6E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pct"/>
          </w:tcPr>
          <w:p w14:paraId="419E0FDA" w14:textId="77777777" w:rsidR="00DC7590" w:rsidRDefault="00DC7590" w:rsidP="00F175A7">
            <w:pPr>
              <w:spacing w:after="0" w:line="240" w:lineRule="auto"/>
            </w:pPr>
            <w:r w:rsidRPr="00E31E23">
              <w:rPr>
                <w:sz w:val="20"/>
                <w:szCs w:val="20"/>
              </w:rPr>
              <w:lastRenderedPageBreak/>
              <w:t>Nombre de manifestations sportives couvertes médicalement</w:t>
            </w:r>
          </w:p>
        </w:tc>
        <w:tc>
          <w:tcPr>
            <w:tcW w:w="949" w:type="pct"/>
          </w:tcPr>
          <w:p w14:paraId="67D2F051"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44</w:t>
            </w:r>
          </w:p>
        </w:tc>
        <w:tc>
          <w:tcPr>
            <w:tcW w:w="898" w:type="pct"/>
          </w:tcPr>
          <w:p w14:paraId="225A3044"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30</w:t>
            </w:r>
          </w:p>
        </w:tc>
        <w:tc>
          <w:tcPr>
            <w:tcW w:w="860" w:type="pct"/>
          </w:tcPr>
          <w:p w14:paraId="78FA5633" w14:textId="77777777" w:rsidR="00DC7590" w:rsidRDefault="00DC7590"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rPr>
                <w:sz w:val="20"/>
                <w:szCs w:val="20"/>
              </w:rPr>
              <w:t>40</w:t>
            </w:r>
          </w:p>
        </w:tc>
      </w:tr>
    </w:tbl>
    <w:p w14:paraId="7845C61C" w14:textId="60A0A369" w:rsidR="00DC7590" w:rsidRPr="007B2484" w:rsidRDefault="00DC7590" w:rsidP="00DC7590">
      <w:pPr>
        <w:shd w:val="clear" w:color="auto" w:fill="FFFFFF"/>
        <w:spacing w:before="120" w:after="120" w:line="276" w:lineRule="auto"/>
        <w:rPr>
          <w:sz w:val="20"/>
          <w:szCs w:val="20"/>
        </w:rPr>
      </w:pPr>
      <w:r w:rsidRPr="007B2484">
        <w:rPr>
          <w:b/>
          <w:sz w:val="20"/>
          <w:szCs w:val="20"/>
          <w:u w:val="single"/>
        </w:rPr>
        <w:t>Source</w:t>
      </w:r>
      <w:r w:rsidRPr="007B2484">
        <w:rPr>
          <w:sz w:val="20"/>
          <w:szCs w:val="20"/>
        </w:rPr>
        <w:t xml:space="preserve"> : rapport </w:t>
      </w:r>
      <w:r w:rsidR="00287D1E">
        <w:rPr>
          <w:sz w:val="20"/>
          <w:szCs w:val="20"/>
        </w:rPr>
        <w:t xml:space="preserve">annuel </w:t>
      </w:r>
      <w:r w:rsidRPr="007B2484">
        <w:rPr>
          <w:sz w:val="20"/>
          <w:szCs w:val="20"/>
        </w:rPr>
        <w:t xml:space="preserve">de performance </w:t>
      </w:r>
      <w:r w:rsidR="002458AA">
        <w:rPr>
          <w:sz w:val="20"/>
          <w:szCs w:val="20"/>
        </w:rPr>
        <w:t>2023</w:t>
      </w:r>
      <w:r w:rsidRPr="007B2484">
        <w:rPr>
          <w:sz w:val="20"/>
          <w:szCs w:val="20"/>
        </w:rPr>
        <w:t xml:space="preserve"> du CSD santé, février 2024</w:t>
      </w:r>
    </w:p>
    <w:p w14:paraId="27CE25D9" w14:textId="7777777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Sur un total de 19 produits devant contribuer à l’atteinte de l’action, le niveau d’atteinte des cibles est moyen à fin 2023.</w:t>
      </w:r>
    </w:p>
    <w:p w14:paraId="2A8EAB1C" w14:textId="70DD20C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En ce qui concerne les infrastructures prévues pour être livrées ou rendues fonctionnelles à 100% en 2023, sur 5 produits programmés aucun n’est fonctionnel.</w:t>
      </w:r>
    </w:p>
    <w:p w14:paraId="3E470A45" w14:textId="3E415E97"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Concernant la normalisation des CMA de Pô et de </w:t>
      </w:r>
      <w:proofErr w:type="spellStart"/>
      <w:r w:rsidRPr="00DC7590">
        <w:rPr>
          <w:rFonts w:eastAsia="Calibri"/>
          <w:szCs w:val="24"/>
        </w:rPr>
        <w:t>Diébougou</w:t>
      </w:r>
      <w:proofErr w:type="spellEnd"/>
      <w:r w:rsidRPr="00DC7590">
        <w:rPr>
          <w:rFonts w:eastAsia="Calibri"/>
          <w:szCs w:val="24"/>
        </w:rPr>
        <w:t xml:space="preserve">, celui de Pô a pu l’être et celui de </w:t>
      </w:r>
      <w:proofErr w:type="spellStart"/>
      <w:r w:rsidRPr="00DC7590">
        <w:rPr>
          <w:rFonts w:eastAsia="Calibri"/>
          <w:szCs w:val="24"/>
        </w:rPr>
        <w:t>Diébougou</w:t>
      </w:r>
      <w:proofErr w:type="spellEnd"/>
      <w:r w:rsidRPr="00DC7590">
        <w:rPr>
          <w:rFonts w:eastAsia="Calibri"/>
          <w:szCs w:val="24"/>
        </w:rPr>
        <w:t xml:space="preserve"> est à un taux de 62%. La première phase du centre de cancérologie de </w:t>
      </w:r>
      <w:proofErr w:type="spellStart"/>
      <w:r w:rsidRPr="00DC7590">
        <w:rPr>
          <w:rFonts w:eastAsia="Calibri"/>
          <w:szCs w:val="24"/>
        </w:rPr>
        <w:t>Tengandogo</w:t>
      </w:r>
      <w:proofErr w:type="spellEnd"/>
      <w:r w:rsidRPr="00DC7590">
        <w:rPr>
          <w:rFonts w:eastAsia="Calibri"/>
          <w:szCs w:val="24"/>
        </w:rPr>
        <w:t xml:space="preserve"> est à 98 % et la construction du centre de radiothérapie de </w:t>
      </w:r>
      <w:r w:rsidR="00860AEA">
        <w:rPr>
          <w:rFonts w:eastAsia="Calibri"/>
          <w:szCs w:val="24"/>
        </w:rPr>
        <w:t>B</w:t>
      </w:r>
      <w:r w:rsidRPr="00DC7590">
        <w:rPr>
          <w:rFonts w:eastAsia="Calibri"/>
          <w:szCs w:val="24"/>
        </w:rPr>
        <w:t xml:space="preserve">obo se situe à 65%. La construction du CHR de </w:t>
      </w:r>
      <w:r w:rsidR="00860AEA">
        <w:rPr>
          <w:rFonts w:eastAsia="Calibri"/>
          <w:szCs w:val="24"/>
        </w:rPr>
        <w:t>M</w:t>
      </w:r>
      <w:r w:rsidRPr="00DC7590">
        <w:rPr>
          <w:rFonts w:eastAsia="Calibri"/>
          <w:szCs w:val="24"/>
        </w:rPr>
        <w:t xml:space="preserve">anga est presque achevée et se situe à 95,54%. Le pool mère enfant du nouveau CHR de Dédougou n’est pas encore fonctionnel à cause de l’absence d’allocation budgétaire et les travaux sont à l’arrêt. Le niveau d’exécution des travaux du centre de gériatrie de Ouagadougou est de </w:t>
      </w:r>
      <w:r w:rsidR="00AC1A51">
        <w:rPr>
          <w:rFonts w:eastAsia="Calibri"/>
          <w:szCs w:val="24"/>
        </w:rPr>
        <w:t>60</w:t>
      </w:r>
      <w:r w:rsidRPr="00DC7590">
        <w:rPr>
          <w:rFonts w:eastAsia="Calibri"/>
          <w:szCs w:val="24"/>
        </w:rPr>
        <w:t>% avec un coût prévisionnel de 3</w:t>
      </w:r>
      <w:r w:rsidR="00860AEA">
        <w:rPr>
          <w:rFonts w:eastAsia="Calibri"/>
          <w:szCs w:val="24"/>
        </w:rPr>
        <w:t> </w:t>
      </w:r>
      <w:r w:rsidRPr="00DC7590">
        <w:rPr>
          <w:rFonts w:eastAsia="Calibri"/>
          <w:szCs w:val="24"/>
        </w:rPr>
        <w:t>185</w:t>
      </w:r>
      <w:r w:rsidR="00860AEA" w:rsidRPr="00056445">
        <w:rPr>
          <w:rFonts w:eastAsia="Calibri"/>
          <w:szCs w:val="24"/>
        </w:rPr>
        <w:t>°</w:t>
      </w:r>
      <w:r w:rsidRPr="00DC7590">
        <w:rPr>
          <w:rFonts w:eastAsia="Calibri"/>
          <w:szCs w:val="24"/>
        </w:rPr>
        <w:t>405</w:t>
      </w:r>
      <w:r w:rsidR="00AC1A51">
        <w:rPr>
          <w:rFonts w:eastAsia="Calibri"/>
          <w:szCs w:val="24"/>
        </w:rPr>
        <w:t> </w:t>
      </w:r>
      <w:r w:rsidRPr="00DC7590">
        <w:rPr>
          <w:rFonts w:eastAsia="Calibri"/>
          <w:szCs w:val="24"/>
        </w:rPr>
        <w:t>000</w:t>
      </w:r>
      <w:r w:rsidR="00AC1A51">
        <w:rPr>
          <w:rFonts w:eastAsia="Calibri"/>
          <w:szCs w:val="24"/>
        </w:rPr>
        <w:t xml:space="preserve"> </w:t>
      </w:r>
      <w:r w:rsidRPr="00DC7590">
        <w:rPr>
          <w:rFonts w:eastAsia="Calibri"/>
          <w:szCs w:val="24"/>
        </w:rPr>
        <w:t>FCFA.</w:t>
      </w:r>
    </w:p>
    <w:p w14:paraId="4661BC47" w14:textId="6CD68964"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 xml:space="preserve">Concernant les autres produits prévus pour se poursuivre en 2023, la construction du nouveau CHU de </w:t>
      </w:r>
      <w:r w:rsidR="00860AEA">
        <w:rPr>
          <w:rFonts w:eastAsia="Calibri"/>
          <w:szCs w:val="24"/>
        </w:rPr>
        <w:t>B</w:t>
      </w:r>
      <w:r w:rsidRPr="00DC7590">
        <w:rPr>
          <w:rFonts w:eastAsia="Calibri"/>
          <w:szCs w:val="24"/>
        </w:rPr>
        <w:t>obo a dépassé la cible qui était prévue. Elle se situe à 75% de réalisation pour une cible de 50%.</w:t>
      </w:r>
    </w:p>
    <w:p w14:paraId="2E80C703" w14:textId="7D61A68E" w:rsidR="00DC7590" w:rsidRPr="00DC7590"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Les autres produits n’ont pas atteint leurs cibles pour des raisons d’insuffisance de ressources financières</w:t>
      </w:r>
      <w:r w:rsidR="00AC1A51">
        <w:rPr>
          <w:rFonts w:eastAsia="Calibri"/>
          <w:szCs w:val="24"/>
        </w:rPr>
        <w:t xml:space="preserve"> et l’inaccessibilité de certains sites du fait de la situation sécuritaire</w:t>
      </w:r>
      <w:r w:rsidRPr="00DC7590">
        <w:rPr>
          <w:rFonts w:eastAsia="Calibri"/>
          <w:szCs w:val="24"/>
        </w:rPr>
        <w:t xml:space="preserve">. </w:t>
      </w:r>
    </w:p>
    <w:p w14:paraId="1D5F820D" w14:textId="263F7EB6" w:rsidR="00DC7590" w:rsidRPr="00DC7590" w:rsidRDefault="00AC1A51" w:rsidP="00F175A7">
      <w:pPr>
        <w:numPr>
          <w:ilvl w:val="0"/>
          <w:numId w:val="8"/>
        </w:numPr>
        <w:shd w:val="clear" w:color="auto" w:fill="FFFFFF"/>
        <w:spacing w:before="120" w:after="120" w:line="240" w:lineRule="auto"/>
        <w:ind w:left="0"/>
        <w:rPr>
          <w:rFonts w:eastAsia="Calibri"/>
          <w:szCs w:val="24"/>
        </w:rPr>
      </w:pPr>
      <w:r>
        <w:rPr>
          <w:rFonts w:eastAsia="Calibri"/>
          <w:szCs w:val="24"/>
        </w:rPr>
        <w:t>Trois</w:t>
      </w:r>
      <w:r w:rsidR="00DC7590" w:rsidRPr="00DC7590">
        <w:rPr>
          <w:rFonts w:eastAsia="Calibri"/>
          <w:szCs w:val="24"/>
        </w:rPr>
        <w:t xml:space="preserve"> produits n’ont pas encore connu de démarrage. Il s’agit notamment du </w:t>
      </w:r>
      <w:r w:rsidRPr="008F755D">
        <w:rPr>
          <w:rFonts w:eastAsia="Calibri"/>
          <w:szCs w:val="24"/>
        </w:rPr>
        <w:t>centre de gériatrie de Bobo</w:t>
      </w:r>
      <w:r w:rsidR="00860AEA">
        <w:rPr>
          <w:rFonts w:eastAsia="Calibri"/>
          <w:szCs w:val="24"/>
        </w:rPr>
        <w:t>-</w:t>
      </w:r>
      <w:r w:rsidRPr="008F755D">
        <w:rPr>
          <w:rFonts w:eastAsia="Calibri"/>
          <w:szCs w:val="24"/>
        </w:rPr>
        <w:t>Dioulasso</w:t>
      </w:r>
      <w:r>
        <w:rPr>
          <w:rFonts w:eastAsia="Calibri"/>
          <w:szCs w:val="24"/>
        </w:rPr>
        <w:t xml:space="preserve">, du </w:t>
      </w:r>
      <w:r w:rsidR="00DC7590" w:rsidRPr="00DC7590">
        <w:rPr>
          <w:rFonts w:eastAsia="Calibri"/>
          <w:szCs w:val="24"/>
        </w:rPr>
        <w:t xml:space="preserve">CHR de Fada pour cause d’absence d’allocation budgétaire et du Centre régional de transfusion sanguine de </w:t>
      </w:r>
      <w:proofErr w:type="spellStart"/>
      <w:r w:rsidR="00DC7590" w:rsidRPr="00DC7590">
        <w:rPr>
          <w:rFonts w:eastAsia="Calibri"/>
          <w:szCs w:val="24"/>
        </w:rPr>
        <w:t>Dori</w:t>
      </w:r>
      <w:proofErr w:type="spellEnd"/>
      <w:r w:rsidR="00DC7590" w:rsidRPr="00DC7590">
        <w:rPr>
          <w:rFonts w:eastAsia="Calibri"/>
          <w:szCs w:val="24"/>
        </w:rPr>
        <w:t xml:space="preserve"> qui est à l’arrêt pour cause d’insécurité.</w:t>
      </w:r>
    </w:p>
    <w:p w14:paraId="46A3F87B" w14:textId="740CFCE5" w:rsidR="00086775" w:rsidRPr="00775DBB" w:rsidRDefault="00DC7590" w:rsidP="00F175A7">
      <w:pPr>
        <w:numPr>
          <w:ilvl w:val="0"/>
          <w:numId w:val="8"/>
        </w:numPr>
        <w:shd w:val="clear" w:color="auto" w:fill="FFFFFF"/>
        <w:spacing w:before="120" w:after="120" w:line="240" w:lineRule="auto"/>
        <w:ind w:left="0"/>
        <w:rPr>
          <w:rFonts w:eastAsia="Calibri"/>
          <w:szCs w:val="24"/>
        </w:rPr>
      </w:pPr>
      <w:r w:rsidRPr="00DC7590">
        <w:rPr>
          <w:rFonts w:eastAsia="Calibri"/>
          <w:szCs w:val="24"/>
        </w:rPr>
        <w:t>Quant à la fonctionnalité du Centre national médico-sportif, 30 manifestations sportives ont été médicalement couvertes sur une prévision de 40</w:t>
      </w:r>
      <w:r w:rsidR="000B004A" w:rsidRPr="00775DBB">
        <w:rPr>
          <w:rFonts w:eastAsia="Calibri"/>
          <w:szCs w:val="24"/>
        </w:rPr>
        <w:t>.</w:t>
      </w:r>
    </w:p>
    <w:p w14:paraId="5DFD0FC4" w14:textId="77777777" w:rsidR="00244EF6" w:rsidRPr="00664E91" w:rsidRDefault="00244EF6" w:rsidP="00664E91">
      <w:pPr>
        <w:shd w:val="clear" w:color="auto" w:fill="FFFFFF"/>
        <w:spacing w:before="120" w:after="120" w:line="240" w:lineRule="auto"/>
        <w:rPr>
          <w:szCs w:val="24"/>
        </w:rPr>
      </w:pPr>
    </w:p>
    <w:p w14:paraId="3BED0BA9" w14:textId="6CECDFF6" w:rsidR="00487C6C" w:rsidRPr="009746F1" w:rsidRDefault="00EA252D" w:rsidP="009746F1">
      <w:pPr>
        <w:pStyle w:val="PAT4"/>
      </w:pPr>
      <w:bookmarkStart w:id="118" w:name="_Toc163141230"/>
      <w:r w:rsidRPr="008D2129">
        <w:t xml:space="preserve">Objectif stratégique 3.2 : </w:t>
      </w:r>
      <w:r w:rsidR="00860AEA">
        <w:t>A</w:t>
      </w:r>
      <w:r w:rsidRPr="008D2129">
        <w:t>ccroître l’offre et améliorer la qualité de l’éducation, de l’enseignement supérieur et de la formation en adéquation avec les besoins de l’économie</w:t>
      </w:r>
      <w:bookmarkEnd w:id="118"/>
    </w:p>
    <w:p w14:paraId="60A10A1B" w14:textId="0FC174AE"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Cet objectif stratégique est mis en œuvre à travers cinq (05) actions du PA-SD dont les niveaux de réalisation au 31 décembre 2023 se présente</w:t>
      </w:r>
      <w:r w:rsidR="00860AEA">
        <w:rPr>
          <w:rFonts w:eastAsia="Calibri"/>
          <w:szCs w:val="24"/>
        </w:rPr>
        <w:t>nt</w:t>
      </w:r>
      <w:r w:rsidRPr="009746F1">
        <w:rPr>
          <w:rFonts w:eastAsia="Calibri"/>
          <w:szCs w:val="24"/>
        </w:rPr>
        <w:t xml:space="preserve"> comme suit :</w:t>
      </w:r>
    </w:p>
    <w:p w14:paraId="1D0D9EA7" w14:textId="5658C405"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En ce qui concerne l’</w:t>
      </w:r>
      <w:r w:rsidR="00860AEA">
        <w:rPr>
          <w:rFonts w:eastAsia="Calibri"/>
          <w:szCs w:val="24"/>
        </w:rPr>
        <w:t>a</w:t>
      </w:r>
      <w:r w:rsidRPr="009746F1">
        <w:rPr>
          <w:rFonts w:eastAsia="Calibri"/>
          <w:szCs w:val="24"/>
        </w:rPr>
        <w:t xml:space="preserve">ction 03052 portant sur </w:t>
      </w:r>
      <w:r w:rsidRPr="008139E1">
        <w:rPr>
          <w:rFonts w:eastAsia="Calibri"/>
          <w:b/>
          <w:szCs w:val="24"/>
        </w:rPr>
        <w:t>la poursuite de la réforme du système éducatif (intégration de valeurs socioculturelles, républicaines, renforcement de la professionnalisation, etc.)</w:t>
      </w:r>
      <w:r w:rsidRPr="009746F1">
        <w:rPr>
          <w:rFonts w:eastAsia="Calibri"/>
          <w:szCs w:val="24"/>
        </w:rPr>
        <w:t xml:space="preserve">, entre 2021-2022 et 2022-2023, le taux d'accroissement annuel des effectifs de l'EFTP s’est établi à 18,77% pour une cible de 9%, soit un écart positif de </w:t>
      </w:r>
      <w:r w:rsidRPr="009746F1">
        <w:rPr>
          <w:rFonts w:eastAsia="Calibri"/>
          <w:szCs w:val="24"/>
        </w:rPr>
        <w:lastRenderedPageBreak/>
        <w:t>9,77 points de pourcentage, expliqué par l’augmentation des effectifs de l’EFTP due à la sensibilisation et à l’ouverture de spécialités d’EFTP dans les établissements d’enseignement général.</w:t>
      </w:r>
    </w:p>
    <w:p w14:paraId="2E8C3546" w14:textId="0C8579A9"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Au 31 décembre 2023, les deux (02) produits de l’action qui portent sur l’élaboration et la validation de référentiels de l’EFTP et de 3 curricula des TIC connaissent des réalisations satisfaisantes avec 12 de</w:t>
      </w:r>
      <w:r w:rsidR="00AC1A51">
        <w:rPr>
          <w:rFonts w:eastAsia="Calibri"/>
          <w:szCs w:val="24"/>
        </w:rPr>
        <w:t>s</w:t>
      </w:r>
      <w:r w:rsidRPr="009746F1">
        <w:rPr>
          <w:rFonts w:eastAsia="Calibri"/>
          <w:szCs w:val="24"/>
        </w:rPr>
        <w:t xml:space="preserve"> 17 référentiels de l’EFTP et 6 curricula des TIC élaborés.</w:t>
      </w:r>
    </w:p>
    <w:p w14:paraId="53E498A4" w14:textId="2664E423"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Au titre de l’action 03069 relative à </w:t>
      </w:r>
      <w:r w:rsidRPr="008139E1">
        <w:rPr>
          <w:rFonts w:eastAsia="Calibri"/>
          <w:b/>
          <w:szCs w:val="24"/>
        </w:rPr>
        <w:t>l’amélioration de la qualité et l'accès au système éducatif</w:t>
      </w:r>
      <w:r w:rsidRPr="009746F1">
        <w:rPr>
          <w:rFonts w:eastAsia="Calibri"/>
          <w:szCs w:val="24"/>
        </w:rPr>
        <w:t>, entre 2022 et 2023, les TBS au primaire et au secondaire qui sont les deux indicateurs retenus pour la mesurer ont connu une baisse, 11,4 points pour le primaire et 0,9 point pour le secondaire entre les années scolaires 2021-2022 et 2022-2023, justifiée par les déperditions scolaires liées essentiellement à la fermeture de certaines structures éducatives du fait de la crise sécuritaire.</w:t>
      </w:r>
    </w:p>
    <w:p w14:paraId="03C0C018" w14:textId="7777777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La situation de réalisation des indicateurs des 09 produits inscrits au PA-SD global au 31 décembre 2023 est présentée dans le tableau ci-dessous.</w:t>
      </w:r>
    </w:p>
    <w:p w14:paraId="14961D82" w14:textId="337BD44D" w:rsidR="009746F1" w:rsidRPr="00F610B7" w:rsidRDefault="00F610B7" w:rsidP="009746F1">
      <w:pPr>
        <w:shd w:val="clear" w:color="auto" w:fill="FFFFFF"/>
        <w:spacing w:before="240" w:after="240" w:line="240" w:lineRule="auto"/>
        <w:rPr>
          <w:sz w:val="22"/>
        </w:rPr>
      </w:pPr>
      <w:bookmarkStart w:id="119" w:name="_Toc164503641"/>
      <w:r w:rsidRPr="00B51145">
        <w:rPr>
          <w:b/>
          <w:bCs/>
          <w:sz w:val="22"/>
          <w:u w:val="single"/>
        </w:rPr>
        <w:t>Tabl</w:t>
      </w:r>
      <w:r w:rsidRPr="00F610B7">
        <w:rPr>
          <w:b/>
          <w:bCs/>
          <w:sz w:val="22"/>
          <w:u w:val="single"/>
        </w:rPr>
        <w:t xml:space="preserve">eau </w:t>
      </w:r>
      <w:r w:rsidRPr="00F610B7">
        <w:rPr>
          <w:b/>
          <w:bCs/>
          <w:sz w:val="22"/>
          <w:u w:val="single"/>
        </w:rPr>
        <w:fldChar w:fldCharType="begin"/>
      </w:r>
      <w:r w:rsidRPr="00F610B7">
        <w:rPr>
          <w:b/>
          <w:bCs/>
          <w:sz w:val="22"/>
          <w:u w:val="single"/>
        </w:rPr>
        <w:instrText xml:space="preserve"> SEQ Tableau \* ARABIC </w:instrText>
      </w:r>
      <w:r w:rsidRPr="00F610B7">
        <w:rPr>
          <w:b/>
          <w:bCs/>
          <w:sz w:val="22"/>
          <w:u w:val="single"/>
        </w:rPr>
        <w:fldChar w:fldCharType="separate"/>
      </w:r>
      <w:r w:rsidR="007C2E4E">
        <w:rPr>
          <w:b/>
          <w:bCs/>
          <w:noProof/>
          <w:sz w:val="22"/>
          <w:u w:val="single"/>
        </w:rPr>
        <w:t>54</w:t>
      </w:r>
      <w:r w:rsidRPr="00F610B7">
        <w:rPr>
          <w:b/>
          <w:bCs/>
          <w:sz w:val="22"/>
          <w:u w:val="single"/>
        </w:rPr>
        <w:fldChar w:fldCharType="end"/>
      </w:r>
      <w:r w:rsidR="009746F1" w:rsidRPr="00F610B7">
        <w:rPr>
          <w:sz w:val="22"/>
        </w:rPr>
        <w:t xml:space="preserve">: </w:t>
      </w:r>
      <w:r w:rsidR="004903D4">
        <w:rPr>
          <w:sz w:val="22"/>
        </w:rPr>
        <w:t>s</w:t>
      </w:r>
      <w:r w:rsidR="009746F1" w:rsidRPr="00F610B7">
        <w:rPr>
          <w:sz w:val="22"/>
        </w:rPr>
        <w:t xml:space="preserve">ituation des indicateurs de produits de l’action </w:t>
      </w:r>
      <w:r w:rsidR="00522902">
        <w:rPr>
          <w:sz w:val="22"/>
        </w:rPr>
        <w:t>« </w:t>
      </w:r>
      <w:r w:rsidR="003130DA">
        <w:rPr>
          <w:sz w:val="22"/>
        </w:rPr>
        <w:t>a</w:t>
      </w:r>
      <w:r w:rsidR="009746F1" w:rsidRPr="00F610B7">
        <w:rPr>
          <w:sz w:val="22"/>
        </w:rPr>
        <w:t>mélioration de la qualité et accès au système éducatif</w:t>
      </w:r>
      <w:r w:rsidR="00522902">
        <w:rPr>
          <w:sz w:val="22"/>
        </w:rPr>
        <w:t> »</w:t>
      </w:r>
      <w:r w:rsidR="009746F1" w:rsidRPr="00F610B7">
        <w:rPr>
          <w:sz w:val="22"/>
        </w:rPr>
        <w:t xml:space="preserve"> au 31 décembre 2023</w:t>
      </w:r>
      <w:bookmarkEnd w:id="119"/>
    </w:p>
    <w:tbl>
      <w:tblPr>
        <w:tblStyle w:val="TableauGrille4-Accentuation119"/>
        <w:tblW w:w="5000" w:type="pct"/>
        <w:tblLook w:val="04A0" w:firstRow="1" w:lastRow="0" w:firstColumn="1" w:lastColumn="0" w:noHBand="0" w:noVBand="1"/>
      </w:tblPr>
      <w:tblGrid>
        <w:gridCol w:w="5395"/>
        <w:gridCol w:w="1172"/>
        <w:gridCol w:w="1259"/>
        <w:gridCol w:w="1190"/>
      </w:tblGrid>
      <w:tr w:rsidR="00E63FCA" w:rsidRPr="00E63FCA" w14:paraId="6D7C56AE" w14:textId="77777777" w:rsidTr="00F17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5DF6ADF6" w14:textId="13ECFA51" w:rsidR="009746F1" w:rsidRPr="00E63FCA" w:rsidRDefault="009746F1" w:rsidP="00F175A7">
            <w:pPr>
              <w:spacing w:after="0" w:line="240" w:lineRule="auto"/>
            </w:pPr>
            <w:r w:rsidRPr="00E63FCA">
              <w:t xml:space="preserve">Indicateurs </w:t>
            </w:r>
          </w:p>
        </w:tc>
        <w:tc>
          <w:tcPr>
            <w:tcW w:w="650" w:type="pct"/>
            <w:shd w:val="clear" w:color="auto" w:fill="4472C4" w:themeFill="accent1"/>
          </w:tcPr>
          <w:p w14:paraId="5B7C96E0" w14:textId="77777777" w:rsidR="009746F1" w:rsidRPr="00E63FCA"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63FCA">
              <w:t>Réal. 2022</w:t>
            </w:r>
          </w:p>
        </w:tc>
        <w:tc>
          <w:tcPr>
            <w:tcW w:w="698" w:type="pct"/>
            <w:shd w:val="clear" w:color="auto" w:fill="4472C4" w:themeFill="accent1"/>
          </w:tcPr>
          <w:p w14:paraId="55B4E76A" w14:textId="77777777" w:rsidR="009746F1" w:rsidRPr="00E63FCA"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63FCA">
              <w:t>Réal. 2023</w:t>
            </w:r>
          </w:p>
        </w:tc>
        <w:tc>
          <w:tcPr>
            <w:tcW w:w="660" w:type="pct"/>
            <w:shd w:val="clear" w:color="auto" w:fill="4472C4" w:themeFill="accent1"/>
          </w:tcPr>
          <w:p w14:paraId="181EB7C2" w14:textId="77777777" w:rsidR="009746F1" w:rsidRPr="00E63FCA"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63FCA">
              <w:t>Cible 2023</w:t>
            </w:r>
          </w:p>
        </w:tc>
      </w:tr>
      <w:tr w:rsidR="00E63FCA" w:rsidRPr="00E63FCA" w14:paraId="16C711C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56163CCF" w14:textId="77777777" w:rsidR="009746F1" w:rsidRPr="00E63FCA" w:rsidRDefault="009746F1" w:rsidP="00F175A7">
            <w:pPr>
              <w:spacing w:after="0" w:line="240" w:lineRule="auto"/>
              <w:ind w:firstLine="0"/>
            </w:pPr>
            <w:r w:rsidRPr="00E63FCA">
              <w:t>Nombre de salles de classe construites pour la résorption des paillotes</w:t>
            </w:r>
          </w:p>
        </w:tc>
        <w:tc>
          <w:tcPr>
            <w:tcW w:w="650" w:type="pct"/>
          </w:tcPr>
          <w:p w14:paraId="2E27A4BF"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45</w:t>
            </w:r>
          </w:p>
        </w:tc>
        <w:tc>
          <w:tcPr>
            <w:tcW w:w="698" w:type="pct"/>
          </w:tcPr>
          <w:p w14:paraId="41E7FB2B"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30</w:t>
            </w:r>
          </w:p>
        </w:tc>
        <w:tc>
          <w:tcPr>
            <w:tcW w:w="660" w:type="pct"/>
          </w:tcPr>
          <w:p w14:paraId="7B9B7AE8"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72</w:t>
            </w:r>
          </w:p>
        </w:tc>
      </w:tr>
      <w:tr w:rsidR="00E63FCA" w:rsidRPr="00E63FCA" w14:paraId="77D93279" w14:textId="77777777" w:rsidTr="00E52836">
        <w:tc>
          <w:tcPr>
            <w:cnfStyle w:val="001000000000" w:firstRow="0" w:lastRow="0" w:firstColumn="1" w:lastColumn="0" w:oddVBand="0" w:evenVBand="0" w:oddHBand="0" w:evenHBand="0" w:firstRowFirstColumn="0" w:firstRowLastColumn="0" w:lastRowFirstColumn="0" w:lastRowLastColumn="0"/>
            <w:tcW w:w="2992" w:type="pct"/>
          </w:tcPr>
          <w:p w14:paraId="6E014CDD" w14:textId="77777777" w:rsidR="009746F1" w:rsidRPr="00E63FCA" w:rsidRDefault="009746F1" w:rsidP="00F175A7">
            <w:pPr>
              <w:spacing w:after="0" w:line="240" w:lineRule="auto"/>
              <w:ind w:firstLine="0"/>
            </w:pPr>
            <w:r w:rsidRPr="00E63FCA">
              <w:t>Nombre de nouvelles salles de classe construites pour la résorption des CEG dans les salles d'emprunt</w:t>
            </w:r>
          </w:p>
        </w:tc>
        <w:tc>
          <w:tcPr>
            <w:tcW w:w="650" w:type="pct"/>
          </w:tcPr>
          <w:p w14:paraId="42EEB11F"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24</w:t>
            </w:r>
          </w:p>
        </w:tc>
        <w:tc>
          <w:tcPr>
            <w:tcW w:w="698" w:type="pct"/>
          </w:tcPr>
          <w:p w14:paraId="5A0DCF65"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16</w:t>
            </w:r>
          </w:p>
        </w:tc>
        <w:tc>
          <w:tcPr>
            <w:tcW w:w="660" w:type="pct"/>
          </w:tcPr>
          <w:p w14:paraId="5EDA4D6D"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40</w:t>
            </w:r>
          </w:p>
        </w:tc>
      </w:tr>
      <w:tr w:rsidR="00E63FCA" w:rsidRPr="00E63FCA" w14:paraId="1CBFAA28"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62725107" w14:textId="77777777" w:rsidR="009746F1" w:rsidRPr="00E63FCA" w:rsidRDefault="009746F1" w:rsidP="00F175A7">
            <w:pPr>
              <w:spacing w:after="0" w:line="240" w:lineRule="auto"/>
              <w:ind w:firstLine="0"/>
            </w:pPr>
            <w:r w:rsidRPr="00E63FCA">
              <w:t>Nombre de nouvelles salles de classe construites pour le préscolaire</w:t>
            </w:r>
          </w:p>
        </w:tc>
        <w:tc>
          <w:tcPr>
            <w:tcW w:w="650" w:type="pct"/>
          </w:tcPr>
          <w:p w14:paraId="569B6A29"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21</w:t>
            </w:r>
          </w:p>
        </w:tc>
        <w:tc>
          <w:tcPr>
            <w:tcW w:w="698" w:type="pct"/>
          </w:tcPr>
          <w:p w14:paraId="234480F6"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5</w:t>
            </w:r>
          </w:p>
        </w:tc>
        <w:tc>
          <w:tcPr>
            <w:tcW w:w="660" w:type="pct"/>
          </w:tcPr>
          <w:p w14:paraId="16141D95"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25</w:t>
            </w:r>
          </w:p>
        </w:tc>
      </w:tr>
      <w:tr w:rsidR="00E63FCA" w:rsidRPr="00E63FCA" w14:paraId="1A049B62" w14:textId="77777777" w:rsidTr="00E52836">
        <w:tc>
          <w:tcPr>
            <w:cnfStyle w:val="001000000000" w:firstRow="0" w:lastRow="0" w:firstColumn="1" w:lastColumn="0" w:oddVBand="0" w:evenVBand="0" w:oddHBand="0" w:evenHBand="0" w:firstRowFirstColumn="0" w:firstRowLastColumn="0" w:lastRowFirstColumn="0" w:lastRowLastColumn="0"/>
            <w:tcW w:w="2992" w:type="pct"/>
          </w:tcPr>
          <w:p w14:paraId="7FEF8FE0" w14:textId="77777777" w:rsidR="009746F1" w:rsidRPr="00E63FCA" w:rsidRDefault="009746F1" w:rsidP="00F175A7">
            <w:pPr>
              <w:spacing w:after="0" w:line="240" w:lineRule="auto"/>
              <w:ind w:firstLine="0"/>
            </w:pPr>
            <w:r w:rsidRPr="00E63FCA">
              <w:t>Nombre de nouvelles salles de classe construites pour l’expansion et la normalisation des écoles incomplètes</w:t>
            </w:r>
          </w:p>
        </w:tc>
        <w:tc>
          <w:tcPr>
            <w:tcW w:w="650" w:type="pct"/>
          </w:tcPr>
          <w:p w14:paraId="246F924B"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96</w:t>
            </w:r>
          </w:p>
        </w:tc>
        <w:tc>
          <w:tcPr>
            <w:tcW w:w="698" w:type="pct"/>
          </w:tcPr>
          <w:p w14:paraId="674BFBEB"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15</w:t>
            </w:r>
          </w:p>
        </w:tc>
        <w:tc>
          <w:tcPr>
            <w:tcW w:w="660" w:type="pct"/>
          </w:tcPr>
          <w:p w14:paraId="690C5ACF"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30</w:t>
            </w:r>
          </w:p>
        </w:tc>
      </w:tr>
      <w:tr w:rsidR="00E63FCA" w:rsidRPr="00E63FCA" w14:paraId="740B6417"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3DC9AC75" w14:textId="77777777" w:rsidR="009746F1" w:rsidRPr="00E63FCA" w:rsidRDefault="009746F1" w:rsidP="00F175A7">
            <w:pPr>
              <w:spacing w:after="0" w:line="240" w:lineRule="auto"/>
              <w:ind w:firstLine="0"/>
            </w:pPr>
            <w:r w:rsidRPr="00E63FCA">
              <w:t>Nombre de nouvelles salles de classe construites pour le post-primaire et le secondaire général</w:t>
            </w:r>
          </w:p>
        </w:tc>
        <w:tc>
          <w:tcPr>
            <w:tcW w:w="650" w:type="pct"/>
          </w:tcPr>
          <w:p w14:paraId="7CE9E4A2"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136</w:t>
            </w:r>
          </w:p>
        </w:tc>
        <w:tc>
          <w:tcPr>
            <w:tcW w:w="698" w:type="pct"/>
          </w:tcPr>
          <w:p w14:paraId="33F51CC7"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28</w:t>
            </w:r>
          </w:p>
        </w:tc>
        <w:tc>
          <w:tcPr>
            <w:tcW w:w="660" w:type="pct"/>
          </w:tcPr>
          <w:p w14:paraId="5D5DD6EF"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57</w:t>
            </w:r>
          </w:p>
        </w:tc>
      </w:tr>
      <w:tr w:rsidR="00E63FCA" w:rsidRPr="00E63FCA" w14:paraId="2B8986BB" w14:textId="77777777" w:rsidTr="00E52836">
        <w:tc>
          <w:tcPr>
            <w:cnfStyle w:val="001000000000" w:firstRow="0" w:lastRow="0" w:firstColumn="1" w:lastColumn="0" w:oddVBand="0" w:evenVBand="0" w:oddHBand="0" w:evenHBand="0" w:firstRowFirstColumn="0" w:firstRowLastColumn="0" w:lastRowFirstColumn="0" w:lastRowLastColumn="0"/>
            <w:tcW w:w="2992" w:type="pct"/>
          </w:tcPr>
          <w:p w14:paraId="740BBB51" w14:textId="77777777" w:rsidR="009746F1" w:rsidRPr="00E63FCA" w:rsidRDefault="009746F1" w:rsidP="00F175A7">
            <w:pPr>
              <w:spacing w:after="0" w:line="240" w:lineRule="auto"/>
              <w:ind w:firstLine="0"/>
            </w:pPr>
            <w:r w:rsidRPr="00E63FCA">
              <w:t>Nombre d’établissements d’EFTP bénéficiaires de nouvelles infrastructures complémentaires</w:t>
            </w:r>
          </w:p>
        </w:tc>
        <w:tc>
          <w:tcPr>
            <w:tcW w:w="650" w:type="pct"/>
          </w:tcPr>
          <w:p w14:paraId="011E0119"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0</w:t>
            </w:r>
          </w:p>
        </w:tc>
        <w:tc>
          <w:tcPr>
            <w:tcW w:w="698" w:type="pct"/>
          </w:tcPr>
          <w:p w14:paraId="771CDA7F"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0</w:t>
            </w:r>
          </w:p>
        </w:tc>
        <w:tc>
          <w:tcPr>
            <w:tcW w:w="660" w:type="pct"/>
          </w:tcPr>
          <w:p w14:paraId="28F71FBE"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7</w:t>
            </w:r>
          </w:p>
        </w:tc>
      </w:tr>
      <w:tr w:rsidR="00E63FCA" w:rsidRPr="00E63FCA" w14:paraId="0E4F339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56026B14" w14:textId="77777777" w:rsidR="009746F1" w:rsidRPr="00E63FCA" w:rsidRDefault="009746F1" w:rsidP="00F175A7">
            <w:pPr>
              <w:spacing w:after="0" w:line="240" w:lineRule="auto"/>
              <w:ind w:firstLine="0"/>
            </w:pPr>
            <w:r w:rsidRPr="00E63FCA">
              <w:t>Nombre d’ateliers équipés dans les établissements d’EFTP</w:t>
            </w:r>
          </w:p>
        </w:tc>
        <w:tc>
          <w:tcPr>
            <w:tcW w:w="650" w:type="pct"/>
          </w:tcPr>
          <w:p w14:paraId="35D2D27B"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4</w:t>
            </w:r>
          </w:p>
        </w:tc>
        <w:tc>
          <w:tcPr>
            <w:tcW w:w="698" w:type="pct"/>
          </w:tcPr>
          <w:p w14:paraId="73E187F4"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1</w:t>
            </w:r>
          </w:p>
        </w:tc>
        <w:tc>
          <w:tcPr>
            <w:tcW w:w="660" w:type="pct"/>
          </w:tcPr>
          <w:p w14:paraId="2E29A297"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3</w:t>
            </w:r>
          </w:p>
        </w:tc>
      </w:tr>
      <w:tr w:rsidR="00E63FCA" w:rsidRPr="00E63FCA" w14:paraId="216C9126" w14:textId="77777777" w:rsidTr="00E52836">
        <w:tc>
          <w:tcPr>
            <w:cnfStyle w:val="001000000000" w:firstRow="0" w:lastRow="0" w:firstColumn="1" w:lastColumn="0" w:oddVBand="0" w:evenVBand="0" w:oddHBand="0" w:evenHBand="0" w:firstRowFirstColumn="0" w:firstRowLastColumn="0" w:lastRowFirstColumn="0" w:lastRowLastColumn="0"/>
            <w:tcW w:w="2992" w:type="pct"/>
          </w:tcPr>
          <w:p w14:paraId="0F7A7B80" w14:textId="77777777" w:rsidR="009746F1" w:rsidRPr="00E63FCA" w:rsidRDefault="009746F1" w:rsidP="00F175A7">
            <w:pPr>
              <w:spacing w:after="0" w:line="240" w:lineRule="auto"/>
              <w:ind w:firstLine="0"/>
            </w:pPr>
            <w:r w:rsidRPr="00E63FCA">
              <w:t>Nombre de lycées scientifiques construits</w:t>
            </w:r>
          </w:p>
        </w:tc>
        <w:tc>
          <w:tcPr>
            <w:tcW w:w="650" w:type="pct"/>
          </w:tcPr>
          <w:p w14:paraId="68E0A2F5"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1</w:t>
            </w:r>
          </w:p>
        </w:tc>
        <w:tc>
          <w:tcPr>
            <w:tcW w:w="698" w:type="pct"/>
          </w:tcPr>
          <w:p w14:paraId="0CD87975"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5</w:t>
            </w:r>
          </w:p>
        </w:tc>
        <w:tc>
          <w:tcPr>
            <w:tcW w:w="660" w:type="pct"/>
          </w:tcPr>
          <w:p w14:paraId="67B838EC" w14:textId="77777777" w:rsidR="009746F1" w:rsidRPr="00E63FCA"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63FCA">
              <w:t>6</w:t>
            </w:r>
          </w:p>
        </w:tc>
      </w:tr>
      <w:tr w:rsidR="00E63FCA" w:rsidRPr="00E63FCA" w14:paraId="619A5121"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pct"/>
          </w:tcPr>
          <w:p w14:paraId="5D09295B" w14:textId="77777777" w:rsidR="009746F1" w:rsidRPr="00E63FCA" w:rsidRDefault="009746F1" w:rsidP="00F175A7">
            <w:pPr>
              <w:spacing w:after="0" w:line="240" w:lineRule="auto"/>
              <w:ind w:firstLine="0"/>
            </w:pPr>
            <w:r w:rsidRPr="00E63FCA">
              <w:t>Effectif des apprenants formés dans les Centres de formation professionnelle</w:t>
            </w:r>
          </w:p>
        </w:tc>
        <w:tc>
          <w:tcPr>
            <w:tcW w:w="650" w:type="pct"/>
          </w:tcPr>
          <w:p w14:paraId="43847DFF"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8 048</w:t>
            </w:r>
          </w:p>
        </w:tc>
        <w:tc>
          <w:tcPr>
            <w:tcW w:w="698" w:type="pct"/>
          </w:tcPr>
          <w:p w14:paraId="4CE275BB"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5 847</w:t>
            </w:r>
          </w:p>
        </w:tc>
        <w:tc>
          <w:tcPr>
            <w:tcW w:w="660" w:type="pct"/>
          </w:tcPr>
          <w:p w14:paraId="26CB5576" w14:textId="77777777" w:rsidR="009746F1" w:rsidRPr="00E63FCA"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63FCA">
              <w:t>5 730</w:t>
            </w:r>
          </w:p>
        </w:tc>
      </w:tr>
    </w:tbl>
    <w:p w14:paraId="782740D7" w14:textId="7EC47742" w:rsidR="009746F1" w:rsidRPr="00D84DB4" w:rsidRDefault="009746F1" w:rsidP="009746F1">
      <w:pPr>
        <w:shd w:val="clear" w:color="auto" w:fill="FFFFFF"/>
        <w:spacing w:before="120" w:after="120" w:line="276" w:lineRule="auto"/>
        <w:rPr>
          <w:sz w:val="20"/>
          <w:szCs w:val="20"/>
        </w:rPr>
      </w:pPr>
      <w:r w:rsidRPr="00D84DB4">
        <w:rPr>
          <w:b/>
          <w:sz w:val="20"/>
          <w:szCs w:val="20"/>
          <w:u w:val="single"/>
        </w:rPr>
        <w:t>Source</w:t>
      </w:r>
      <w:r w:rsidR="00287D1E">
        <w:rPr>
          <w:sz w:val="20"/>
          <w:szCs w:val="20"/>
        </w:rPr>
        <w:t xml:space="preserve"> : r</w:t>
      </w:r>
      <w:r w:rsidRPr="00D84DB4">
        <w:rPr>
          <w:sz w:val="20"/>
          <w:szCs w:val="20"/>
        </w:rPr>
        <w:t xml:space="preserve">apport </w:t>
      </w:r>
      <w:r w:rsidR="00287D1E">
        <w:rPr>
          <w:sz w:val="20"/>
          <w:szCs w:val="20"/>
        </w:rPr>
        <w:t xml:space="preserve">annuel </w:t>
      </w:r>
      <w:r w:rsidRPr="00D84DB4">
        <w:rPr>
          <w:sz w:val="20"/>
          <w:szCs w:val="20"/>
        </w:rPr>
        <w:t xml:space="preserve">de performance </w:t>
      </w:r>
      <w:r w:rsidR="002458AA">
        <w:rPr>
          <w:sz w:val="20"/>
          <w:szCs w:val="20"/>
        </w:rPr>
        <w:t>2023</w:t>
      </w:r>
      <w:r w:rsidRPr="00D84DB4">
        <w:rPr>
          <w:sz w:val="20"/>
          <w:szCs w:val="20"/>
        </w:rPr>
        <w:t xml:space="preserve"> du CSD-EF, février 2024</w:t>
      </w:r>
    </w:p>
    <w:p w14:paraId="14EF80DA" w14:textId="14DB2F8E"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En ce qui concerne la mise en œuvre de cette action, les principaux acquis au 31 décembre 2023 portent sur : (i) l’achèvement de cinq (05) lycées scientifiques régionaux (</w:t>
      </w:r>
      <w:proofErr w:type="spellStart"/>
      <w:r w:rsidRPr="009746F1">
        <w:rPr>
          <w:rFonts w:eastAsia="Calibri"/>
          <w:szCs w:val="24"/>
        </w:rPr>
        <w:t>Ziniaré</w:t>
      </w:r>
      <w:proofErr w:type="spellEnd"/>
      <w:r w:rsidRPr="009746F1">
        <w:rPr>
          <w:rFonts w:eastAsia="Calibri"/>
          <w:szCs w:val="24"/>
        </w:rPr>
        <w:t xml:space="preserve">, </w:t>
      </w:r>
      <w:proofErr w:type="spellStart"/>
      <w:r w:rsidRPr="009746F1">
        <w:rPr>
          <w:rFonts w:eastAsia="Calibri"/>
          <w:szCs w:val="24"/>
        </w:rPr>
        <w:t>Gaoua</w:t>
      </w:r>
      <w:proofErr w:type="spellEnd"/>
      <w:r w:rsidRPr="009746F1">
        <w:rPr>
          <w:rFonts w:eastAsia="Calibri"/>
          <w:szCs w:val="24"/>
        </w:rPr>
        <w:t xml:space="preserve">, Manga, </w:t>
      </w:r>
      <w:r w:rsidR="003130DA">
        <w:rPr>
          <w:rFonts w:eastAsia="Calibri"/>
          <w:szCs w:val="24"/>
        </w:rPr>
        <w:t>F</w:t>
      </w:r>
      <w:r w:rsidRPr="009746F1">
        <w:rPr>
          <w:rFonts w:eastAsia="Calibri"/>
          <w:szCs w:val="24"/>
        </w:rPr>
        <w:t xml:space="preserve">ada N’Gourma et Ouagadougou) et celui de Banfora en cours ; (ii) la construction de 30 salles de classe pour la résorption des paillotes sur 72 prévues ; (iii) la formation de 5 847 apprenants dans les Centres de formation professionnelle sur une prévision de 5 730 ; (iv) la construction de 28 nouvelles salles de classe pour le post-primaire </w:t>
      </w:r>
      <w:r w:rsidRPr="009746F1">
        <w:rPr>
          <w:rFonts w:eastAsia="Calibri"/>
          <w:szCs w:val="24"/>
        </w:rPr>
        <w:lastRenderedPageBreak/>
        <w:t>et le secondaire général sur une prévision de 57 ; (v) la construction de 16 nouvelles salles de classe sur 40 prévues pour la résorption des CEG dans les salles d'emprunt et (vi) la construction de 15 nouvelles salles de classe sur 30 prévues pour l’expansion et la normalisation des écoles incomplètes.</w:t>
      </w:r>
    </w:p>
    <w:p w14:paraId="432EF1B4" w14:textId="37BC2178"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De faibles performances sont enregistrées dans la construction des nouvelles salles de classe pour le préscolaire avec 5 salles de classe construites sur 25 prévues ; la non</w:t>
      </w:r>
      <w:r w:rsidR="003130DA">
        <w:rPr>
          <w:rFonts w:eastAsia="Calibri"/>
          <w:szCs w:val="24"/>
        </w:rPr>
        <w:t>-</w:t>
      </w:r>
      <w:r w:rsidRPr="009746F1">
        <w:rPr>
          <w:rFonts w:eastAsia="Calibri"/>
          <w:szCs w:val="24"/>
        </w:rPr>
        <w:t xml:space="preserve">réalisation de nouvelles infrastructures complémentaires dans les établissements d’EFTP </w:t>
      </w:r>
      <w:r w:rsidR="00AC1A51">
        <w:rPr>
          <w:rFonts w:eastAsia="Calibri"/>
          <w:szCs w:val="24"/>
        </w:rPr>
        <w:t xml:space="preserve">est </w:t>
      </w:r>
      <w:r w:rsidRPr="009746F1">
        <w:rPr>
          <w:rFonts w:eastAsia="Calibri"/>
          <w:szCs w:val="24"/>
        </w:rPr>
        <w:t>due entre autres à l’approbation tardive des plans d’exécution et aux retards accusés dans le contrôle qualité des prestations.</w:t>
      </w:r>
    </w:p>
    <w:p w14:paraId="18376E27" w14:textId="7CA2DCC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 la date du 31 décembre 2023, les taux d’exécution physique et financière de l’action 03069 sont respectivement de 67,75% et 63,96%.</w:t>
      </w:r>
    </w:p>
    <w:p w14:paraId="2189888A" w14:textId="475CCBFD"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S’agissant de l’action relative à </w:t>
      </w:r>
      <w:r w:rsidRPr="008139E1">
        <w:rPr>
          <w:rFonts w:eastAsia="Calibri"/>
          <w:b/>
          <w:szCs w:val="24"/>
        </w:rPr>
        <w:t>la mise en œuvre du fichier national des élèves, de l’inscription en ligne des élèves et de la production des cartes d’identité scolaires au Burkina Faso (03054)</w:t>
      </w:r>
      <w:r w:rsidRPr="009746F1">
        <w:rPr>
          <w:rFonts w:eastAsia="Calibri"/>
          <w:szCs w:val="24"/>
        </w:rPr>
        <w:t xml:space="preserve">, l’indicateur retenu pour mesurer son atteinte est la proportion d'élèves des classes d'examen des provinces pilotes disposant d'une </w:t>
      </w:r>
      <w:r w:rsidR="003130DA">
        <w:rPr>
          <w:rFonts w:eastAsia="Calibri"/>
          <w:szCs w:val="24"/>
        </w:rPr>
        <w:t>C</w:t>
      </w:r>
      <w:r w:rsidRPr="009746F1">
        <w:rPr>
          <w:rFonts w:eastAsia="Calibri"/>
          <w:szCs w:val="24"/>
        </w:rPr>
        <w:t>arte d'identité scolaire (CIS).</w:t>
      </w:r>
    </w:p>
    <w:p w14:paraId="3447DCB7" w14:textId="4E0A891E"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 l’issue de la phase pilote, 5 463 cartes d’identité scolaires ont été produites sur un total de 29 309 élèves des classes d’examen enrôlés, soit un taux de 18,64% d</w:t>
      </w:r>
      <w:r w:rsidR="003130DA">
        <w:rPr>
          <w:rFonts w:eastAsia="Calibri"/>
          <w:szCs w:val="24"/>
        </w:rPr>
        <w:t>û</w:t>
      </w:r>
      <w:r w:rsidRPr="009746F1">
        <w:rPr>
          <w:rFonts w:eastAsia="Calibri"/>
          <w:szCs w:val="24"/>
        </w:rPr>
        <w:t xml:space="preserve"> aux difficultés logistiques (insuffisance d’encre pour l’impression des CIS, nombre insuffisant d’imprimantes de cartes (2)).</w:t>
      </w:r>
    </w:p>
    <w:p w14:paraId="43EB365E" w14:textId="493E1E54"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La mise en œuvre du seul produit de cette action qui vise l’expérimentation de la plateforme intégrée a consacré au 31 décembre 2023, l’expérimentation de toutes les étapes de mise en œuvre du « Fichier d’</w:t>
      </w:r>
      <w:r w:rsidR="003130DA">
        <w:rPr>
          <w:rFonts w:eastAsia="Calibri"/>
          <w:szCs w:val="24"/>
        </w:rPr>
        <w:t>i</w:t>
      </w:r>
      <w:r w:rsidRPr="009746F1">
        <w:rPr>
          <w:rFonts w:eastAsia="Calibri"/>
          <w:szCs w:val="24"/>
        </w:rPr>
        <w:t xml:space="preserve">dentification unique des </w:t>
      </w:r>
      <w:r w:rsidR="003130DA">
        <w:rPr>
          <w:rFonts w:eastAsia="Calibri"/>
          <w:szCs w:val="24"/>
        </w:rPr>
        <w:t>é</w:t>
      </w:r>
      <w:r w:rsidRPr="009746F1">
        <w:rPr>
          <w:rFonts w:eastAsia="Calibri"/>
          <w:szCs w:val="24"/>
        </w:rPr>
        <w:t>lèves du Burkina Faso » durant la phase pilote qui a par ailleurs permis de relever les insuffisances de cette plateforme et de la stabiliser en vue de sa généralisation prévue pour 2024.</w:t>
      </w:r>
    </w:p>
    <w:p w14:paraId="31917E7A" w14:textId="4EAFCAEE"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Sur un budget prévisionnel de 132</w:t>
      </w:r>
      <w:r w:rsidR="003130DA">
        <w:rPr>
          <w:rFonts w:eastAsia="Calibri"/>
          <w:szCs w:val="24"/>
        </w:rPr>
        <w:t> </w:t>
      </w:r>
      <w:r w:rsidRPr="009746F1">
        <w:rPr>
          <w:rFonts w:eastAsia="Calibri"/>
          <w:szCs w:val="24"/>
        </w:rPr>
        <w:t>045</w:t>
      </w:r>
      <w:r w:rsidR="003130DA" w:rsidRPr="00056445">
        <w:rPr>
          <w:rFonts w:eastAsia="Calibri"/>
          <w:szCs w:val="24"/>
        </w:rPr>
        <w:t>°</w:t>
      </w:r>
      <w:r w:rsidRPr="009746F1">
        <w:rPr>
          <w:rFonts w:eastAsia="Calibri"/>
          <w:szCs w:val="24"/>
        </w:rPr>
        <w:t>000 FCFA destiné à la mise en œuvre de ce projet en 2023, un montant de 132</w:t>
      </w:r>
      <w:r w:rsidR="003130DA">
        <w:rPr>
          <w:rFonts w:eastAsia="Calibri"/>
          <w:szCs w:val="24"/>
        </w:rPr>
        <w:t> </w:t>
      </w:r>
      <w:r w:rsidRPr="009746F1">
        <w:rPr>
          <w:rFonts w:eastAsia="Calibri"/>
          <w:szCs w:val="24"/>
        </w:rPr>
        <w:t>180</w:t>
      </w:r>
      <w:r w:rsidR="003130DA" w:rsidRPr="00056445">
        <w:rPr>
          <w:rFonts w:eastAsia="Calibri"/>
          <w:szCs w:val="24"/>
        </w:rPr>
        <w:t>°</w:t>
      </w:r>
      <w:r w:rsidRPr="009746F1">
        <w:rPr>
          <w:rFonts w:eastAsia="Calibri"/>
          <w:szCs w:val="24"/>
        </w:rPr>
        <w:t xml:space="preserve"> 573 FCFA a été exécuté. Ce montant se compose de la contribution de la Coopération luxembourgeoise à hauteur de 96</w:t>
      </w:r>
      <w:r w:rsidR="003130DA">
        <w:rPr>
          <w:rFonts w:eastAsia="Calibri"/>
          <w:szCs w:val="24"/>
        </w:rPr>
        <w:t> </w:t>
      </w:r>
      <w:r w:rsidRPr="009746F1">
        <w:rPr>
          <w:rFonts w:eastAsia="Calibri"/>
          <w:szCs w:val="24"/>
        </w:rPr>
        <w:t>611</w:t>
      </w:r>
      <w:r w:rsidR="003130DA" w:rsidRPr="00056445">
        <w:rPr>
          <w:rFonts w:eastAsia="Calibri"/>
          <w:szCs w:val="24"/>
        </w:rPr>
        <w:t>°</w:t>
      </w:r>
      <w:r w:rsidRPr="009746F1">
        <w:rPr>
          <w:rFonts w:eastAsia="Calibri"/>
          <w:szCs w:val="24"/>
        </w:rPr>
        <w:t>415 FCFA et du budget général qui est de 35</w:t>
      </w:r>
      <w:r w:rsidR="003130DA">
        <w:rPr>
          <w:rFonts w:eastAsia="Calibri"/>
          <w:szCs w:val="24"/>
        </w:rPr>
        <w:t> </w:t>
      </w:r>
      <w:r w:rsidRPr="009746F1">
        <w:rPr>
          <w:rFonts w:eastAsia="Calibri"/>
          <w:szCs w:val="24"/>
        </w:rPr>
        <w:t>569</w:t>
      </w:r>
      <w:r w:rsidR="003130DA" w:rsidRPr="00056445">
        <w:rPr>
          <w:rFonts w:eastAsia="Calibri"/>
          <w:szCs w:val="24"/>
        </w:rPr>
        <w:t>°</w:t>
      </w:r>
      <w:r w:rsidRPr="009746F1">
        <w:rPr>
          <w:rFonts w:eastAsia="Calibri"/>
          <w:szCs w:val="24"/>
        </w:rPr>
        <w:t>158 FCFA. Pour l’ensemble de cette action 03070, les taux d’exécution physique et financière sont de 100%.</w:t>
      </w:r>
    </w:p>
    <w:p w14:paraId="35ADEF5A" w14:textId="434212FD"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Pour ce qui est de l’action portant sur </w:t>
      </w:r>
      <w:r w:rsidRPr="008139E1">
        <w:rPr>
          <w:rFonts w:eastAsia="Calibri"/>
          <w:b/>
          <w:szCs w:val="24"/>
        </w:rPr>
        <w:t>le renforcement de la gouvernance de l'enseignement supérieur (03055)</w:t>
      </w:r>
      <w:r w:rsidRPr="009746F1">
        <w:rPr>
          <w:rFonts w:eastAsia="Calibri"/>
          <w:szCs w:val="24"/>
        </w:rPr>
        <w:t>, la cible annuelle de porter à 53% la proportion de filières ayant normalisé leurs années académiques en 2023, s’est établi</w:t>
      </w:r>
      <w:r w:rsidR="003130DA">
        <w:rPr>
          <w:rFonts w:eastAsia="Calibri"/>
          <w:szCs w:val="24"/>
        </w:rPr>
        <w:t>e</w:t>
      </w:r>
      <w:r w:rsidRPr="009746F1">
        <w:rPr>
          <w:rFonts w:eastAsia="Calibri"/>
          <w:szCs w:val="24"/>
        </w:rPr>
        <w:t xml:space="preserve"> à 48,1% au 31 décembre 2023</w:t>
      </w:r>
      <w:r w:rsidR="003130DA">
        <w:rPr>
          <w:rFonts w:eastAsia="Calibri"/>
          <w:szCs w:val="24"/>
        </w:rPr>
        <w:t>,</w:t>
      </w:r>
      <w:r w:rsidRPr="009746F1">
        <w:rPr>
          <w:rFonts w:eastAsia="Calibri"/>
          <w:szCs w:val="24"/>
        </w:rPr>
        <w:t xml:space="preserve"> soit un écart négatif de 4,9 points de pourcentage.</w:t>
      </w:r>
    </w:p>
    <w:p w14:paraId="6CC43226" w14:textId="40FA7A63" w:rsidR="00CA6AFC"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Au 31 décembre 2023, la situation des indicateurs des quatre (04) produits rattachés à l’action est consignée dans le tableau ci-après.</w:t>
      </w:r>
    </w:p>
    <w:p w14:paraId="64360121" w14:textId="77777777" w:rsidR="00CA6AFC" w:rsidRDefault="00CA6AFC">
      <w:pPr>
        <w:spacing w:after="0" w:line="240" w:lineRule="auto"/>
        <w:jc w:val="left"/>
        <w:rPr>
          <w:rFonts w:eastAsia="Calibri"/>
          <w:szCs w:val="24"/>
        </w:rPr>
      </w:pPr>
      <w:r>
        <w:rPr>
          <w:rFonts w:eastAsia="Calibri"/>
          <w:szCs w:val="24"/>
        </w:rPr>
        <w:br w:type="page"/>
      </w:r>
    </w:p>
    <w:p w14:paraId="3DC4CF92" w14:textId="53BA7B5D" w:rsidR="009746F1" w:rsidRDefault="00F11202" w:rsidP="009746F1">
      <w:pPr>
        <w:shd w:val="clear" w:color="auto" w:fill="FFFFFF"/>
        <w:spacing w:before="240" w:after="240" w:line="240" w:lineRule="auto"/>
      </w:pPr>
      <w:bookmarkStart w:id="120" w:name="_Toc164503642"/>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55</w:t>
      </w:r>
      <w:r w:rsidRPr="00B51145">
        <w:rPr>
          <w:b/>
          <w:bCs/>
          <w:sz w:val="22"/>
          <w:u w:val="single"/>
        </w:rPr>
        <w:fldChar w:fldCharType="end"/>
      </w:r>
      <w:r w:rsidR="009746F1" w:rsidRPr="00E31E23">
        <w:rPr>
          <w:sz w:val="22"/>
        </w:rPr>
        <w:t xml:space="preserve">: </w:t>
      </w:r>
      <w:r w:rsidR="004903D4">
        <w:rPr>
          <w:sz w:val="22"/>
        </w:rPr>
        <w:t>s</w:t>
      </w:r>
      <w:r w:rsidR="009746F1" w:rsidRPr="00E31E23">
        <w:rPr>
          <w:sz w:val="22"/>
        </w:rPr>
        <w:t xml:space="preserve">ituation des indicateurs de produits de l’action </w:t>
      </w:r>
      <w:r w:rsidR="009746F1" w:rsidRPr="00E31E23">
        <w:rPr>
          <w:b/>
          <w:sz w:val="22"/>
        </w:rPr>
        <w:t xml:space="preserve">« </w:t>
      </w:r>
      <w:r w:rsidR="009746F1" w:rsidRPr="00E31E23">
        <w:rPr>
          <w:sz w:val="22"/>
        </w:rPr>
        <w:t>renforcement de la gouvernance de l'enseignement supérieur</w:t>
      </w:r>
      <w:r w:rsidR="009746F1" w:rsidRPr="00E31E23">
        <w:t xml:space="preserve"> »</w:t>
      </w:r>
      <w:bookmarkEnd w:id="120"/>
    </w:p>
    <w:tbl>
      <w:tblPr>
        <w:tblStyle w:val="TableauGrille4-Accentuation119"/>
        <w:tblW w:w="5000" w:type="pct"/>
        <w:tblLook w:val="04A0" w:firstRow="1" w:lastRow="0" w:firstColumn="1" w:lastColumn="0" w:noHBand="0" w:noVBand="1"/>
      </w:tblPr>
      <w:tblGrid>
        <w:gridCol w:w="5125"/>
        <w:gridCol w:w="1441"/>
        <w:gridCol w:w="1260"/>
        <w:gridCol w:w="1190"/>
      </w:tblGrid>
      <w:tr w:rsidR="009746F1" w:rsidRPr="005006BF" w14:paraId="3DDA8FC2" w14:textId="77777777" w:rsidTr="00F1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pct"/>
            <w:shd w:val="clear" w:color="auto" w:fill="4472C4" w:themeFill="accent1"/>
          </w:tcPr>
          <w:p w14:paraId="425BDFF1" w14:textId="0EFCB73B" w:rsidR="009746F1" w:rsidRPr="005006BF" w:rsidRDefault="009746F1" w:rsidP="00F175A7">
            <w:pPr>
              <w:spacing w:after="0" w:line="240" w:lineRule="auto"/>
              <w:ind w:firstLine="0"/>
            </w:pPr>
            <w:r w:rsidRPr="005006BF">
              <w:t xml:space="preserve">Indicateurs </w:t>
            </w:r>
          </w:p>
        </w:tc>
        <w:tc>
          <w:tcPr>
            <w:tcW w:w="799" w:type="pct"/>
            <w:shd w:val="clear" w:color="auto" w:fill="4472C4" w:themeFill="accent1"/>
          </w:tcPr>
          <w:p w14:paraId="59AAFA77" w14:textId="77777777" w:rsidR="009746F1" w:rsidRPr="005006BF"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006BF">
              <w:t>Réal. 2022</w:t>
            </w:r>
          </w:p>
        </w:tc>
        <w:tc>
          <w:tcPr>
            <w:tcW w:w="699" w:type="pct"/>
            <w:shd w:val="clear" w:color="auto" w:fill="4472C4" w:themeFill="accent1"/>
          </w:tcPr>
          <w:p w14:paraId="0F577FE0" w14:textId="77777777" w:rsidR="009746F1" w:rsidRPr="005006BF"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006BF">
              <w:t>Réal. 2023</w:t>
            </w:r>
          </w:p>
        </w:tc>
        <w:tc>
          <w:tcPr>
            <w:tcW w:w="660" w:type="pct"/>
            <w:shd w:val="clear" w:color="auto" w:fill="4472C4" w:themeFill="accent1"/>
          </w:tcPr>
          <w:p w14:paraId="2AD16348" w14:textId="77777777" w:rsidR="009746F1" w:rsidRPr="005006BF"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006BF">
              <w:t>Cible 2023</w:t>
            </w:r>
          </w:p>
        </w:tc>
      </w:tr>
      <w:tr w:rsidR="009746F1" w:rsidRPr="005006BF" w14:paraId="56F7831D"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pct"/>
          </w:tcPr>
          <w:p w14:paraId="04C9CDB6" w14:textId="77777777" w:rsidR="009746F1" w:rsidRPr="005006BF" w:rsidRDefault="009746F1" w:rsidP="00F175A7">
            <w:pPr>
              <w:spacing w:after="0" w:line="240" w:lineRule="auto"/>
              <w:ind w:firstLine="0"/>
            </w:pPr>
            <w:r w:rsidRPr="005006BF">
              <w:t>Proportion des filières ayant achevé les semestres dans les délais</w:t>
            </w:r>
          </w:p>
        </w:tc>
        <w:tc>
          <w:tcPr>
            <w:tcW w:w="799" w:type="pct"/>
          </w:tcPr>
          <w:p w14:paraId="4CE5767D"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45</w:t>
            </w:r>
          </w:p>
        </w:tc>
        <w:tc>
          <w:tcPr>
            <w:tcW w:w="699" w:type="pct"/>
          </w:tcPr>
          <w:p w14:paraId="19FF7C2B"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60,4</w:t>
            </w:r>
          </w:p>
        </w:tc>
        <w:tc>
          <w:tcPr>
            <w:tcW w:w="660" w:type="pct"/>
          </w:tcPr>
          <w:p w14:paraId="794B4087"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60</w:t>
            </w:r>
          </w:p>
        </w:tc>
      </w:tr>
      <w:tr w:rsidR="009746F1" w:rsidRPr="005006BF" w14:paraId="714B9749" w14:textId="77777777" w:rsidTr="00E52836">
        <w:tc>
          <w:tcPr>
            <w:cnfStyle w:val="001000000000" w:firstRow="0" w:lastRow="0" w:firstColumn="1" w:lastColumn="0" w:oddVBand="0" w:evenVBand="0" w:oddHBand="0" w:evenHBand="0" w:firstRowFirstColumn="0" w:firstRowLastColumn="0" w:lastRowFirstColumn="0" w:lastRowLastColumn="0"/>
            <w:tcW w:w="2842" w:type="pct"/>
          </w:tcPr>
          <w:p w14:paraId="706DC3FA" w14:textId="77777777" w:rsidR="009746F1" w:rsidRPr="005006BF" w:rsidRDefault="009746F1" w:rsidP="00F175A7">
            <w:pPr>
              <w:spacing w:after="0" w:line="240" w:lineRule="auto"/>
              <w:ind w:firstLine="0"/>
            </w:pPr>
            <w:r w:rsidRPr="005006BF">
              <w:t>Livre blanc élaboré</w:t>
            </w:r>
          </w:p>
        </w:tc>
        <w:tc>
          <w:tcPr>
            <w:tcW w:w="799" w:type="pct"/>
          </w:tcPr>
          <w:p w14:paraId="3E0442DC"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0</w:t>
            </w:r>
          </w:p>
        </w:tc>
        <w:tc>
          <w:tcPr>
            <w:tcW w:w="699" w:type="pct"/>
          </w:tcPr>
          <w:p w14:paraId="4485C145"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p>
        </w:tc>
        <w:tc>
          <w:tcPr>
            <w:tcW w:w="660" w:type="pct"/>
          </w:tcPr>
          <w:p w14:paraId="5A545B9E"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p>
        </w:tc>
      </w:tr>
      <w:tr w:rsidR="009746F1" w:rsidRPr="005006BF" w14:paraId="40FEEA3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pct"/>
          </w:tcPr>
          <w:p w14:paraId="7BF7B205" w14:textId="77777777" w:rsidR="009746F1" w:rsidRPr="005006BF" w:rsidRDefault="009746F1" w:rsidP="00F175A7">
            <w:pPr>
              <w:spacing w:after="0" w:line="240" w:lineRule="auto"/>
              <w:ind w:firstLine="0"/>
            </w:pPr>
            <w:r w:rsidRPr="005006BF">
              <w:t>Nombre de textes de base indispensables à la désignation des présidents et directeurs généraux d’institutions d’enseignement supérieur et de recherche et du CNRST élaborés</w:t>
            </w:r>
          </w:p>
        </w:tc>
        <w:tc>
          <w:tcPr>
            <w:tcW w:w="799" w:type="pct"/>
          </w:tcPr>
          <w:p w14:paraId="6875563C"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0</w:t>
            </w:r>
          </w:p>
        </w:tc>
        <w:tc>
          <w:tcPr>
            <w:tcW w:w="699" w:type="pct"/>
          </w:tcPr>
          <w:p w14:paraId="787A35B4"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0</w:t>
            </w:r>
          </w:p>
        </w:tc>
        <w:tc>
          <w:tcPr>
            <w:tcW w:w="660" w:type="pct"/>
          </w:tcPr>
          <w:p w14:paraId="036B288A"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3</w:t>
            </w:r>
          </w:p>
        </w:tc>
      </w:tr>
      <w:tr w:rsidR="009746F1" w:rsidRPr="005006BF" w14:paraId="6422E1AD" w14:textId="77777777" w:rsidTr="00E52836">
        <w:tc>
          <w:tcPr>
            <w:cnfStyle w:val="001000000000" w:firstRow="0" w:lastRow="0" w:firstColumn="1" w:lastColumn="0" w:oddVBand="0" w:evenVBand="0" w:oddHBand="0" w:evenHBand="0" w:firstRowFirstColumn="0" w:firstRowLastColumn="0" w:lastRowFirstColumn="0" w:lastRowLastColumn="0"/>
            <w:tcW w:w="2842" w:type="pct"/>
          </w:tcPr>
          <w:p w14:paraId="0E6BD650" w14:textId="77777777" w:rsidR="009746F1" w:rsidRPr="005006BF" w:rsidRDefault="009746F1" w:rsidP="00F175A7">
            <w:pPr>
              <w:spacing w:after="0" w:line="240" w:lineRule="auto"/>
              <w:ind w:firstLine="0"/>
            </w:pPr>
            <w:r w:rsidRPr="005006BF">
              <w:t>Nombre d’assistants, assistants hospitalo-universitaires et attachés de recherche recrutés</w:t>
            </w:r>
          </w:p>
        </w:tc>
        <w:tc>
          <w:tcPr>
            <w:tcW w:w="799" w:type="pct"/>
          </w:tcPr>
          <w:p w14:paraId="5A09737B"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158</w:t>
            </w:r>
          </w:p>
        </w:tc>
        <w:tc>
          <w:tcPr>
            <w:tcW w:w="699" w:type="pct"/>
          </w:tcPr>
          <w:p w14:paraId="37A02D45" w14:textId="2D383FE1"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r w:rsidR="00AC1A51">
              <w:t>87</w:t>
            </w:r>
          </w:p>
        </w:tc>
        <w:tc>
          <w:tcPr>
            <w:tcW w:w="660" w:type="pct"/>
          </w:tcPr>
          <w:p w14:paraId="16F58603"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288</w:t>
            </w:r>
          </w:p>
        </w:tc>
      </w:tr>
    </w:tbl>
    <w:p w14:paraId="293899B8" w14:textId="645FC9C6" w:rsidR="009746F1" w:rsidRPr="00240DB7" w:rsidRDefault="009746F1" w:rsidP="009746F1">
      <w:pPr>
        <w:shd w:val="clear" w:color="auto" w:fill="FFFFFF"/>
        <w:spacing w:before="120" w:after="120" w:line="276" w:lineRule="auto"/>
        <w:rPr>
          <w:sz w:val="20"/>
          <w:szCs w:val="20"/>
        </w:rPr>
      </w:pPr>
      <w:r w:rsidRPr="00240DB7">
        <w:rPr>
          <w:b/>
          <w:sz w:val="20"/>
          <w:szCs w:val="20"/>
          <w:u w:val="single"/>
        </w:rPr>
        <w:t>Source</w:t>
      </w:r>
      <w:r w:rsidRPr="00240DB7">
        <w:rPr>
          <w:sz w:val="20"/>
          <w:szCs w:val="20"/>
        </w:rPr>
        <w:t xml:space="preserve"> : Rapport </w:t>
      </w:r>
      <w:r w:rsidR="00287D1E">
        <w:rPr>
          <w:sz w:val="20"/>
          <w:szCs w:val="20"/>
        </w:rPr>
        <w:t xml:space="preserve">annuel </w:t>
      </w:r>
      <w:r w:rsidRPr="00240DB7">
        <w:rPr>
          <w:sz w:val="20"/>
          <w:szCs w:val="20"/>
        </w:rPr>
        <w:t xml:space="preserve">de performance </w:t>
      </w:r>
      <w:r w:rsidR="002458AA">
        <w:rPr>
          <w:sz w:val="20"/>
          <w:szCs w:val="20"/>
        </w:rPr>
        <w:t xml:space="preserve">2023 </w:t>
      </w:r>
      <w:r w:rsidRPr="00240DB7">
        <w:rPr>
          <w:sz w:val="20"/>
          <w:szCs w:val="20"/>
        </w:rPr>
        <w:t>du CSD-EF, février 2024</w:t>
      </w:r>
    </w:p>
    <w:p w14:paraId="7B6DE296" w14:textId="7777777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Au 31 décembre 2023, les acquis majeurs enregistrés dans le cadre de cette action ont trait à l’achèvement des semestres dans les délais pour 60,4% des filières académiques et à la validation du livre blanc de l’enseignement supérieur qui ont été exécutés à 100%.</w:t>
      </w:r>
    </w:p>
    <w:p w14:paraId="419A7DEB" w14:textId="21E6DA3B"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Par ailleurs, 1</w:t>
      </w:r>
      <w:r w:rsidR="00AC1A51">
        <w:rPr>
          <w:rFonts w:eastAsia="Calibri"/>
          <w:szCs w:val="24"/>
        </w:rPr>
        <w:t>87</w:t>
      </w:r>
      <w:r w:rsidRPr="009746F1">
        <w:rPr>
          <w:rFonts w:eastAsia="Calibri"/>
          <w:szCs w:val="24"/>
        </w:rPr>
        <w:t xml:space="preserve"> assistants, assistants hospitalo-universitaires et attachés de recherche ont été recrutés sur une prévision de 288, soit un taux de réalisation physique de </w:t>
      </w:r>
      <w:r w:rsidR="00AC1A51">
        <w:rPr>
          <w:rFonts w:eastAsia="Calibri"/>
          <w:szCs w:val="24"/>
        </w:rPr>
        <w:t>64</w:t>
      </w:r>
      <w:r w:rsidRPr="009746F1">
        <w:rPr>
          <w:rFonts w:eastAsia="Calibri"/>
          <w:szCs w:val="24"/>
        </w:rPr>
        <w:t>,</w:t>
      </w:r>
      <w:r w:rsidR="00AC1A51">
        <w:rPr>
          <w:rFonts w:eastAsia="Calibri"/>
          <w:szCs w:val="24"/>
        </w:rPr>
        <w:t>93</w:t>
      </w:r>
      <w:r w:rsidRPr="009746F1">
        <w:rPr>
          <w:rFonts w:eastAsia="Calibri"/>
          <w:szCs w:val="24"/>
        </w:rPr>
        <w:t>%, expliqué entre autres par le manque de vivier dans certaines spécialités et la non</w:t>
      </w:r>
      <w:r w:rsidR="009030C4">
        <w:rPr>
          <w:rFonts w:eastAsia="Calibri"/>
          <w:szCs w:val="24"/>
        </w:rPr>
        <w:t>-</w:t>
      </w:r>
      <w:r w:rsidRPr="009746F1">
        <w:rPr>
          <w:rFonts w:eastAsia="Calibri"/>
          <w:szCs w:val="24"/>
        </w:rPr>
        <w:t>ouverture du concours de recrutement des 30 assistants hospitalo-universitaires du fait de la non</w:t>
      </w:r>
      <w:r w:rsidR="009030C4">
        <w:rPr>
          <w:rFonts w:eastAsia="Calibri"/>
          <w:szCs w:val="24"/>
        </w:rPr>
        <w:t>-</w:t>
      </w:r>
      <w:r w:rsidRPr="009746F1">
        <w:rPr>
          <w:rFonts w:eastAsia="Calibri"/>
          <w:szCs w:val="24"/>
        </w:rPr>
        <w:t xml:space="preserve">création des postes de travail dans les </w:t>
      </w:r>
      <w:r w:rsidR="009030C4">
        <w:rPr>
          <w:rFonts w:eastAsia="Calibri"/>
          <w:szCs w:val="24"/>
        </w:rPr>
        <w:t>c</w:t>
      </w:r>
      <w:r w:rsidRPr="009746F1">
        <w:rPr>
          <w:rFonts w:eastAsia="Calibri"/>
          <w:szCs w:val="24"/>
        </w:rPr>
        <w:t xml:space="preserve">entres </w:t>
      </w:r>
      <w:r w:rsidR="009030C4">
        <w:rPr>
          <w:rFonts w:eastAsia="Calibri"/>
          <w:szCs w:val="24"/>
        </w:rPr>
        <w:t>h</w:t>
      </w:r>
      <w:r w:rsidRPr="009746F1">
        <w:rPr>
          <w:rFonts w:eastAsia="Calibri"/>
          <w:szCs w:val="24"/>
        </w:rPr>
        <w:t>ospitalo-</w:t>
      </w:r>
      <w:r w:rsidR="009030C4">
        <w:rPr>
          <w:rFonts w:eastAsia="Calibri"/>
          <w:szCs w:val="24"/>
        </w:rPr>
        <w:t>u</w:t>
      </w:r>
      <w:r w:rsidRPr="009746F1">
        <w:rPr>
          <w:rFonts w:eastAsia="Calibri"/>
          <w:szCs w:val="24"/>
        </w:rPr>
        <w:t xml:space="preserve">niversitaires et </w:t>
      </w:r>
      <w:r w:rsidR="009030C4">
        <w:rPr>
          <w:rFonts w:eastAsia="Calibri"/>
          <w:szCs w:val="24"/>
        </w:rPr>
        <w:t>c</w:t>
      </w:r>
      <w:r w:rsidRPr="009746F1">
        <w:rPr>
          <w:rFonts w:eastAsia="Calibri"/>
          <w:szCs w:val="24"/>
        </w:rPr>
        <w:t xml:space="preserve">entres </w:t>
      </w:r>
      <w:proofErr w:type="spellStart"/>
      <w:r w:rsidR="009030C4">
        <w:rPr>
          <w:rFonts w:eastAsia="Calibri"/>
          <w:szCs w:val="24"/>
        </w:rPr>
        <w:t>h</w:t>
      </w:r>
      <w:r w:rsidRPr="009746F1">
        <w:rPr>
          <w:rFonts w:eastAsia="Calibri"/>
          <w:szCs w:val="24"/>
        </w:rPr>
        <w:t>ospitalo</w:t>
      </w:r>
      <w:proofErr w:type="spellEnd"/>
      <w:r w:rsidRPr="009746F1">
        <w:rPr>
          <w:rFonts w:eastAsia="Calibri"/>
          <w:szCs w:val="24"/>
        </w:rPr>
        <w:t>-</w:t>
      </w:r>
      <w:r w:rsidR="009030C4">
        <w:rPr>
          <w:rFonts w:eastAsia="Calibri"/>
          <w:szCs w:val="24"/>
        </w:rPr>
        <w:t>r</w:t>
      </w:r>
      <w:r w:rsidRPr="009746F1">
        <w:rPr>
          <w:rFonts w:eastAsia="Calibri"/>
          <w:szCs w:val="24"/>
        </w:rPr>
        <w:t>égionaux.</w:t>
      </w:r>
    </w:p>
    <w:p w14:paraId="5EDD69B9" w14:textId="05F5EB83"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Les taux d’exécution global</w:t>
      </w:r>
      <w:r w:rsidR="009030C4">
        <w:rPr>
          <w:rFonts w:eastAsia="Calibri"/>
          <w:szCs w:val="24"/>
        </w:rPr>
        <w:t>e</w:t>
      </w:r>
      <w:r w:rsidRPr="009746F1">
        <w:rPr>
          <w:rFonts w:eastAsia="Calibri"/>
          <w:szCs w:val="24"/>
        </w:rPr>
        <w:t xml:space="preserve"> physique et financière de l’action 03071 au 31 décembre 2023 sont respectivement de 8</w:t>
      </w:r>
      <w:r w:rsidR="00AC1A51">
        <w:rPr>
          <w:rFonts w:eastAsia="Calibri"/>
          <w:szCs w:val="24"/>
        </w:rPr>
        <w:t>3</w:t>
      </w:r>
      <w:r w:rsidRPr="009746F1">
        <w:rPr>
          <w:rFonts w:eastAsia="Calibri"/>
          <w:szCs w:val="24"/>
        </w:rPr>
        <w:t>,7</w:t>
      </w:r>
      <w:r w:rsidR="00AC1A51">
        <w:rPr>
          <w:rFonts w:eastAsia="Calibri"/>
          <w:szCs w:val="24"/>
        </w:rPr>
        <w:t>3</w:t>
      </w:r>
      <w:r w:rsidRPr="009746F1">
        <w:rPr>
          <w:rFonts w:eastAsia="Calibri"/>
          <w:szCs w:val="24"/>
        </w:rPr>
        <w:t>% et 29,90%.</w:t>
      </w:r>
    </w:p>
    <w:p w14:paraId="6F2DD7BD" w14:textId="41CB86DD"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S’agissant de l’action relative à </w:t>
      </w:r>
      <w:r w:rsidRPr="008139E1">
        <w:rPr>
          <w:rFonts w:eastAsia="Calibri"/>
          <w:b/>
          <w:szCs w:val="24"/>
        </w:rPr>
        <w:t>l’amélioration de l’offre et de la qualité de l’enseignement supérieur (03056)</w:t>
      </w:r>
      <w:r w:rsidRPr="009746F1">
        <w:rPr>
          <w:rFonts w:eastAsia="Calibri"/>
          <w:szCs w:val="24"/>
        </w:rPr>
        <w:t>, au 31 décembre 2023, sur les trois indicateurs, seul le nombre d'étudiants et étudiantes pour 100 000 habitants n’a pas atteint sa cible avec 992 étudiants et étudiantes pour 100 000 habitants sur une cible de 1 056, soit un taux de 93,93%.</w:t>
      </w:r>
    </w:p>
    <w:p w14:paraId="4CBA5F53" w14:textId="3801B376"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Les cibles qui visent à accroître en 2023 la proportion d'étudiants et étudiantes ayant achevé un cycle et la proportion des étudiants inscrits dans les filières de l’EFTP au public respectivement à 70% et 11,3% s'établissent respectivement à 74,5% et à 11,4%.</w:t>
      </w:r>
    </w:p>
    <w:p w14:paraId="24E7E220" w14:textId="6EFE8868" w:rsidR="008008C3"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La situation des indicateurs de produit</w:t>
      </w:r>
      <w:r w:rsidR="009030C4">
        <w:rPr>
          <w:rFonts w:eastAsia="Calibri"/>
          <w:szCs w:val="24"/>
        </w:rPr>
        <w:t>s</w:t>
      </w:r>
      <w:r w:rsidRPr="009746F1">
        <w:rPr>
          <w:rFonts w:eastAsia="Calibri"/>
          <w:szCs w:val="24"/>
        </w:rPr>
        <w:t xml:space="preserve"> de l’action est présentée dans le tableau ci-dessous.</w:t>
      </w:r>
    </w:p>
    <w:p w14:paraId="2C5A01F8" w14:textId="77777777" w:rsidR="008008C3" w:rsidRDefault="008008C3">
      <w:pPr>
        <w:spacing w:after="0" w:line="240" w:lineRule="auto"/>
        <w:jc w:val="left"/>
        <w:rPr>
          <w:rFonts w:eastAsia="Calibri"/>
          <w:szCs w:val="24"/>
        </w:rPr>
      </w:pPr>
      <w:r>
        <w:rPr>
          <w:rFonts w:eastAsia="Calibri"/>
          <w:szCs w:val="24"/>
        </w:rPr>
        <w:br w:type="page"/>
      </w:r>
    </w:p>
    <w:p w14:paraId="6EDA9979" w14:textId="5349903C" w:rsidR="009746F1" w:rsidRDefault="00AB4DCD" w:rsidP="009746F1">
      <w:pPr>
        <w:shd w:val="clear" w:color="auto" w:fill="FFFFFF"/>
        <w:spacing w:before="240" w:after="240" w:line="240" w:lineRule="auto"/>
        <w:rPr>
          <w:sz w:val="22"/>
        </w:rPr>
      </w:pPr>
      <w:bookmarkStart w:id="121" w:name="_Toc164503643"/>
      <w:r w:rsidRPr="00B51145">
        <w:rPr>
          <w:b/>
          <w:bCs/>
          <w:sz w:val="22"/>
          <w:u w:val="single"/>
        </w:rPr>
        <w:lastRenderedPageBreak/>
        <w:t xml:space="preserve">Tableau </w:t>
      </w:r>
      <w:r w:rsidRPr="00B51145">
        <w:rPr>
          <w:b/>
          <w:bCs/>
          <w:sz w:val="22"/>
          <w:u w:val="single"/>
        </w:rPr>
        <w:fldChar w:fldCharType="begin"/>
      </w:r>
      <w:r w:rsidRPr="00B51145">
        <w:rPr>
          <w:b/>
          <w:bCs/>
          <w:sz w:val="22"/>
          <w:u w:val="single"/>
        </w:rPr>
        <w:instrText xml:space="preserve"> SEQ Tableau \* ARABIC </w:instrText>
      </w:r>
      <w:r w:rsidRPr="00B51145">
        <w:rPr>
          <w:b/>
          <w:bCs/>
          <w:sz w:val="22"/>
          <w:u w:val="single"/>
        </w:rPr>
        <w:fldChar w:fldCharType="separate"/>
      </w:r>
      <w:r w:rsidR="007C2E4E">
        <w:rPr>
          <w:b/>
          <w:bCs/>
          <w:noProof/>
          <w:sz w:val="22"/>
          <w:u w:val="single"/>
        </w:rPr>
        <w:t>56</w:t>
      </w:r>
      <w:r w:rsidRPr="00B51145">
        <w:rPr>
          <w:b/>
          <w:bCs/>
          <w:sz w:val="22"/>
          <w:u w:val="single"/>
        </w:rPr>
        <w:fldChar w:fldCharType="end"/>
      </w:r>
      <w:r w:rsidR="009746F1" w:rsidRPr="00E31E23">
        <w:t xml:space="preserve">: </w:t>
      </w:r>
      <w:r w:rsidR="004903D4">
        <w:t>s</w:t>
      </w:r>
      <w:r w:rsidR="009746F1" w:rsidRPr="00E31E23">
        <w:t>ituation des indicateurs de produits de l’action « amélioration de l’offre et de la qualité de l’enseignement supérieur »</w:t>
      </w:r>
      <w:bookmarkEnd w:id="121"/>
      <w:r w:rsidR="009746F1" w:rsidRPr="00E31E23">
        <w:t xml:space="preserve"> </w:t>
      </w:r>
    </w:p>
    <w:tbl>
      <w:tblPr>
        <w:tblStyle w:val="TableauGrille4-Accentuation119"/>
        <w:tblW w:w="5000" w:type="pct"/>
        <w:tblLook w:val="04A0" w:firstRow="1" w:lastRow="0" w:firstColumn="1" w:lastColumn="0" w:noHBand="0" w:noVBand="1"/>
      </w:tblPr>
      <w:tblGrid>
        <w:gridCol w:w="4594"/>
        <w:gridCol w:w="1486"/>
        <w:gridCol w:w="1450"/>
        <w:gridCol w:w="1486"/>
      </w:tblGrid>
      <w:tr w:rsidR="005006BF" w:rsidRPr="005006BF" w14:paraId="1D2268D0" w14:textId="77777777" w:rsidTr="00F175A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643" w:type="pct"/>
            <w:shd w:val="clear" w:color="auto" w:fill="4472C4" w:themeFill="accent1"/>
          </w:tcPr>
          <w:p w14:paraId="533EAB78" w14:textId="060281F1" w:rsidR="009746F1" w:rsidRPr="005006BF" w:rsidRDefault="009746F1" w:rsidP="00F175A7">
            <w:pPr>
              <w:spacing w:after="0" w:line="240" w:lineRule="auto"/>
              <w:ind w:firstLine="0"/>
            </w:pPr>
            <w:r w:rsidRPr="005006BF">
              <w:t xml:space="preserve">Indicateurs </w:t>
            </w:r>
          </w:p>
        </w:tc>
        <w:tc>
          <w:tcPr>
            <w:tcW w:w="749" w:type="pct"/>
            <w:shd w:val="clear" w:color="auto" w:fill="4472C4" w:themeFill="accent1"/>
          </w:tcPr>
          <w:p w14:paraId="264505D1" w14:textId="77777777" w:rsidR="009746F1" w:rsidRPr="005006BF"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006BF">
              <w:t>Réal. 2022</w:t>
            </w:r>
          </w:p>
        </w:tc>
        <w:tc>
          <w:tcPr>
            <w:tcW w:w="899" w:type="pct"/>
            <w:shd w:val="clear" w:color="auto" w:fill="4472C4" w:themeFill="accent1"/>
          </w:tcPr>
          <w:p w14:paraId="40FCF9FE" w14:textId="77777777" w:rsidR="009746F1" w:rsidRPr="005006BF"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006BF">
              <w:t>Réal. 2023</w:t>
            </w:r>
          </w:p>
        </w:tc>
        <w:tc>
          <w:tcPr>
            <w:tcW w:w="710" w:type="pct"/>
            <w:shd w:val="clear" w:color="auto" w:fill="4472C4" w:themeFill="accent1"/>
          </w:tcPr>
          <w:p w14:paraId="440F61A9" w14:textId="77777777" w:rsidR="009746F1" w:rsidRPr="005006BF"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006BF">
              <w:t>Cible 2023</w:t>
            </w:r>
          </w:p>
        </w:tc>
      </w:tr>
      <w:tr w:rsidR="005006BF" w:rsidRPr="005006BF" w14:paraId="2D6D6755"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3" w:type="pct"/>
          </w:tcPr>
          <w:p w14:paraId="4C1BB3ED" w14:textId="77777777" w:rsidR="009746F1" w:rsidRPr="005006BF" w:rsidRDefault="009746F1" w:rsidP="00F175A7">
            <w:pPr>
              <w:spacing w:after="0" w:line="240" w:lineRule="auto"/>
              <w:ind w:firstLine="0"/>
            </w:pPr>
            <w:r w:rsidRPr="005006BF">
              <w:t>Nombre de cités et résidences universitaires construites/réhabilitées</w:t>
            </w:r>
          </w:p>
        </w:tc>
        <w:tc>
          <w:tcPr>
            <w:tcW w:w="749" w:type="pct"/>
          </w:tcPr>
          <w:p w14:paraId="5DD2660F"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0</w:t>
            </w:r>
          </w:p>
        </w:tc>
        <w:tc>
          <w:tcPr>
            <w:tcW w:w="899" w:type="pct"/>
          </w:tcPr>
          <w:p w14:paraId="6BA23AEB"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0</w:t>
            </w:r>
          </w:p>
        </w:tc>
        <w:tc>
          <w:tcPr>
            <w:tcW w:w="710" w:type="pct"/>
          </w:tcPr>
          <w:p w14:paraId="49BB31AC"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1</w:t>
            </w:r>
          </w:p>
        </w:tc>
      </w:tr>
      <w:tr w:rsidR="005006BF" w:rsidRPr="005006BF" w14:paraId="09683655"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43" w:type="pct"/>
          </w:tcPr>
          <w:p w14:paraId="5921E52B" w14:textId="77777777" w:rsidR="009746F1" w:rsidRPr="005006BF" w:rsidRDefault="009746F1" w:rsidP="00F175A7">
            <w:pPr>
              <w:spacing w:after="0" w:line="240" w:lineRule="auto"/>
              <w:ind w:firstLine="0"/>
            </w:pPr>
            <w:r w:rsidRPr="005006BF">
              <w:t>Nombre d’étudiants bénéficiaires des aides et prêts par an</w:t>
            </w:r>
          </w:p>
        </w:tc>
        <w:tc>
          <w:tcPr>
            <w:tcW w:w="749" w:type="pct"/>
          </w:tcPr>
          <w:p w14:paraId="046192CB"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97 630</w:t>
            </w:r>
          </w:p>
        </w:tc>
        <w:tc>
          <w:tcPr>
            <w:tcW w:w="899" w:type="pct"/>
          </w:tcPr>
          <w:p w14:paraId="2E492600" w14:textId="77777777" w:rsidR="009746F1" w:rsidRPr="005006BF" w:rsidRDefault="009746F1"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5006BF">
              <w:t>98 467 dont 38 711 filles</w:t>
            </w:r>
          </w:p>
        </w:tc>
        <w:tc>
          <w:tcPr>
            <w:tcW w:w="710" w:type="pct"/>
          </w:tcPr>
          <w:p w14:paraId="4743A6F1" w14:textId="459B3C89" w:rsidR="009746F1" w:rsidRPr="005006BF" w:rsidRDefault="009746F1" w:rsidP="00454163">
            <w:pPr>
              <w:spacing w:after="0" w:line="240" w:lineRule="auto"/>
              <w:cnfStyle w:val="000000000000" w:firstRow="0" w:lastRow="0" w:firstColumn="0" w:lastColumn="0" w:oddVBand="0" w:evenVBand="0" w:oddHBand="0" w:evenHBand="0" w:firstRowFirstColumn="0" w:firstRowLastColumn="0" w:lastRowFirstColumn="0" w:lastRowLastColumn="0"/>
            </w:pPr>
            <w:r w:rsidRPr="005006BF">
              <w:t>80</w:t>
            </w:r>
            <w:r w:rsidR="00454163" w:rsidRPr="00577375">
              <w:rPr>
                <w:rFonts w:eastAsia="Calibri"/>
                <w:szCs w:val="24"/>
              </w:rPr>
              <w:t> </w:t>
            </w:r>
            <w:r w:rsidRPr="005006BF">
              <w:t>000</w:t>
            </w:r>
          </w:p>
        </w:tc>
      </w:tr>
      <w:tr w:rsidR="005006BF" w:rsidRPr="005006BF" w14:paraId="5B871A63"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3" w:type="pct"/>
          </w:tcPr>
          <w:p w14:paraId="7DF918FE" w14:textId="77777777" w:rsidR="009746F1" w:rsidRPr="005006BF" w:rsidRDefault="009746F1" w:rsidP="00F175A7">
            <w:pPr>
              <w:spacing w:after="0" w:line="240" w:lineRule="auto"/>
              <w:ind w:firstLine="0"/>
            </w:pPr>
            <w:r w:rsidRPr="005006BF">
              <w:t>Nombre d’étudiants bénéficiaires de bourses</w:t>
            </w:r>
          </w:p>
        </w:tc>
        <w:tc>
          <w:tcPr>
            <w:tcW w:w="749" w:type="pct"/>
          </w:tcPr>
          <w:p w14:paraId="5840B85D"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9 617</w:t>
            </w:r>
          </w:p>
        </w:tc>
        <w:tc>
          <w:tcPr>
            <w:tcW w:w="899" w:type="pct"/>
          </w:tcPr>
          <w:p w14:paraId="45EDBDCC" w14:textId="77777777" w:rsidR="009746F1" w:rsidRPr="005006BF" w:rsidRDefault="009746F1"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5006BF">
              <w:t>8 630 dont 3340 filles</w:t>
            </w:r>
          </w:p>
        </w:tc>
        <w:tc>
          <w:tcPr>
            <w:tcW w:w="710" w:type="pct"/>
          </w:tcPr>
          <w:p w14:paraId="4C97182B" w14:textId="6F6E3E51"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9</w:t>
            </w:r>
            <w:r w:rsidR="00454163" w:rsidRPr="00577375">
              <w:rPr>
                <w:rFonts w:eastAsia="Calibri"/>
                <w:szCs w:val="24"/>
              </w:rPr>
              <w:t> </w:t>
            </w:r>
            <w:r w:rsidRPr="005006BF">
              <w:t>300</w:t>
            </w:r>
          </w:p>
        </w:tc>
      </w:tr>
      <w:tr w:rsidR="005006BF" w:rsidRPr="005006BF" w14:paraId="1A54CAB2"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43" w:type="pct"/>
          </w:tcPr>
          <w:p w14:paraId="690C2FF7" w14:textId="77777777" w:rsidR="009746F1" w:rsidRPr="005006BF" w:rsidRDefault="009746F1" w:rsidP="00F175A7">
            <w:pPr>
              <w:spacing w:after="0" w:line="240" w:lineRule="auto"/>
              <w:ind w:firstLine="0"/>
            </w:pPr>
            <w:r w:rsidRPr="005006BF">
              <w:t>Nombre d’étudiants demandeurs de logement hébergés</w:t>
            </w:r>
          </w:p>
        </w:tc>
        <w:tc>
          <w:tcPr>
            <w:tcW w:w="749" w:type="pct"/>
          </w:tcPr>
          <w:p w14:paraId="1398F511"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7 562</w:t>
            </w:r>
          </w:p>
        </w:tc>
        <w:tc>
          <w:tcPr>
            <w:tcW w:w="899" w:type="pct"/>
          </w:tcPr>
          <w:p w14:paraId="6DFE5AF3" w14:textId="77777777" w:rsidR="009746F1" w:rsidRPr="005006BF" w:rsidRDefault="009746F1"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5006BF">
              <w:t>7 812 dont 3 701 filles</w:t>
            </w:r>
          </w:p>
        </w:tc>
        <w:tc>
          <w:tcPr>
            <w:tcW w:w="710" w:type="pct"/>
          </w:tcPr>
          <w:p w14:paraId="51F40AF2" w14:textId="73598E80" w:rsidR="009746F1" w:rsidRPr="005006BF" w:rsidRDefault="009746F1" w:rsidP="00454163">
            <w:pPr>
              <w:spacing w:after="0" w:line="240" w:lineRule="auto"/>
              <w:cnfStyle w:val="000000000000" w:firstRow="0" w:lastRow="0" w:firstColumn="0" w:lastColumn="0" w:oddVBand="0" w:evenVBand="0" w:oddHBand="0" w:evenHBand="0" w:firstRowFirstColumn="0" w:firstRowLastColumn="0" w:lastRowFirstColumn="0" w:lastRowLastColumn="0"/>
            </w:pPr>
            <w:r w:rsidRPr="005006BF">
              <w:t>8</w:t>
            </w:r>
            <w:r w:rsidR="00454163" w:rsidRPr="00577375">
              <w:rPr>
                <w:rFonts w:eastAsia="Calibri"/>
                <w:szCs w:val="24"/>
              </w:rPr>
              <w:t> </w:t>
            </w:r>
            <w:r w:rsidRPr="005006BF">
              <w:t>099</w:t>
            </w:r>
          </w:p>
        </w:tc>
      </w:tr>
      <w:tr w:rsidR="005006BF" w:rsidRPr="005006BF" w14:paraId="1B235F06"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3" w:type="pct"/>
          </w:tcPr>
          <w:p w14:paraId="41F0CDE7" w14:textId="77777777" w:rsidR="009746F1" w:rsidRPr="005006BF" w:rsidRDefault="009746F1" w:rsidP="00F175A7">
            <w:pPr>
              <w:spacing w:after="0" w:line="240" w:lineRule="auto"/>
              <w:ind w:firstLine="0"/>
            </w:pPr>
            <w:r w:rsidRPr="005006BF">
              <w:t>Nombre de plats servis par an dans les restaurants universitaires</w:t>
            </w:r>
          </w:p>
        </w:tc>
        <w:tc>
          <w:tcPr>
            <w:tcW w:w="749" w:type="pct"/>
          </w:tcPr>
          <w:p w14:paraId="4E17FC72" w14:textId="71A4AFC6"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 xml:space="preserve">11 </w:t>
            </w:r>
            <w:r w:rsidR="00454163" w:rsidRPr="00577375">
              <w:rPr>
                <w:rFonts w:eastAsia="Calibri"/>
                <w:szCs w:val="24"/>
              </w:rPr>
              <w:t> </w:t>
            </w:r>
            <w:r w:rsidRPr="005006BF">
              <w:t xml:space="preserve">000 </w:t>
            </w:r>
            <w:r w:rsidR="00454163" w:rsidRPr="00577375">
              <w:rPr>
                <w:rFonts w:eastAsia="Calibri"/>
                <w:szCs w:val="24"/>
              </w:rPr>
              <w:t> </w:t>
            </w:r>
            <w:r w:rsidRPr="005006BF">
              <w:t>000</w:t>
            </w:r>
          </w:p>
        </w:tc>
        <w:tc>
          <w:tcPr>
            <w:tcW w:w="899" w:type="pct"/>
          </w:tcPr>
          <w:p w14:paraId="093C7FFA" w14:textId="77777777" w:rsidR="009746F1" w:rsidRPr="005006BF" w:rsidRDefault="009746F1"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5006BF">
              <w:t>12 139 668</w:t>
            </w:r>
          </w:p>
        </w:tc>
        <w:tc>
          <w:tcPr>
            <w:tcW w:w="710" w:type="pct"/>
          </w:tcPr>
          <w:p w14:paraId="71065623" w14:textId="34D0D7A6"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 xml:space="preserve">11 </w:t>
            </w:r>
            <w:r w:rsidR="00454163" w:rsidRPr="00577375">
              <w:rPr>
                <w:rFonts w:eastAsia="Calibri"/>
                <w:szCs w:val="24"/>
              </w:rPr>
              <w:t> </w:t>
            </w:r>
            <w:r w:rsidRPr="005006BF">
              <w:t xml:space="preserve">600 </w:t>
            </w:r>
            <w:r w:rsidR="00454163" w:rsidRPr="00577375">
              <w:rPr>
                <w:rFonts w:eastAsia="Calibri"/>
                <w:szCs w:val="24"/>
              </w:rPr>
              <w:t> </w:t>
            </w:r>
            <w:r w:rsidRPr="005006BF">
              <w:t>000</w:t>
            </w:r>
          </w:p>
        </w:tc>
      </w:tr>
      <w:tr w:rsidR="005006BF" w:rsidRPr="005006BF" w14:paraId="484AE6E5"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43" w:type="pct"/>
          </w:tcPr>
          <w:p w14:paraId="370128A5" w14:textId="77777777" w:rsidR="009746F1" w:rsidRPr="005006BF" w:rsidRDefault="009746F1" w:rsidP="00F175A7">
            <w:pPr>
              <w:spacing w:after="0" w:line="240" w:lineRule="auto"/>
              <w:ind w:firstLine="0"/>
            </w:pPr>
            <w:r w:rsidRPr="005006BF">
              <w:t>Nombre de bâtiments pédagogiques construits</w:t>
            </w:r>
          </w:p>
        </w:tc>
        <w:tc>
          <w:tcPr>
            <w:tcW w:w="749" w:type="pct"/>
          </w:tcPr>
          <w:p w14:paraId="42811603"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p>
        </w:tc>
        <w:tc>
          <w:tcPr>
            <w:tcW w:w="899" w:type="pct"/>
          </w:tcPr>
          <w:p w14:paraId="6D364349"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p>
        </w:tc>
        <w:tc>
          <w:tcPr>
            <w:tcW w:w="710" w:type="pct"/>
          </w:tcPr>
          <w:p w14:paraId="55C02B53"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2</w:t>
            </w:r>
          </w:p>
        </w:tc>
      </w:tr>
      <w:tr w:rsidR="005006BF" w:rsidRPr="005006BF" w14:paraId="2B8B48AA"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3" w:type="pct"/>
          </w:tcPr>
          <w:p w14:paraId="7C88AD90" w14:textId="77777777" w:rsidR="009746F1" w:rsidRPr="005006BF" w:rsidRDefault="009746F1" w:rsidP="00F175A7">
            <w:pPr>
              <w:spacing w:after="0" w:line="240" w:lineRule="auto"/>
              <w:ind w:firstLine="0"/>
            </w:pPr>
            <w:r w:rsidRPr="005006BF">
              <w:t>Nombre d'amphithéâtres construits</w:t>
            </w:r>
          </w:p>
        </w:tc>
        <w:tc>
          <w:tcPr>
            <w:tcW w:w="749" w:type="pct"/>
          </w:tcPr>
          <w:p w14:paraId="22776D5E"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2</w:t>
            </w:r>
          </w:p>
        </w:tc>
        <w:tc>
          <w:tcPr>
            <w:tcW w:w="899" w:type="pct"/>
          </w:tcPr>
          <w:p w14:paraId="5AAB72F5"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2</w:t>
            </w:r>
          </w:p>
        </w:tc>
        <w:tc>
          <w:tcPr>
            <w:tcW w:w="710" w:type="pct"/>
          </w:tcPr>
          <w:p w14:paraId="7E66099A"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2</w:t>
            </w:r>
          </w:p>
        </w:tc>
      </w:tr>
      <w:tr w:rsidR="005006BF" w:rsidRPr="005006BF" w14:paraId="0F68BD24"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43" w:type="pct"/>
          </w:tcPr>
          <w:p w14:paraId="196F7501" w14:textId="77777777" w:rsidR="009746F1" w:rsidRPr="005006BF" w:rsidRDefault="009746F1" w:rsidP="00F175A7">
            <w:pPr>
              <w:spacing w:after="0" w:line="240" w:lineRule="auto"/>
              <w:ind w:firstLine="0"/>
            </w:pPr>
            <w:r w:rsidRPr="005006BF">
              <w:t>Nombre d’espaces numériques ouverts construits</w:t>
            </w:r>
          </w:p>
        </w:tc>
        <w:tc>
          <w:tcPr>
            <w:tcW w:w="749" w:type="pct"/>
          </w:tcPr>
          <w:p w14:paraId="63E879A2"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0</w:t>
            </w:r>
          </w:p>
        </w:tc>
        <w:tc>
          <w:tcPr>
            <w:tcW w:w="899" w:type="pct"/>
          </w:tcPr>
          <w:p w14:paraId="688F269F"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p>
        </w:tc>
        <w:tc>
          <w:tcPr>
            <w:tcW w:w="710" w:type="pct"/>
          </w:tcPr>
          <w:p w14:paraId="56C99BBE" w14:textId="77777777" w:rsidR="009746F1" w:rsidRPr="005006BF"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5006BF">
              <w:t>1</w:t>
            </w:r>
          </w:p>
        </w:tc>
      </w:tr>
      <w:tr w:rsidR="005006BF" w:rsidRPr="005006BF" w14:paraId="0AB53C8D"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3" w:type="pct"/>
          </w:tcPr>
          <w:p w14:paraId="402CBDE2" w14:textId="77777777" w:rsidR="009746F1" w:rsidRPr="005006BF" w:rsidRDefault="009746F1" w:rsidP="00F175A7">
            <w:pPr>
              <w:spacing w:after="0" w:line="240" w:lineRule="auto"/>
              <w:ind w:firstLine="0"/>
            </w:pPr>
            <w:r w:rsidRPr="005006BF">
              <w:t>Nombre d’ordinateurs livrés aux étudiants à prix subventionnés</w:t>
            </w:r>
          </w:p>
        </w:tc>
        <w:tc>
          <w:tcPr>
            <w:tcW w:w="749" w:type="pct"/>
          </w:tcPr>
          <w:p w14:paraId="0F7D5C99"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8 279</w:t>
            </w:r>
          </w:p>
        </w:tc>
        <w:tc>
          <w:tcPr>
            <w:tcW w:w="899" w:type="pct"/>
          </w:tcPr>
          <w:p w14:paraId="575616B9"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10 294</w:t>
            </w:r>
          </w:p>
        </w:tc>
        <w:tc>
          <w:tcPr>
            <w:tcW w:w="710" w:type="pct"/>
          </w:tcPr>
          <w:p w14:paraId="1CB29971" w14:textId="77777777" w:rsidR="009746F1" w:rsidRPr="005006BF"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5006BF">
              <w:t>20 000</w:t>
            </w:r>
          </w:p>
        </w:tc>
      </w:tr>
    </w:tbl>
    <w:p w14:paraId="65E09F0C" w14:textId="3B682790" w:rsidR="009746F1" w:rsidRPr="00F175A7" w:rsidRDefault="009746F1" w:rsidP="009746F1">
      <w:pPr>
        <w:shd w:val="clear" w:color="auto" w:fill="FFFFFF"/>
        <w:spacing w:before="120" w:after="120" w:line="276" w:lineRule="auto"/>
        <w:rPr>
          <w:sz w:val="20"/>
          <w:szCs w:val="20"/>
        </w:rPr>
      </w:pPr>
      <w:r w:rsidRPr="00F175A7">
        <w:rPr>
          <w:b/>
          <w:sz w:val="20"/>
          <w:szCs w:val="20"/>
          <w:u w:val="single"/>
        </w:rPr>
        <w:t>Source</w:t>
      </w:r>
      <w:r w:rsidR="00287D1E">
        <w:rPr>
          <w:sz w:val="20"/>
          <w:szCs w:val="20"/>
        </w:rPr>
        <w:t xml:space="preserve"> : r</w:t>
      </w:r>
      <w:r w:rsidRPr="00F175A7">
        <w:rPr>
          <w:sz w:val="20"/>
          <w:szCs w:val="20"/>
        </w:rPr>
        <w:t xml:space="preserve">apport </w:t>
      </w:r>
      <w:r w:rsidR="00287D1E">
        <w:rPr>
          <w:sz w:val="20"/>
          <w:szCs w:val="20"/>
        </w:rPr>
        <w:t xml:space="preserve">annuel </w:t>
      </w:r>
      <w:r w:rsidRPr="00F175A7">
        <w:rPr>
          <w:sz w:val="20"/>
          <w:szCs w:val="20"/>
        </w:rPr>
        <w:t>de performance 2023 du CSD-EF, février 2024</w:t>
      </w:r>
    </w:p>
    <w:p w14:paraId="7542878B" w14:textId="3B8EA151"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Au 31 décembre 2023, sur les dix (10) indicateurs de produit</w:t>
      </w:r>
      <w:r w:rsidR="009030C4">
        <w:rPr>
          <w:rFonts w:eastAsia="Calibri"/>
          <w:szCs w:val="24"/>
        </w:rPr>
        <w:t>s</w:t>
      </w:r>
      <w:r w:rsidRPr="009746F1">
        <w:rPr>
          <w:rFonts w:eastAsia="Calibri"/>
          <w:szCs w:val="24"/>
        </w:rPr>
        <w:t xml:space="preserve"> que compte cette action, quatre (04) ont atteint leurs cibles.</w:t>
      </w:r>
    </w:p>
    <w:p w14:paraId="1456C6D3" w14:textId="7777777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Le dépassement de la cible de l’indicateur relatif au nombre de plats servis s’explique par l’obtention du coût du plat à 550 F par rapport au coût prévisionnel du plat (600 F) grâce au jeu de la concurrence lors des passations des marchés, ce qui a permis de servir 539 668 plats supplémentaires.</w:t>
      </w:r>
    </w:p>
    <w:p w14:paraId="601652B5" w14:textId="304EC5D4"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Pour ce qui </w:t>
      </w:r>
      <w:r w:rsidR="009030C4">
        <w:rPr>
          <w:rFonts w:eastAsia="Calibri"/>
          <w:szCs w:val="24"/>
        </w:rPr>
        <w:t xml:space="preserve">est </w:t>
      </w:r>
      <w:r w:rsidRPr="009746F1">
        <w:rPr>
          <w:rFonts w:eastAsia="Calibri"/>
          <w:szCs w:val="24"/>
        </w:rPr>
        <w:t xml:space="preserve">de l’indicateur </w:t>
      </w:r>
      <w:r w:rsidR="009030C4">
        <w:rPr>
          <w:rFonts w:eastAsia="Calibri"/>
          <w:szCs w:val="24"/>
        </w:rPr>
        <w:t>du</w:t>
      </w:r>
      <w:r w:rsidRPr="009746F1">
        <w:rPr>
          <w:rFonts w:eastAsia="Calibri"/>
          <w:szCs w:val="24"/>
        </w:rPr>
        <w:t xml:space="preserve"> nombre d’étudiants bénéficiaires des aides et prêts par an, le dépassement de sa cible s’explique par la prise en compte des bénéficiaires de prêts et aides de la session de 2022 payés par le budget de 2023.</w:t>
      </w:r>
    </w:p>
    <w:p w14:paraId="536FE396" w14:textId="2A23961A"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Quatre (4) autres indicateurs, bien que n’ayant pas atteint leurs cibles</w:t>
      </w:r>
      <w:r w:rsidR="009030C4">
        <w:rPr>
          <w:rFonts w:eastAsia="Calibri"/>
          <w:szCs w:val="24"/>
        </w:rPr>
        <w:t>,</w:t>
      </w:r>
      <w:r w:rsidRPr="009746F1">
        <w:rPr>
          <w:rFonts w:eastAsia="Calibri"/>
          <w:szCs w:val="24"/>
        </w:rPr>
        <w:t xml:space="preserve"> présentent des niveaux de réalisation satisfaisants (taux compris entre 77% et 96%) et deux autres enregistrent des taux de réalisation moyen</w:t>
      </w:r>
      <w:r w:rsidR="009030C4">
        <w:rPr>
          <w:rFonts w:eastAsia="Calibri"/>
          <w:szCs w:val="24"/>
        </w:rPr>
        <w:t>s</w:t>
      </w:r>
      <w:r w:rsidRPr="009746F1">
        <w:rPr>
          <w:rFonts w:eastAsia="Calibri"/>
          <w:szCs w:val="24"/>
        </w:rPr>
        <w:t xml:space="preserve"> avec respectivement 51,47% et 57%.</w:t>
      </w:r>
    </w:p>
    <w:p w14:paraId="067AD8AC" w14:textId="55B0C67F"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En </w:t>
      </w:r>
      <w:r w:rsidR="00AC1A51" w:rsidRPr="00345EBE">
        <w:rPr>
          <w:rFonts w:eastAsia="Calibri"/>
          <w:szCs w:val="24"/>
        </w:rPr>
        <w:t>ce qui concerne le nombre d’ordinateurs livrés, le taux de réalisation de 51,47% s’explique par les retards d’inscriptions pédagogiques des nouveaux bacheliers. Ces inscriptions sont en effet indispensables pour l’accès à la plateforme du programme. Aussi, bien que la subvention de l’Etat ait connu une hausse, la quotité n’a pas connu de baisse. Elle a même connu une légère hausse du fait de l’augmentation du coût des ordinateurs sur le marché ; toute chose qui constitue également une difficulté supplémentaire pour l’étudiant. Pour l’atteinte de l’objectif du programme « un étudiant un ordinateur », il est impérieux d’intensifier des actions de communication et de sensibilisation au sein des universités afin de susciter l’engouement des étudiants au programme</w:t>
      </w:r>
      <w:r w:rsidRPr="009746F1">
        <w:rPr>
          <w:rFonts w:eastAsia="Calibri"/>
          <w:szCs w:val="24"/>
        </w:rPr>
        <w:t>.</w:t>
      </w:r>
    </w:p>
    <w:p w14:paraId="31D6F688" w14:textId="79BBCB54"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lastRenderedPageBreak/>
        <w:t>Les travaux de finition du siège de l'Université virtuelle sont suspendus pour raison de non-paiement des décomptes en instance au Trésor public.</w:t>
      </w:r>
    </w:p>
    <w:p w14:paraId="2D5846C5" w14:textId="34744383" w:rsidR="00F574B6" w:rsidRPr="00775DBB"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Les taux de réalisation de l’action 03072 au 31 décembre 2023 sont de 86,47% pour l’exécution physique et 90% pour l’exécution financière</w:t>
      </w:r>
      <w:r w:rsidR="0016454C" w:rsidRPr="00775DBB">
        <w:rPr>
          <w:rFonts w:eastAsia="Calibri"/>
          <w:szCs w:val="24"/>
        </w:rPr>
        <w:t>.</w:t>
      </w:r>
    </w:p>
    <w:p w14:paraId="79671892" w14:textId="77777777" w:rsidR="00F574B6" w:rsidRPr="008D2129" w:rsidRDefault="00F574B6" w:rsidP="00F574B6"/>
    <w:p w14:paraId="1C8B59E5" w14:textId="5A37E3B1" w:rsidR="009746F1" w:rsidRPr="009746F1" w:rsidRDefault="00EA252D" w:rsidP="009746F1">
      <w:pPr>
        <w:pStyle w:val="PAT4"/>
      </w:pPr>
      <w:bookmarkStart w:id="122" w:name="_Toc163141231"/>
      <w:r w:rsidRPr="008D2129">
        <w:t>Objectif stratégique 3.3 : Promouvoir la recherche et l’innovation et renforcer leur utilisation en faveur de la transformation de l’économie</w:t>
      </w:r>
      <w:bookmarkEnd w:id="122"/>
    </w:p>
    <w:p w14:paraId="002CF0DD" w14:textId="324238B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La promotion de la recherche et l’innovation et le renforcement de leur utilisation en faveur de la transformation structurelle de l’économie </w:t>
      </w:r>
      <w:r w:rsidR="009030C4">
        <w:rPr>
          <w:rFonts w:eastAsia="Calibri"/>
          <w:szCs w:val="24"/>
        </w:rPr>
        <w:t>sont</w:t>
      </w:r>
      <w:r w:rsidRPr="009746F1">
        <w:rPr>
          <w:rFonts w:eastAsia="Calibri"/>
          <w:szCs w:val="24"/>
        </w:rPr>
        <w:t xml:space="preserve"> mis en œuvre à travers deux (02) actions dont l’état de mise en œuvre au 31 décembre 2023 est présenté comme suit.</w:t>
      </w:r>
    </w:p>
    <w:p w14:paraId="5720F3D3" w14:textId="2BFBD5C9"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Concernant </w:t>
      </w:r>
      <w:r w:rsidRPr="008139E1">
        <w:rPr>
          <w:rFonts w:eastAsia="Calibri"/>
          <w:b/>
          <w:szCs w:val="24"/>
        </w:rPr>
        <w:t>la promotion de la recherche et de l’innovation (03057)</w:t>
      </w:r>
      <w:r w:rsidRPr="009746F1">
        <w:rPr>
          <w:rFonts w:eastAsia="Calibri"/>
          <w:szCs w:val="24"/>
        </w:rPr>
        <w:t>, deux indicateurs permettent de mesurer l’action. Pour le nombre de chercheurs pour 1 000 000 d’habitants, l’ambition affichée pour 2023 qui était de porter à 111 est ressortie à 95. Cette situation pourrait se justifier par l’accroissement rapide de la population par rapport à l’évolution du nombre de chercheurs et le manque de vivier dans certaines spécialités. S’agissant du nombre moyen d’articles scientifiques produit</w:t>
      </w:r>
      <w:r w:rsidR="009030C4">
        <w:rPr>
          <w:rFonts w:eastAsia="Calibri"/>
          <w:szCs w:val="24"/>
        </w:rPr>
        <w:t>s</w:t>
      </w:r>
      <w:r w:rsidRPr="009746F1">
        <w:rPr>
          <w:rFonts w:eastAsia="Calibri"/>
          <w:szCs w:val="24"/>
        </w:rPr>
        <w:t xml:space="preserve"> par chercheur, il s'est affiché à 0,71 pour une cible de 1,25. Cet écart s’explique principalement par les difficultés de collecte des informations au niveau de certaines IESR, l’insuffisance de financement et l’absence d’un dispositif de suivi des publications.</w:t>
      </w:r>
    </w:p>
    <w:p w14:paraId="2636BF92" w14:textId="12C554DD"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Le niveau d’atteinte de ces indicateurs a été possible grâce à la réalisation de plusieurs produits sectoriels dont le niveau de réalisation de ceux du PASD </w:t>
      </w:r>
      <w:r w:rsidR="009030C4">
        <w:rPr>
          <w:rFonts w:eastAsia="Calibri"/>
          <w:szCs w:val="24"/>
        </w:rPr>
        <w:t xml:space="preserve">est </w:t>
      </w:r>
      <w:r w:rsidRPr="009746F1">
        <w:rPr>
          <w:rFonts w:eastAsia="Calibri"/>
          <w:szCs w:val="24"/>
        </w:rPr>
        <w:t>présenté dans le tableau ci-dessous.</w:t>
      </w:r>
    </w:p>
    <w:p w14:paraId="1D6004B4" w14:textId="2874D4FE" w:rsidR="009746F1" w:rsidRPr="0042784A" w:rsidRDefault="00F9193C" w:rsidP="008139E1">
      <w:pPr>
        <w:pStyle w:val="Lgende"/>
        <w:rPr>
          <w:color w:val="auto"/>
        </w:rPr>
      </w:pPr>
      <w:bookmarkStart w:id="123" w:name="_Toc164503644"/>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57</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 xml:space="preserve">situation des indicateurs de produits de l’action 03073 </w:t>
      </w:r>
      <w:r w:rsidR="009030C4" w:rsidRPr="0042784A">
        <w:rPr>
          <w:i w:val="0"/>
          <w:color w:val="auto"/>
          <w:sz w:val="24"/>
          <w:szCs w:val="24"/>
        </w:rPr>
        <w:t>« </w:t>
      </w:r>
      <w:r w:rsidRPr="0042784A">
        <w:rPr>
          <w:i w:val="0"/>
          <w:color w:val="auto"/>
          <w:sz w:val="24"/>
          <w:szCs w:val="24"/>
        </w:rPr>
        <w:t>promotion de la recherche et de l’innovation</w:t>
      </w:r>
      <w:r w:rsidR="009030C4" w:rsidRPr="0042784A">
        <w:rPr>
          <w:i w:val="0"/>
          <w:color w:val="auto"/>
          <w:sz w:val="24"/>
          <w:szCs w:val="24"/>
        </w:rPr>
        <w:t> »</w:t>
      </w:r>
      <w:bookmarkEnd w:id="123"/>
    </w:p>
    <w:tbl>
      <w:tblPr>
        <w:tblStyle w:val="TableauGrille4-Accentuation119"/>
        <w:tblW w:w="5000" w:type="pct"/>
        <w:tblLook w:val="04A0" w:firstRow="1" w:lastRow="0" w:firstColumn="1" w:lastColumn="0" w:noHBand="0" w:noVBand="1"/>
      </w:tblPr>
      <w:tblGrid>
        <w:gridCol w:w="4765"/>
        <w:gridCol w:w="1441"/>
        <w:gridCol w:w="1441"/>
        <w:gridCol w:w="1369"/>
      </w:tblGrid>
      <w:tr w:rsidR="009746F1" w14:paraId="0EFF09BF" w14:textId="77777777" w:rsidTr="00F1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shd w:val="clear" w:color="auto" w:fill="4472C4" w:themeFill="accent1"/>
          </w:tcPr>
          <w:p w14:paraId="07A13DDE" w14:textId="0857F300" w:rsidR="009746F1" w:rsidRDefault="009746F1" w:rsidP="00F175A7">
            <w:pPr>
              <w:spacing w:after="0" w:line="240" w:lineRule="auto"/>
              <w:ind w:firstLine="0"/>
            </w:pPr>
            <w:r w:rsidRPr="00E31E23">
              <w:t xml:space="preserve">Indicateurs </w:t>
            </w:r>
          </w:p>
        </w:tc>
        <w:tc>
          <w:tcPr>
            <w:tcW w:w="799" w:type="pct"/>
            <w:shd w:val="clear" w:color="auto" w:fill="4472C4" w:themeFill="accent1"/>
          </w:tcPr>
          <w:p w14:paraId="4FCF2445" w14:textId="77777777" w:rsidR="009746F1"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2022</w:t>
            </w:r>
          </w:p>
        </w:tc>
        <w:tc>
          <w:tcPr>
            <w:tcW w:w="799" w:type="pct"/>
            <w:shd w:val="clear" w:color="auto" w:fill="4472C4" w:themeFill="accent1"/>
          </w:tcPr>
          <w:p w14:paraId="58AF54DD" w14:textId="77777777" w:rsidR="009746F1"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2023</w:t>
            </w:r>
          </w:p>
        </w:tc>
        <w:tc>
          <w:tcPr>
            <w:tcW w:w="760" w:type="pct"/>
            <w:shd w:val="clear" w:color="auto" w:fill="4472C4" w:themeFill="accent1"/>
          </w:tcPr>
          <w:p w14:paraId="59578E68" w14:textId="77777777" w:rsidR="009746F1"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Cible 2023</w:t>
            </w:r>
          </w:p>
        </w:tc>
      </w:tr>
      <w:tr w:rsidR="009746F1" w14:paraId="469F4D0F"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69258F52" w14:textId="77777777" w:rsidR="009746F1" w:rsidRDefault="009746F1" w:rsidP="00F175A7">
            <w:pPr>
              <w:spacing w:after="0" w:line="240" w:lineRule="auto"/>
              <w:ind w:firstLine="0"/>
            </w:pPr>
            <w:r w:rsidRPr="00E31E23">
              <w:t>Nombre total de technologies, procédés, méthodes et innovations générés par an</w:t>
            </w:r>
          </w:p>
        </w:tc>
        <w:tc>
          <w:tcPr>
            <w:tcW w:w="799" w:type="pct"/>
          </w:tcPr>
          <w:p w14:paraId="60F819B3"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47</w:t>
            </w:r>
          </w:p>
        </w:tc>
        <w:tc>
          <w:tcPr>
            <w:tcW w:w="799" w:type="pct"/>
          </w:tcPr>
          <w:p w14:paraId="28FECADC" w14:textId="4A24A2FE"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5</w:t>
            </w:r>
            <w:r w:rsidR="00AC1A51">
              <w:t>9</w:t>
            </w:r>
          </w:p>
        </w:tc>
        <w:tc>
          <w:tcPr>
            <w:tcW w:w="760" w:type="pct"/>
          </w:tcPr>
          <w:p w14:paraId="51B923CD"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50</w:t>
            </w:r>
          </w:p>
        </w:tc>
      </w:tr>
      <w:tr w:rsidR="009746F1" w14:paraId="0102A578" w14:textId="77777777" w:rsidTr="00E52836">
        <w:tc>
          <w:tcPr>
            <w:cnfStyle w:val="001000000000" w:firstRow="0" w:lastRow="0" w:firstColumn="1" w:lastColumn="0" w:oddVBand="0" w:evenVBand="0" w:oddHBand="0" w:evenHBand="0" w:firstRowFirstColumn="0" w:firstRowLastColumn="0" w:lastRowFirstColumn="0" w:lastRowLastColumn="0"/>
            <w:tcW w:w="2643" w:type="pct"/>
          </w:tcPr>
          <w:p w14:paraId="685C0D44" w14:textId="77777777" w:rsidR="009746F1" w:rsidRDefault="009746F1" w:rsidP="00F175A7">
            <w:pPr>
              <w:spacing w:after="0" w:line="240" w:lineRule="auto"/>
              <w:ind w:firstLine="0"/>
            </w:pPr>
            <w:r w:rsidRPr="00E31E23">
              <w:t>Station spatiale satellitaire Burkina SAT opérationnelle</w:t>
            </w:r>
          </w:p>
        </w:tc>
        <w:tc>
          <w:tcPr>
            <w:tcW w:w="799" w:type="pct"/>
          </w:tcPr>
          <w:p w14:paraId="2E75DB39" w14:textId="77777777" w:rsidR="009746F1"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0</w:t>
            </w:r>
          </w:p>
        </w:tc>
        <w:tc>
          <w:tcPr>
            <w:tcW w:w="799" w:type="pct"/>
          </w:tcPr>
          <w:p w14:paraId="7A67D44C" w14:textId="77777777" w:rsidR="009746F1"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w:t>
            </w:r>
          </w:p>
        </w:tc>
        <w:tc>
          <w:tcPr>
            <w:tcW w:w="760" w:type="pct"/>
          </w:tcPr>
          <w:p w14:paraId="7C486975" w14:textId="77777777" w:rsidR="009746F1"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w:t>
            </w:r>
          </w:p>
        </w:tc>
      </w:tr>
      <w:tr w:rsidR="009746F1" w14:paraId="1D331281"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5D9298BA" w14:textId="77777777" w:rsidR="009746F1" w:rsidRDefault="009746F1" w:rsidP="00F175A7">
            <w:pPr>
              <w:spacing w:after="0" w:line="240" w:lineRule="auto"/>
              <w:ind w:firstLine="0"/>
            </w:pPr>
            <w:r w:rsidRPr="00E31E23">
              <w:t xml:space="preserve">Taux d’exécution des travaux de construction du technopole pharmaceutique à </w:t>
            </w:r>
            <w:proofErr w:type="spellStart"/>
            <w:r w:rsidRPr="00E31E23">
              <w:t>Kokologho</w:t>
            </w:r>
            <w:proofErr w:type="spellEnd"/>
            <w:r w:rsidRPr="00E31E23">
              <w:t xml:space="preserve"> (%)</w:t>
            </w:r>
          </w:p>
        </w:tc>
        <w:tc>
          <w:tcPr>
            <w:tcW w:w="799" w:type="pct"/>
          </w:tcPr>
          <w:p w14:paraId="5BF9F0E2"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0</w:t>
            </w:r>
          </w:p>
        </w:tc>
        <w:tc>
          <w:tcPr>
            <w:tcW w:w="799" w:type="pct"/>
          </w:tcPr>
          <w:p w14:paraId="1E9B0730"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0,5</w:t>
            </w:r>
          </w:p>
        </w:tc>
        <w:tc>
          <w:tcPr>
            <w:tcW w:w="760" w:type="pct"/>
          </w:tcPr>
          <w:p w14:paraId="3C6F844B"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1,2</w:t>
            </w:r>
          </w:p>
        </w:tc>
      </w:tr>
    </w:tbl>
    <w:p w14:paraId="4B59AFDC" w14:textId="3B9A91BD" w:rsidR="009746F1" w:rsidRPr="00F175A7" w:rsidRDefault="009746F1" w:rsidP="009746F1">
      <w:pPr>
        <w:shd w:val="clear" w:color="auto" w:fill="FFFFFF"/>
        <w:spacing w:before="120" w:after="120" w:line="276" w:lineRule="auto"/>
        <w:rPr>
          <w:sz w:val="20"/>
          <w:szCs w:val="20"/>
        </w:rPr>
      </w:pPr>
      <w:r w:rsidRPr="00F175A7">
        <w:rPr>
          <w:b/>
          <w:sz w:val="20"/>
          <w:szCs w:val="20"/>
          <w:u w:val="single"/>
        </w:rPr>
        <w:t>Source</w:t>
      </w:r>
      <w:r w:rsidR="00287D1E">
        <w:rPr>
          <w:sz w:val="20"/>
          <w:szCs w:val="20"/>
        </w:rPr>
        <w:t xml:space="preserve"> : r</w:t>
      </w:r>
      <w:r w:rsidRPr="00F175A7">
        <w:rPr>
          <w:sz w:val="20"/>
          <w:szCs w:val="20"/>
        </w:rPr>
        <w:t xml:space="preserve">apport </w:t>
      </w:r>
      <w:r w:rsidR="00287D1E">
        <w:rPr>
          <w:sz w:val="20"/>
          <w:szCs w:val="20"/>
        </w:rPr>
        <w:t xml:space="preserve">annuel </w:t>
      </w:r>
      <w:r w:rsidRPr="00F175A7">
        <w:rPr>
          <w:sz w:val="20"/>
          <w:szCs w:val="20"/>
        </w:rPr>
        <w:t xml:space="preserve">de performance </w:t>
      </w:r>
      <w:r w:rsidR="002458AA">
        <w:rPr>
          <w:sz w:val="20"/>
          <w:szCs w:val="20"/>
        </w:rPr>
        <w:t>2023</w:t>
      </w:r>
      <w:r w:rsidRPr="00F175A7">
        <w:rPr>
          <w:sz w:val="20"/>
          <w:szCs w:val="20"/>
        </w:rPr>
        <w:t xml:space="preserve"> du CSD-RI, février 2024</w:t>
      </w:r>
    </w:p>
    <w:p w14:paraId="4ABC7253" w14:textId="7B96CBD0"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Du tableau ci-dessus, il ressort au terme de l’année 2023, que deux (02) produits sur un total de trois (03) ont atteint ou dépassé leurs cibles. Le nombre de technologies, procédés, méthodes et innovations générés en 2023 est ressorti à 5</w:t>
      </w:r>
      <w:r w:rsidR="00FE6ADA">
        <w:rPr>
          <w:rFonts w:eastAsia="Calibri"/>
          <w:szCs w:val="24"/>
        </w:rPr>
        <w:t>9</w:t>
      </w:r>
      <w:r w:rsidRPr="009746F1">
        <w:rPr>
          <w:rFonts w:eastAsia="Calibri"/>
          <w:szCs w:val="24"/>
        </w:rPr>
        <w:t xml:space="preserve"> pour une prévision de 50. Quant à la station spatiale satellitaire Burkina SAT, elle a pu être opérationnelle en 2023.</w:t>
      </w:r>
    </w:p>
    <w:p w14:paraId="3A7AA71B" w14:textId="276EF169"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lastRenderedPageBreak/>
        <w:t xml:space="preserve">Les travaux de construction </w:t>
      </w:r>
      <w:proofErr w:type="gramStart"/>
      <w:r w:rsidRPr="009746F1">
        <w:rPr>
          <w:rFonts w:eastAsia="Calibri"/>
          <w:szCs w:val="24"/>
        </w:rPr>
        <w:t>du technopole</w:t>
      </w:r>
      <w:proofErr w:type="gramEnd"/>
      <w:r w:rsidRPr="009746F1">
        <w:rPr>
          <w:rFonts w:eastAsia="Calibri"/>
          <w:szCs w:val="24"/>
        </w:rPr>
        <w:t xml:space="preserve"> pharmaceutique à </w:t>
      </w:r>
      <w:proofErr w:type="spellStart"/>
      <w:r w:rsidRPr="009746F1">
        <w:rPr>
          <w:rFonts w:eastAsia="Calibri"/>
          <w:szCs w:val="24"/>
        </w:rPr>
        <w:t>Kokologho</w:t>
      </w:r>
      <w:proofErr w:type="spellEnd"/>
      <w:r w:rsidRPr="009746F1">
        <w:rPr>
          <w:rFonts w:eastAsia="Calibri"/>
          <w:szCs w:val="24"/>
        </w:rPr>
        <w:t xml:space="preserve"> (%) n’ont pas connu une avancée</w:t>
      </w:r>
      <w:r w:rsidR="004A7123">
        <w:rPr>
          <w:rFonts w:eastAsia="Calibri"/>
          <w:szCs w:val="24"/>
        </w:rPr>
        <w:t xml:space="preserve"> significative</w:t>
      </w:r>
      <w:r w:rsidRPr="009746F1">
        <w:rPr>
          <w:rFonts w:eastAsia="Calibri"/>
          <w:szCs w:val="24"/>
        </w:rPr>
        <w:t>. Le taux d’exécution a été évalué à 0,5% sur une programmation de 1,2% en 2023. Ce niveau d’exécution s’explique principalement par un retard dans le processus d’indemnisation des personnes affectées par le projet, de lotissement et de bornage du site.</w:t>
      </w:r>
    </w:p>
    <w:p w14:paraId="0E697F31" w14:textId="44A725AB"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L’exécution financière de l’action 03073 ressort à 2</w:t>
      </w:r>
      <w:r w:rsidR="004E1DBD">
        <w:rPr>
          <w:rFonts w:eastAsia="Calibri"/>
          <w:szCs w:val="24"/>
        </w:rPr>
        <w:t>,</w:t>
      </w:r>
      <w:r w:rsidRPr="009746F1">
        <w:rPr>
          <w:rFonts w:eastAsia="Calibri"/>
          <w:szCs w:val="24"/>
        </w:rPr>
        <w:t>1</w:t>
      </w:r>
      <w:r w:rsidR="004E1DBD">
        <w:rPr>
          <w:rFonts w:eastAsia="Calibri"/>
          <w:szCs w:val="24"/>
        </w:rPr>
        <w:t xml:space="preserve">9 milliards </w:t>
      </w:r>
      <w:r w:rsidR="007B519F">
        <w:rPr>
          <w:rFonts w:eastAsia="Calibri"/>
          <w:szCs w:val="24"/>
        </w:rPr>
        <w:t xml:space="preserve">FCFA </w:t>
      </w:r>
      <w:r w:rsidRPr="009746F1">
        <w:rPr>
          <w:rFonts w:eastAsia="Calibri"/>
          <w:szCs w:val="24"/>
        </w:rPr>
        <w:t>pour une programmation financière révisée à mi-parcours de 4</w:t>
      </w:r>
      <w:r w:rsidR="004E1DBD">
        <w:rPr>
          <w:rFonts w:eastAsia="Calibri"/>
          <w:szCs w:val="24"/>
        </w:rPr>
        <w:t>,</w:t>
      </w:r>
      <w:r w:rsidRPr="009746F1">
        <w:rPr>
          <w:rFonts w:eastAsia="Calibri"/>
          <w:szCs w:val="24"/>
        </w:rPr>
        <w:t>2</w:t>
      </w:r>
      <w:r w:rsidR="004E1DBD">
        <w:rPr>
          <w:rFonts w:eastAsia="Calibri"/>
          <w:szCs w:val="24"/>
        </w:rPr>
        <w:t>4</w:t>
      </w:r>
      <w:r w:rsidRPr="009746F1">
        <w:rPr>
          <w:rFonts w:eastAsia="Calibri"/>
          <w:szCs w:val="24"/>
        </w:rPr>
        <w:t xml:space="preserve"> milli</w:t>
      </w:r>
      <w:r w:rsidR="004E1DBD">
        <w:rPr>
          <w:rFonts w:eastAsia="Calibri"/>
          <w:szCs w:val="24"/>
        </w:rPr>
        <w:t xml:space="preserve">ards </w:t>
      </w:r>
      <w:r w:rsidR="007B519F">
        <w:rPr>
          <w:rFonts w:eastAsia="Calibri"/>
          <w:szCs w:val="24"/>
        </w:rPr>
        <w:t>FCFA</w:t>
      </w:r>
      <w:r w:rsidR="004E1DBD">
        <w:rPr>
          <w:rFonts w:eastAsia="Calibri"/>
          <w:szCs w:val="24"/>
        </w:rPr>
        <w:t>,</w:t>
      </w:r>
      <w:r w:rsidR="007B519F">
        <w:rPr>
          <w:rFonts w:eastAsia="Calibri"/>
          <w:szCs w:val="24"/>
        </w:rPr>
        <w:t xml:space="preserve"> </w:t>
      </w:r>
      <w:r w:rsidRPr="009746F1">
        <w:rPr>
          <w:rFonts w:eastAsia="Calibri"/>
          <w:szCs w:val="24"/>
        </w:rPr>
        <w:t xml:space="preserve">soit un taux d’exécution de 51,57%. </w:t>
      </w:r>
    </w:p>
    <w:p w14:paraId="0041401D" w14:textId="15168368"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S’agissant de l’action </w:t>
      </w:r>
      <w:r w:rsidR="002458AA">
        <w:rPr>
          <w:rFonts w:eastAsia="Calibri"/>
          <w:szCs w:val="24"/>
        </w:rPr>
        <w:t>« </w:t>
      </w:r>
      <w:r w:rsidR="004E1DBD">
        <w:rPr>
          <w:rFonts w:eastAsia="Calibri"/>
          <w:b/>
          <w:szCs w:val="24"/>
        </w:rPr>
        <w:t>p</w:t>
      </w:r>
      <w:r w:rsidRPr="00F175A7">
        <w:rPr>
          <w:rFonts w:eastAsia="Calibri"/>
          <w:b/>
          <w:szCs w:val="24"/>
        </w:rPr>
        <w:t>romotion de l’utilisation des résultats de la recherche, des inventions et des innovations</w:t>
      </w:r>
      <w:r w:rsidR="002458AA">
        <w:rPr>
          <w:rFonts w:eastAsia="Calibri"/>
          <w:b/>
          <w:szCs w:val="24"/>
        </w:rPr>
        <w:t> »</w:t>
      </w:r>
      <w:r w:rsidRPr="00F175A7">
        <w:rPr>
          <w:rFonts w:eastAsia="Calibri"/>
          <w:b/>
          <w:szCs w:val="24"/>
        </w:rPr>
        <w:t>, (A3074)</w:t>
      </w:r>
      <w:r w:rsidRPr="009746F1">
        <w:rPr>
          <w:rFonts w:eastAsia="Calibri"/>
          <w:szCs w:val="24"/>
        </w:rPr>
        <w:t>, elle est évaluée à travers un seul indicateur qui est le nombre de nouveaux résultats de recherche et d’innovation vulgarisés. A fin décembre 2023, 22 nouveaux résultats de recherche et d'innovation ont été effectivement vulgarisés sur une prévision de 15</w:t>
      </w:r>
      <w:r w:rsidR="004E1DBD">
        <w:rPr>
          <w:rFonts w:eastAsia="Calibri"/>
          <w:szCs w:val="24"/>
        </w:rPr>
        <w:t>,</w:t>
      </w:r>
      <w:r w:rsidRPr="009746F1">
        <w:rPr>
          <w:rFonts w:eastAsia="Calibri"/>
          <w:szCs w:val="24"/>
        </w:rPr>
        <w:t xml:space="preserve"> soit un écart positif de sept (7) nouveaux résultats. Cette performance a été obtenue grâce à la mise en œuvre de l’initiative présidentielle et de l’offensive agropastorale et halieutique 2023-2025 qui ont permis de valoriser un certain nombre de spéculations (variétés) et des technologies de mécanisation et de transformation. Elle a été également soutenue par les appuis techniques de l’IRSAT dans le domaine de la transformation de la patate douce à chaire orange.</w:t>
      </w:r>
    </w:p>
    <w:p w14:paraId="62454CAF" w14:textId="7777777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  La situation des indicateurs de produits de l’action sectorielle est présentée dans le tableau ci-après :</w:t>
      </w:r>
    </w:p>
    <w:p w14:paraId="179BBF9A" w14:textId="5D6AF852" w:rsidR="009746F1" w:rsidRPr="0042784A" w:rsidRDefault="00F9193C" w:rsidP="008139E1">
      <w:pPr>
        <w:pStyle w:val="Lgende"/>
        <w:rPr>
          <w:color w:val="auto"/>
        </w:rPr>
      </w:pPr>
      <w:bookmarkStart w:id="124" w:name="_Toc164503645"/>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58</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 l’action « promotion de l’utilisation des résultats de la recherche, des inventions et des innovations »</w:t>
      </w:r>
      <w:bookmarkEnd w:id="124"/>
    </w:p>
    <w:tbl>
      <w:tblPr>
        <w:tblStyle w:val="TableauGrille4-Accentuation119"/>
        <w:tblW w:w="5000" w:type="pct"/>
        <w:tblLook w:val="04A0" w:firstRow="1" w:lastRow="0" w:firstColumn="1" w:lastColumn="0" w:noHBand="0" w:noVBand="1"/>
      </w:tblPr>
      <w:tblGrid>
        <w:gridCol w:w="4854"/>
        <w:gridCol w:w="1441"/>
        <w:gridCol w:w="1351"/>
        <w:gridCol w:w="1370"/>
      </w:tblGrid>
      <w:tr w:rsidR="009746F1" w14:paraId="40452CDA" w14:textId="77777777" w:rsidTr="00F1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shd w:val="clear" w:color="auto" w:fill="4472C4" w:themeFill="accent1"/>
          </w:tcPr>
          <w:p w14:paraId="4D1239A2" w14:textId="5F68FCDB" w:rsidR="009746F1" w:rsidRDefault="009746F1" w:rsidP="00F175A7">
            <w:pPr>
              <w:spacing w:after="0" w:line="240" w:lineRule="auto"/>
              <w:ind w:firstLine="0"/>
            </w:pPr>
            <w:r w:rsidRPr="00E31E23">
              <w:t>Indicateur</w:t>
            </w:r>
            <w:r w:rsidR="002458AA">
              <w:t>s</w:t>
            </w:r>
          </w:p>
        </w:tc>
        <w:tc>
          <w:tcPr>
            <w:tcW w:w="799" w:type="pct"/>
            <w:shd w:val="clear" w:color="auto" w:fill="4472C4" w:themeFill="accent1"/>
          </w:tcPr>
          <w:p w14:paraId="4F39C8A7" w14:textId="77777777" w:rsidR="009746F1"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2022</w:t>
            </w:r>
          </w:p>
        </w:tc>
        <w:tc>
          <w:tcPr>
            <w:tcW w:w="749" w:type="pct"/>
            <w:shd w:val="clear" w:color="auto" w:fill="4472C4" w:themeFill="accent1"/>
          </w:tcPr>
          <w:p w14:paraId="76D38F79" w14:textId="77777777" w:rsidR="009746F1"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2023</w:t>
            </w:r>
          </w:p>
        </w:tc>
        <w:tc>
          <w:tcPr>
            <w:tcW w:w="760" w:type="pct"/>
            <w:shd w:val="clear" w:color="auto" w:fill="4472C4" w:themeFill="accent1"/>
          </w:tcPr>
          <w:p w14:paraId="2D3408DF" w14:textId="77777777" w:rsidR="009746F1" w:rsidRDefault="009746F1"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Cible 2023</w:t>
            </w:r>
          </w:p>
        </w:tc>
      </w:tr>
      <w:tr w:rsidR="009746F1" w14:paraId="008292D4"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38D678DE" w14:textId="77777777" w:rsidR="009746F1" w:rsidRDefault="009746F1" w:rsidP="00F175A7">
            <w:pPr>
              <w:spacing w:after="0" w:line="240" w:lineRule="auto"/>
              <w:ind w:firstLine="0"/>
            </w:pPr>
            <w:r w:rsidRPr="00E31E23">
              <w:t>Nombre de technologies, innovations et inventions incubées</w:t>
            </w:r>
          </w:p>
        </w:tc>
        <w:tc>
          <w:tcPr>
            <w:tcW w:w="799" w:type="pct"/>
          </w:tcPr>
          <w:p w14:paraId="16E7B60A"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10</w:t>
            </w:r>
          </w:p>
        </w:tc>
        <w:tc>
          <w:tcPr>
            <w:tcW w:w="749" w:type="pct"/>
          </w:tcPr>
          <w:p w14:paraId="523F6BDB"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10</w:t>
            </w:r>
          </w:p>
        </w:tc>
        <w:tc>
          <w:tcPr>
            <w:tcW w:w="760" w:type="pct"/>
          </w:tcPr>
          <w:p w14:paraId="6619A2AC"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10</w:t>
            </w:r>
          </w:p>
        </w:tc>
      </w:tr>
      <w:tr w:rsidR="009746F1" w14:paraId="793F8C66" w14:textId="77777777" w:rsidTr="00E52836">
        <w:tc>
          <w:tcPr>
            <w:cnfStyle w:val="001000000000" w:firstRow="0" w:lastRow="0" w:firstColumn="1" w:lastColumn="0" w:oddVBand="0" w:evenVBand="0" w:oddHBand="0" w:evenHBand="0" w:firstRowFirstColumn="0" w:firstRowLastColumn="0" w:lastRowFirstColumn="0" w:lastRowLastColumn="0"/>
            <w:tcW w:w="2692" w:type="pct"/>
          </w:tcPr>
          <w:p w14:paraId="2C478989" w14:textId="77777777" w:rsidR="009746F1" w:rsidRDefault="009746F1" w:rsidP="00F175A7">
            <w:pPr>
              <w:spacing w:after="0" w:line="240" w:lineRule="auto"/>
              <w:ind w:firstLine="0"/>
            </w:pPr>
            <w:r w:rsidRPr="00E31E23">
              <w:t>Nombre de vitrines d’exposition de technologies, inventions et innovations construites</w:t>
            </w:r>
          </w:p>
        </w:tc>
        <w:tc>
          <w:tcPr>
            <w:tcW w:w="799" w:type="pct"/>
          </w:tcPr>
          <w:p w14:paraId="4F74214A" w14:textId="77777777" w:rsidR="009746F1"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w:t>
            </w:r>
          </w:p>
        </w:tc>
        <w:tc>
          <w:tcPr>
            <w:tcW w:w="749" w:type="pct"/>
          </w:tcPr>
          <w:p w14:paraId="352DF507" w14:textId="77777777" w:rsidR="009746F1"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w:t>
            </w:r>
          </w:p>
        </w:tc>
        <w:tc>
          <w:tcPr>
            <w:tcW w:w="760" w:type="pct"/>
          </w:tcPr>
          <w:p w14:paraId="3F1DE74F" w14:textId="77777777" w:rsidR="009746F1" w:rsidRDefault="009746F1"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w:t>
            </w:r>
          </w:p>
        </w:tc>
      </w:tr>
      <w:tr w:rsidR="009746F1" w14:paraId="749380BC"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pct"/>
          </w:tcPr>
          <w:p w14:paraId="15FA28EE" w14:textId="77777777" w:rsidR="009746F1" w:rsidRDefault="009746F1" w:rsidP="00F175A7">
            <w:pPr>
              <w:spacing w:after="0" w:line="240" w:lineRule="auto"/>
              <w:ind w:firstLine="0"/>
            </w:pPr>
            <w:r w:rsidRPr="00E31E23">
              <w:t>Stratégie nationale de valorisation revisitée/réajustée</w:t>
            </w:r>
          </w:p>
        </w:tc>
        <w:tc>
          <w:tcPr>
            <w:tcW w:w="799" w:type="pct"/>
          </w:tcPr>
          <w:p w14:paraId="39010050"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0</w:t>
            </w:r>
          </w:p>
        </w:tc>
        <w:tc>
          <w:tcPr>
            <w:tcW w:w="749" w:type="pct"/>
          </w:tcPr>
          <w:p w14:paraId="7675CC55"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0</w:t>
            </w:r>
          </w:p>
        </w:tc>
        <w:tc>
          <w:tcPr>
            <w:tcW w:w="760" w:type="pct"/>
          </w:tcPr>
          <w:p w14:paraId="202CDFD4" w14:textId="77777777" w:rsidR="009746F1" w:rsidRDefault="009746F1"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w:t>
            </w:r>
          </w:p>
        </w:tc>
      </w:tr>
    </w:tbl>
    <w:p w14:paraId="59BE9964" w14:textId="102AD8A7" w:rsidR="009746F1" w:rsidRPr="00BA5ED3" w:rsidRDefault="009746F1" w:rsidP="009746F1">
      <w:pPr>
        <w:shd w:val="clear" w:color="auto" w:fill="FFFFFF"/>
        <w:spacing w:before="120" w:after="120" w:line="276" w:lineRule="auto"/>
        <w:rPr>
          <w:sz w:val="20"/>
          <w:szCs w:val="20"/>
        </w:rPr>
      </w:pPr>
      <w:r w:rsidRPr="00BA5ED3">
        <w:rPr>
          <w:b/>
          <w:sz w:val="20"/>
          <w:szCs w:val="20"/>
        </w:rPr>
        <w:t xml:space="preserve">Source </w:t>
      </w:r>
      <w:r w:rsidR="00287D1E">
        <w:rPr>
          <w:sz w:val="20"/>
          <w:szCs w:val="20"/>
        </w:rPr>
        <w:t>: r</w:t>
      </w:r>
      <w:r w:rsidRPr="00BA5ED3">
        <w:rPr>
          <w:sz w:val="20"/>
          <w:szCs w:val="20"/>
        </w:rPr>
        <w:t xml:space="preserve">apport </w:t>
      </w:r>
      <w:r w:rsidR="00287D1E">
        <w:rPr>
          <w:sz w:val="20"/>
          <w:szCs w:val="20"/>
        </w:rPr>
        <w:t xml:space="preserve">annuel </w:t>
      </w:r>
      <w:r w:rsidRPr="00BA5ED3">
        <w:rPr>
          <w:sz w:val="20"/>
          <w:szCs w:val="20"/>
        </w:rPr>
        <w:t>de performance 2023 du CSD-RI, février 2024</w:t>
      </w:r>
    </w:p>
    <w:p w14:paraId="000F7D27" w14:textId="7777777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Au 31 décembre 2023, deux (02) produits sur trois (03) du PASD ont atteint leurs cibles. Dix (10) inventions et technologies, innovations et inventions ont été incubées et une vitrine d’exposition a été construite.</w:t>
      </w:r>
    </w:p>
    <w:p w14:paraId="6D410341" w14:textId="77777777" w:rsidR="009746F1" w:rsidRPr="009746F1"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 xml:space="preserve">Concernant la révision de la stratégie nationale de valorisation, un projet de document a été élaboré. Il reste sa validation qui n’a pu se réaliser à la suite des réaménagements budgétaires.  Au 31 décembre 2023, le taux de réalisation des activités a été estimé à 90%. </w:t>
      </w:r>
    </w:p>
    <w:p w14:paraId="779D0E30" w14:textId="6B194455" w:rsidR="00480FD7" w:rsidRPr="008D2129" w:rsidRDefault="009746F1" w:rsidP="00F175A7">
      <w:pPr>
        <w:numPr>
          <w:ilvl w:val="0"/>
          <w:numId w:val="8"/>
        </w:numPr>
        <w:shd w:val="clear" w:color="auto" w:fill="FFFFFF"/>
        <w:spacing w:before="120" w:after="120" w:line="240" w:lineRule="auto"/>
        <w:ind w:left="0"/>
        <w:rPr>
          <w:rFonts w:eastAsia="Calibri"/>
          <w:szCs w:val="24"/>
        </w:rPr>
      </w:pPr>
      <w:r w:rsidRPr="009746F1">
        <w:rPr>
          <w:rFonts w:eastAsia="Calibri"/>
          <w:szCs w:val="24"/>
        </w:rPr>
        <w:t>L’</w:t>
      </w:r>
      <w:r w:rsidR="004E1DBD">
        <w:rPr>
          <w:rFonts w:eastAsia="Calibri"/>
          <w:szCs w:val="24"/>
        </w:rPr>
        <w:t>a</w:t>
      </w:r>
      <w:r w:rsidRPr="009746F1">
        <w:rPr>
          <w:rFonts w:eastAsia="Calibri"/>
          <w:szCs w:val="24"/>
        </w:rPr>
        <w:t>ction 0311724</w:t>
      </w:r>
      <w:r w:rsidR="004E1DBD">
        <w:rPr>
          <w:rFonts w:eastAsia="Calibri"/>
          <w:szCs w:val="24"/>
        </w:rPr>
        <w:t> « p</w:t>
      </w:r>
      <w:r w:rsidRPr="009746F1">
        <w:rPr>
          <w:rFonts w:eastAsia="Calibri"/>
          <w:szCs w:val="24"/>
        </w:rPr>
        <w:t>romotion de l’utilisation des résultats de la recherche, des inventions et des innovations</w:t>
      </w:r>
      <w:r w:rsidR="004E1DBD">
        <w:rPr>
          <w:rFonts w:eastAsia="Calibri"/>
          <w:szCs w:val="24"/>
        </w:rPr>
        <w:t> »</w:t>
      </w:r>
      <w:r w:rsidRPr="009746F1">
        <w:rPr>
          <w:rFonts w:eastAsia="Calibri"/>
          <w:szCs w:val="24"/>
        </w:rPr>
        <w:t xml:space="preserve"> a été exécutée en 2023 pour un montant de 61,88 millions </w:t>
      </w:r>
      <w:r w:rsidR="004E1DBD">
        <w:rPr>
          <w:rFonts w:eastAsia="Calibri"/>
          <w:szCs w:val="24"/>
        </w:rPr>
        <w:t>F</w:t>
      </w:r>
      <w:r w:rsidRPr="009746F1">
        <w:rPr>
          <w:rFonts w:eastAsia="Calibri"/>
          <w:szCs w:val="24"/>
        </w:rPr>
        <w:t xml:space="preserve">CFA contre une programmation financière révisée à mi-parcours de 75 millions </w:t>
      </w:r>
      <w:r w:rsidR="004E1DBD">
        <w:rPr>
          <w:rFonts w:eastAsia="Calibri"/>
          <w:szCs w:val="24"/>
        </w:rPr>
        <w:t>F</w:t>
      </w:r>
      <w:r w:rsidRPr="009746F1">
        <w:rPr>
          <w:rFonts w:eastAsia="Calibri"/>
          <w:szCs w:val="24"/>
        </w:rPr>
        <w:t>CFA</w:t>
      </w:r>
      <w:r w:rsidR="004E1DBD">
        <w:rPr>
          <w:rFonts w:eastAsia="Calibri"/>
          <w:szCs w:val="24"/>
        </w:rPr>
        <w:t>,</w:t>
      </w:r>
      <w:r w:rsidRPr="009746F1">
        <w:rPr>
          <w:rFonts w:eastAsia="Calibri"/>
          <w:szCs w:val="24"/>
        </w:rPr>
        <w:t xml:space="preserve"> soit un taux d’exécution budgétaire de 82,51%</w:t>
      </w:r>
      <w:r w:rsidR="005B57F2" w:rsidRPr="008D2129">
        <w:rPr>
          <w:rFonts w:eastAsia="Calibri"/>
          <w:szCs w:val="24"/>
        </w:rPr>
        <w:t>.</w:t>
      </w:r>
    </w:p>
    <w:p w14:paraId="173DBC16" w14:textId="4CC89089" w:rsidR="004368AA" w:rsidRPr="00203EA4" w:rsidRDefault="00EA252D" w:rsidP="00203EA4">
      <w:pPr>
        <w:pStyle w:val="PAT4"/>
        <w:rPr>
          <w:szCs w:val="24"/>
        </w:rPr>
      </w:pPr>
      <w:bookmarkStart w:id="125" w:name="_Toc163141232"/>
      <w:r w:rsidRPr="008D2129">
        <w:lastRenderedPageBreak/>
        <w:t>Objectif stratégique 3.4 : Promouvoir l’emploi décent et la protection sociale pour tous, particulièrement pour les jeunes et les femmes</w:t>
      </w:r>
      <w:bookmarkEnd w:id="125"/>
    </w:p>
    <w:p w14:paraId="057BE625" w14:textId="435F7281"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La </w:t>
      </w:r>
      <w:r w:rsidR="004E1DBD">
        <w:rPr>
          <w:rFonts w:eastAsia="Calibri"/>
          <w:szCs w:val="24"/>
        </w:rPr>
        <w:t>p</w:t>
      </w:r>
      <w:r w:rsidRPr="00203EA4">
        <w:rPr>
          <w:rFonts w:eastAsia="Calibri"/>
          <w:szCs w:val="24"/>
        </w:rPr>
        <w:t>romotion de l’emploi décent et de la protection sociale pour tous, particulièrement pour les jeunes et les femmes</w:t>
      </w:r>
      <w:r w:rsidR="008008C3">
        <w:rPr>
          <w:rFonts w:eastAsia="Calibri"/>
          <w:szCs w:val="24"/>
        </w:rPr>
        <w:t>,</w:t>
      </w:r>
      <w:r w:rsidRPr="00203EA4">
        <w:rPr>
          <w:rFonts w:eastAsia="Calibri"/>
          <w:szCs w:val="24"/>
        </w:rPr>
        <w:t xml:space="preserve"> </w:t>
      </w:r>
      <w:r w:rsidR="008008C3">
        <w:rPr>
          <w:rFonts w:eastAsia="Calibri"/>
          <w:szCs w:val="24"/>
        </w:rPr>
        <w:t xml:space="preserve">est </w:t>
      </w:r>
      <w:r w:rsidRPr="00203EA4">
        <w:rPr>
          <w:rFonts w:eastAsia="Calibri"/>
          <w:szCs w:val="24"/>
        </w:rPr>
        <w:t>opérationnalisé</w:t>
      </w:r>
      <w:r w:rsidR="004E1DBD">
        <w:rPr>
          <w:rFonts w:eastAsia="Calibri"/>
          <w:szCs w:val="24"/>
        </w:rPr>
        <w:t>e</w:t>
      </w:r>
      <w:r w:rsidRPr="00203EA4">
        <w:rPr>
          <w:rFonts w:eastAsia="Calibri"/>
          <w:szCs w:val="24"/>
        </w:rPr>
        <w:t xml:space="preserve"> à travers huit (8) actions du PA-SD dont l’état de mise en œuvre au 31 décembre 2023 se présente comme suit.</w:t>
      </w:r>
    </w:p>
    <w:p w14:paraId="7D38BB88" w14:textId="31F3870C"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Concernant l’action </w:t>
      </w:r>
      <w:r w:rsidRPr="00F175A7">
        <w:rPr>
          <w:rFonts w:eastAsia="Calibri"/>
          <w:b/>
          <w:szCs w:val="24"/>
        </w:rPr>
        <w:t>« poursuite de l’opérationnalisation du RAMU » (03059)</w:t>
      </w:r>
      <w:r w:rsidRPr="00203EA4">
        <w:rPr>
          <w:rFonts w:eastAsia="Calibri"/>
          <w:szCs w:val="24"/>
        </w:rPr>
        <w:t>, la cible visée est de porter en 2023, le taux de couverture de l’assurance maladie universelle à 1%. Au 31 décembre 2023, cet indicateur n’a pas évolué et demeure celui de 2021 qui est de 0,09%.</w:t>
      </w:r>
    </w:p>
    <w:p w14:paraId="047F430D" w14:textId="3FB8A1FE"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 Au terme de l’année 2023, la mise en œuvre des trois (03) produits attendus de l’action enregistre une performance moyenne. En effet, même si l’adoption des décrets d’application de la loi portant sur le RAMU affiche un taux de 83,33% du fait </w:t>
      </w:r>
      <w:r w:rsidR="00513EBE">
        <w:rPr>
          <w:rFonts w:eastAsia="Calibri"/>
          <w:szCs w:val="24"/>
        </w:rPr>
        <w:t>de l’adoption</w:t>
      </w:r>
      <w:r w:rsidRPr="00203EA4">
        <w:rPr>
          <w:rFonts w:eastAsia="Calibri"/>
          <w:szCs w:val="24"/>
        </w:rPr>
        <w:t xml:space="preserve"> de cinq (5) des six (6) décrets prévus, la non</w:t>
      </w:r>
      <w:r w:rsidR="004E1DBD">
        <w:rPr>
          <w:rFonts w:eastAsia="Calibri"/>
          <w:szCs w:val="24"/>
        </w:rPr>
        <w:t>-</w:t>
      </w:r>
      <w:r w:rsidRPr="00203EA4">
        <w:rPr>
          <w:rFonts w:eastAsia="Calibri"/>
          <w:szCs w:val="24"/>
        </w:rPr>
        <w:t>adoption du décret relatif au taux d’appel à cotisation n’a pas permis d’assurer l’octroi de carte d’assurés CNAMU et de garantir les prestations du RAMU aux bénéficiaires. Ces deux indicateurs ont un niveau de réalisation physique et financière de 0%.</w:t>
      </w:r>
    </w:p>
    <w:p w14:paraId="213BF9E7" w14:textId="0DA8B5B8"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Pour ce qui est de l’action </w:t>
      </w:r>
      <w:r w:rsidRPr="008139E1">
        <w:rPr>
          <w:rFonts w:eastAsia="Calibri"/>
          <w:b/>
          <w:szCs w:val="24"/>
        </w:rPr>
        <w:t xml:space="preserve">« </w:t>
      </w:r>
      <w:r w:rsidR="00513EBE">
        <w:rPr>
          <w:rFonts w:eastAsia="Calibri"/>
          <w:b/>
          <w:szCs w:val="24"/>
        </w:rPr>
        <w:t>r</w:t>
      </w:r>
      <w:r w:rsidRPr="008139E1">
        <w:rPr>
          <w:rFonts w:eastAsia="Calibri"/>
          <w:b/>
          <w:szCs w:val="24"/>
        </w:rPr>
        <w:t>enforcement du cadre juridique du marché du travail » (03060)</w:t>
      </w:r>
      <w:r w:rsidRPr="00203EA4">
        <w:rPr>
          <w:rFonts w:eastAsia="Calibri"/>
          <w:szCs w:val="24"/>
        </w:rPr>
        <w:t xml:space="preserve">, dont la cible visée est de porter à 29,4% en 2023 la proportion des textes d’application du code du travail et des codes de sécurité sociale adoptés, </w:t>
      </w:r>
      <w:r w:rsidR="004E1DBD">
        <w:rPr>
          <w:rFonts w:eastAsia="Calibri"/>
          <w:szCs w:val="24"/>
        </w:rPr>
        <w:t xml:space="preserve">elle </w:t>
      </w:r>
      <w:r w:rsidRPr="00203EA4">
        <w:rPr>
          <w:rFonts w:eastAsia="Calibri"/>
          <w:szCs w:val="24"/>
        </w:rPr>
        <w:t>enregistre un taux d’exécution physique de 23,53% expliqué par l’adoption des textes d’application des deux (02) lois.</w:t>
      </w:r>
    </w:p>
    <w:p w14:paraId="14EEE4E4" w14:textId="74DDA4BA"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Au 31 décembre 2023, le niveau de réalisation des trois (03) produits attendus est relativement satisfaisant, excepté l’adoption effective des 10 textes d'application de la loi n°004/2021 portant régime de sécurité sociale applicable aux travailleurs salariés et assimilés.</w:t>
      </w:r>
    </w:p>
    <w:p w14:paraId="2BCFCDBB" w14:textId="77777777"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Dans le cadre de la « </w:t>
      </w:r>
      <w:r w:rsidRPr="008139E1">
        <w:rPr>
          <w:rFonts w:eastAsia="Calibri"/>
          <w:b/>
          <w:szCs w:val="24"/>
        </w:rPr>
        <w:t>promotion du dialogue social en milieu de travail » (03061)</w:t>
      </w:r>
      <w:r w:rsidRPr="00203EA4">
        <w:rPr>
          <w:rFonts w:eastAsia="Calibri"/>
          <w:szCs w:val="24"/>
        </w:rPr>
        <w:t>, la cible qui est de porter à 100% la proportion des cadres de concertation tenus, affiche au 31 décembre 2023, un taux d’exécution physique de 72,72%. Seule la rencontre Gouvernement/Syndicats n'a pu se tenir du fait du report demandé par la partie syndicale.</w:t>
      </w:r>
    </w:p>
    <w:p w14:paraId="5E143CAC" w14:textId="76055892"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Pour ce qui est de l’action portant sur </w:t>
      </w:r>
      <w:r w:rsidRPr="008139E1">
        <w:rPr>
          <w:rFonts w:eastAsia="Calibri"/>
          <w:b/>
          <w:szCs w:val="24"/>
        </w:rPr>
        <w:t>la « réduction des pires formes de travail des enfants » (03062)</w:t>
      </w:r>
      <w:r w:rsidRPr="00203EA4">
        <w:rPr>
          <w:rFonts w:eastAsia="Calibri"/>
          <w:szCs w:val="24"/>
        </w:rPr>
        <w:t>, elle visait à réduire à 30% en 2023, la prévalence des enfants impliqués dans les activités économiques. Cette prévalence est passée de 41,1% en 2006 à 40,3% en 2023 selon les résultats de l’enquête nationale sur le travail des enfants réalisée en 2022, soit une baisse de l’ordre de 0,8%. Ce taux est en deçà des attentes (30%) malgré les efforts consentis. Par ailleurs, les trois (03) produits planifiés en 2023 ont été entièrement réalisés.</w:t>
      </w:r>
    </w:p>
    <w:p w14:paraId="49688619" w14:textId="4623D38C"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Concernant </w:t>
      </w:r>
      <w:r w:rsidRPr="008139E1">
        <w:rPr>
          <w:rFonts w:eastAsia="Calibri"/>
          <w:b/>
          <w:szCs w:val="24"/>
        </w:rPr>
        <w:t>la réinsertion socioprofessionnelle des travailleurs déflatés et retraités (03063)</w:t>
      </w:r>
      <w:r w:rsidRPr="00203EA4">
        <w:rPr>
          <w:rFonts w:eastAsia="Calibri"/>
          <w:szCs w:val="24"/>
        </w:rPr>
        <w:t xml:space="preserve">, elle a pour ambition d’accroitre à 80% la proportion des travailleurs déflatés et retraités ayant bénéficié d'un accompagnement. Au 31 décembre 2023, cette proportion est de 54,67%, consécutive au faible taux de recouvrement dû au contexte sécuritaire qui impacte </w:t>
      </w:r>
      <w:r w:rsidRPr="00203EA4">
        <w:rPr>
          <w:rFonts w:eastAsia="Calibri"/>
          <w:szCs w:val="24"/>
        </w:rPr>
        <w:lastRenderedPageBreak/>
        <w:t>négativement le financement des micro-projets des déflatés et retraités et au fait que le financement des nouveaux projets est assuré par le recouvrement des créances.</w:t>
      </w:r>
    </w:p>
    <w:p w14:paraId="49ED5156" w14:textId="77F0AB23"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Pour la mise en œuvre de cette action, les deux (02) produits programmés connaissent des évolutions diverses au 31 décembre 2023. Ainsi, 76 projets de travailleurs retraités et déflatés dont 18 projets de femmes ont été financés pour une cible de 190 et 338 travailleurs déflatés et retraités dont 65 femmes ont bénéficié de formation en production agro-</w:t>
      </w:r>
      <w:proofErr w:type="spellStart"/>
      <w:r w:rsidRPr="00203EA4">
        <w:rPr>
          <w:rFonts w:eastAsia="Calibri"/>
          <w:szCs w:val="24"/>
        </w:rPr>
        <w:t>sylvo</w:t>
      </w:r>
      <w:proofErr w:type="spellEnd"/>
      <w:r w:rsidRPr="00203EA4">
        <w:rPr>
          <w:rFonts w:eastAsia="Calibri"/>
          <w:szCs w:val="24"/>
        </w:rPr>
        <w:t>-pastoral</w:t>
      </w:r>
      <w:r w:rsidR="004E1DBD">
        <w:rPr>
          <w:rFonts w:eastAsia="Calibri"/>
          <w:szCs w:val="24"/>
        </w:rPr>
        <w:t>e</w:t>
      </w:r>
      <w:r w:rsidRPr="00203EA4">
        <w:rPr>
          <w:rFonts w:eastAsia="Calibri"/>
          <w:szCs w:val="24"/>
        </w:rPr>
        <w:t xml:space="preserve"> et halieutique pour une cible de 392. </w:t>
      </w:r>
    </w:p>
    <w:p w14:paraId="30562B6E" w14:textId="292B7307"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S’agissant de la sixième action relative à </w:t>
      </w:r>
      <w:r w:rsidRPr="008139E1">
        <w:rPr>
          <w:rFonts w:eastAsia="Calibri"/>
          <w:b/>
          <w:szCs w:val="24"/>
        </w:rPr>
        <w:t>la promotion de la mutualité sociale (03064)</w:t>
      </w:r>
      <w:r w:rsidRPr="00203EA4">
        <w:rPr>
          <w:rFonts w:eastAsia="Calibri"/>
          <w:szCs w:val="24"/>
        </w:rPr>
        <w:t xml:space="preserve">, dont l’objectif visé en 2023 est de porter à 47% la proportion de communes disposant de mutuelles, </w:t>
      </w:r>
      <w:r w:rsidR="004E1DBD">
        <w:rPr>
          <w:rFonts w:eastAsia="Calibri"/>
          <w:szCs w:val="24"/>
        </w:rPr>
        <w:t xml:space="preserve">elle </w:t>
      </w:r>
      <w:r w:rsidRPr="00203EA4">
        <w:rPr>
          <w:rFonts w:eastAsia="Calibri"/>
          <w:szCs w:val="24"/>
        </w:rPr>
        <w:t>n’a pas évolué au 31 décembre 2023, par rapport à sa valeur de référence 2022</w:t>
      </w:r>
      <w:r w:rsidR="004E1DBD">
        <w:rPr>
          <w:rFonts w:eastAsia="Calibri"/>
          <w:szCs w:val="24"/>
        </w:rPr>
        <w:t xml:space="preserve"> </w:t>
      </w:r>
      <w:r w:rsidRPr="00203EA4">
        <w:rPr>
          <w:rFonts w:eastAsia="Calibri"/>
          <w:szCs w:val="24"/>
        </w:rPr>
        <w:t>(45,58%). Cependant, les deux produits associés à cette action enregistrent des performances appréciables, dépassant leur cible prévisionnelle en 2023. Le taux d’exécution financière de mise en œuvre des produits de l’action est de 31,10%.</w:t>
      </w:r>
    </w:p>
    <w:p w14:paraId="74CCF6F8" w14:textId="533FDF04"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Pour ce qui est de l’action relative au « </w:t>
      </w:r>
      <w:r w:rsidRPr="008139E1">
        <w:rPr>
          <w:rFonts w:eastAsia="Calibri"/>
          <w:b/>
          <w:szCs w:val="24"/>
        </w:rPr>
        <w:t>renforcement de la protection des enfants en difficulté » (03065)</w:t>
      </w:r>
      <w:r w:rsidRPr="00203EA4">
        <w:rPr>
          <w:rFonts w:eastAsia="Calibri"/>
          <w:szCs w:val="24"/>
        </w:rPr>
        <w:t>, dont l’ambition pour l’année 2023 est de porter à 85% la proportion des enfants victimes de violence</w:t>
      </w:r>
      <w:r w:rsidR="004E1DBD">
        <w:rPr>
          <w:rFonts w:eastAsia="Calibri"/>
          <w:szCs w:val="24"/>
        </w:rPr>
        <w:t>s</w:t>
      </w:r>
      <w:r w:rsidRPr="00203EA4">
        <w:rPr>
          <w:rFonts w:eastAsia="Calibri"/>
          <w:szCs w:val="24"/>
        </w:rPr>
        <w:t xml:space="preserve"> pris en charge, </w:t>
      </w:r>
      <w:r w:rsidR="004E1DBD">
        <w:rPr>
          <w:rFonts w:eastAsia="Calibri"/>
          <w:szCs w:val="24"/>
        </w:rPr>
        <w:t xml:space="preserve">elle </w:t>
      </w:r>
      <w:r w:rsidRPr="00203EA4">
        <w:rPr>
          <w:rFonts w:eastAsia="Calibri"/>
          <w:szCs w:val="24"/>
        </w:rPr>
        <w:t>enregistre au 31 décembre 2023, des dépassements des cibles visées des produits associés à la réalisation de cette action. Leur taux est de plus de 100% avec 8 857 enfants victimes de violence</w:t>
      </w:r>
      <w:r w:rsidR="004E1DBD">
        <w:rPr>
          <w:rFonts w:eastAsia="Calibri"/>
          <w:szCs w:val="24"/>
        </w:rPr>
        <w:t>s</w:t>
      </w:r>
      <w:r w:rsidRPr="00203EA4">
        <w:rPr>
          <w:rFonts w:eastAsia="Calibri"/>
          <w:szCs w:val="24"/>
        </w:rPr>
        <w:t xml:space="preserve"> pris en charge dont 5</w:t>
      </w:r>
      <w:r w:rsidR="004E1DBD" w:rsidRPr="00056445">
        <w:rPr>
          <w:rFonts w:eastAsia="Calibri"/>
          <w:szCs w:val="24"/>
        </w:rPr>
        <w:t>°</w:t>
      </w:r>
      <w:r w:rsidRPr="00203EA4">
        <w:rPr>
          <w:rFonts w:eastAsia="Calibri"/>
          <w:szCs w:val="24"/>
        </w:rPr>
        <w:t>187 filles sur 4</w:t>
      </w:r>
      <w:r w:rsidR="004E1DBD" w:rsidRPr="00056445">
        <w:rPr>
          <w:rFonts w:eastAsia="Calibri"/>
          <w:szCs w:val="24"/>
        </w:rPr>
        <w:t>°</w:t>
      </w:r>
      <w:r w:rsidRPr="00203EA4">
        <w:rPr>
          <w:rFonts w:eastAsia="Calibri"/>
          <w:szCs w:val="24"/>
        </w:rPr>
        <w:t>000 prévu</w:t>
      </w:r>
      <w:r w:rsidR="004E1DBD">
        <w:rPr>
          <w:rFonts w:eastAsia="Calibri"/>
          <w:szCs w:val="24"/>
        </w:rPr>
        <w:t>e</w:t>
      </w:r>
      <w:r w:rsidRPr="00203EA4">
        <w:rPr>
          <w:rFonts w:eastAsia="Calibri"/>
          <w:szCs w:val="24"/>
        </w:rPr>
        <w:t>s et 21 073 enfants victimes de violences et d'abus divers dont 8</w:t>
      </w:r>
      <w:r w:rsidR="004E1DBD" w:rsidRPr="00056445">
        <w:rPr>
          <w:rFonts w:eastAsia="Calibri"/>
          <w:szCs w:val="24"/>
        </w:rPr>
        <w:t>°</w:t>
      </w:r>
      <w:r w:rsidRPr="00203EA4">
        <w:rPr>
          <w:rFonts w:eastAsia="Calibri"/>
          <w:szCs w:val="24"/>
        </w:rPr>
        <w:t>256 filles pris en charge sur une prévision de 6</w:t>
      </w:r>
      <w:r w:rsidR="004E1DBD" w:rsidRPr="00056445">
        <w:rPr>
          <w:rFonts w:eastAsia="Calibri"/>
          <w:szCs w:val="24"/>
        </w:rPr>
        <w:t>°</w:t>
      </w:r>
      <w:r w:rsidRPr="00203EA4">
        <w:rPr>
          <w:rFonts w:eastAsia="Calibri"/>
          <w:szCs w:val="24"/>
        </w:rPr>
        <w:t>369 enfants et 1</w:t>
      </w:r>
      <w:r w:rsidR="004E1DBD" w:rsidRPr="00056445">
        <w:rPr>
          <w:rFonts w:eastAsia="Calibri"/>
          <w:szCs w:val="24"/>
        </w:rPr>
        <w:t>°</w:t>
      </w:r>
      <w:r w:rsidRPr="00203EA4">
        <w:rPr>
          <w:rFonts w:eastAsia="Calibri"/>
          <w:szCs w:val="24"/>
        </w:rPr>
        <w:t>215 bourses accordées aux orphelins des pensionnés de la CARFO et CNSS sur une prévision de 1</w:t>
      </w:r>
      <w:r w:rsidR="004E1DBD" w:rsidRPr="00056445">
        <w:rPr>
          <w:rFonts w:eastAsia="Calibri"/>
          <w:szCs w:val="24"/>
        </w:rPr>
        <w:t>°</w:t>
      </w:r>
      <w:r w:rsidRPr="00203EA4">
        <w:rPr>
          <w:rFonts w:eastAsia="Calibri"/>
          <w:szCs w:val="24"/>
        </w:rPr>
        <w:t>115.</w:t>
      </w:r>
    </w:p>
    <w:p w14:paraId="762B8A64" w14:textId="77777777"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Enfin, quant à l’action portant sur « </w:t>
      </w:r>
      <w:r w:rsidRPr="008139E1">
        <w:rPr>
          <w:rFonts w:eastAsia="Calibri"/>
          <w:b/>
          <w:szCs w:val="24"/>
        </w:rPr>
        <w:t>l’amélioration de l'employabilité des jeunes » (03066)</w:t>
      </w:r>
      <w:r w:rsidRPr="00203EA4">
        <w:rPr>
          <w:rFonts w:eastAsia="Calibri"/>
          <w:szCs w:val="24"/>
        </w:rPr>
        <w:t xml:space="preserve"> à travers la création d’au moins 50 000 emplois en 2023, sa situation n’est pas encore disponible due à la non-disponibilité de l’annuaire statistique du MFPTPS.</w:t>
      </w:r>
    </w:p>
    <w:p w14:paraId="7F6919BB" w14:textId="7BB99EE8" w:rsid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 La situation des quatre (04) extrants planifiés en 2023 est présentée dans le tableau ci-après avec des niveaux d’exécution satisfaisants au 31 décembre 2023.</w:t>
      </w:r>
    </w:p>
    <w:p w14:paraId="7E0D216D" w14:textId="69D7F74A" w:rsidR="00203EA4" w:rsidRPr="0042784A" w:rsidRDefault="00F9193C" w:rsidP="008139E1">
      <w:pPr>
        <w:pStyle w:val="Lgende"/>
        <w:rPr>
          <w:b/>
          <w:bCs/>
          <w:i w:val="0"/>
          <w:iCs w:val="0"/>
          <w:color w:val="auto"/>
          <w:sz w:val="22"/>
          <w:szCs w:val="22"/>
          <w:lang w:val="fr-CI"/>
        </w:rPr>
      </w:pPr>
      <w:bookmarkStart w:id="126" w:name="_Toc164503646"/>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59</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 xml:space="preserve">situation des indicateurs de produits de l’action </w:t>
      </w:r>
      <w:r w:rsidR="004E1DBD" w:rsidRPr="0042784A">
        <w:rPr>
          <w:i w:val="0"/>
          <w:color w:val="auto"/>
          <w:sz w:val="24"/>
          <w:szCs w:val="24"/>
        </w:rPr>
        <w:t>« </w:t>
      </w:r>
      <w:r w:rsidRPr="0042784A">
        <w:rPr>
          <w:i w:val="0"/>
          <w:color w:val="auto"/>
          <w:sz w:val="24"/>
          <w:szCs w:val="24"/>
        </w:rPr>
        <w:t>amélioration de l'employabilité des jeunes</w:t>
      </w:r>
      <w:r w:rsidR="004E1DBD" w:rsidRPr="0042784A">
        <w:rPr>
          <w:i w:val="0"/>
          <w:color w:val="auto"/>
          <w:sz w:val="24"/>
          <w:szCs w:val="24"/>
        </w:rPr>
        <w:t> »</w:t>
      </w:r>
      <w:bookmarkEnd w:id="126"/>
    </w:p>
    <w:tbl>
      <w:tblPr>
        <w:tblStyle w:val="TableauGrille4-Accentuation119"/>
        <w:tblW w:w="5000" w:type="pct"/>
        <w:tblLook w:val="04A0" w:firstRow="1" w:lastRow="0" w:firstColumn="1" w:lastColumn="0" w:noHBand="0" w:noVBand="1"/>
      </w:tblPr>
      <w:tblGrid>
        <w:gridCol w:w="4314"/>
        <w:gridCol w:w="1351"/>
        <w:gridCol w:w="1800"/>
        <w:gridCol w:w="1551"/>
      </w:tblGrid>
      <w:tr w:rsidR="00203EA4" w14:paraId="4FB0E41E" w14:textId="77777777" w:rsidTr="00F17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3" w:type="pct"/>
            <w:shd w:val="clear" w:color="auto" w:fill="4472C4" w:themeFill="accent1"/>
          </w:tcPr>
          <w:p w14:paraId="58C85499" w14:textId="11CD01C1" w:rsidR="00203EA4" w:rsidRDefault="00203EA4" w:rsidP="00F175A7">
            <w:pPr>
              <w:spacing w:after="0" w:line="240" w:lineRule="auto"/>
              <w:ind w:firstLine="0"/>
            </w:pPr>
            <w:r w:rsidRPr="00E31E23">
              <w:t xml:space="preserve">Indicateurs </w:t>
            </w:r>
          </w:p>
        </w:tc>
        <w:tc>
          <w:tcPr>
            <w:tcW w:w="749" w:type="pct"/>
            <w:shd w:val="clear" w:color="auto" w:fill="4472C4" w:themeFill="accent1"/>
          </w:tcPr>
          <w:p w14:paraId="1862511E" w14:textId="77777777" w:rsidR="00203EA4" w:rsidRDefault="00203EA4"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E31E23">
              <w:t>Réal 2022</w:t>
            </w:r>
          </w:p>
        </w:tc>
        <w:tc>
          <w:tcPr>
            <w:tcW w:w="998" w:type="pct"/>
            <w:shd w:val="clear" w:color="auto" w:fill="4472C4" w:themeFill="accent1"/>
          </w:tcPr>
          <w:p w14:paraId="0ECEB615" w14:textId="77777777" w:rsidR="00203EA4" w:rsidRDefault="00203EA4"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2023</w:t>
            </w:r>
          </w:p>
        </w:tc>
        <w:tc>
          <w:tcPr>
            <w:tcW w:w="860" w:type="pct"/>
            <w:shd w:val="clear" w:color="auto" w:fill="4472C4" w:themeFill="accent1"/>
          </w:tcPr>
          <w:p w14:paraId="2B2BF05D" w14:textId="77777777" w:rsidR="00203EA4" w:rsidRDefault="00203EA4"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E31E23">
              <w:t>Cible 2023</w:t>
            </w:r>
          </w:p>
        </w:tc>
      </w:tr>
      <w:tr w:rsidR="00203EA4" w14:paraId="3B9F8BFB"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tcPr>
          <w:p w14:paraId="502C45EA" w14:textId="77777777" w:rsidR="00203EA4" w:rsidRDefault="00203EA4" w:rsidP="00F175A7">
            <w:pPr>
              <w:spacing w:after="0" w:line="240" w:lineRule="auto"/>
              <w:ind w:firstLine="0"/>
            </w:pPr>
            <w:r w:rsidRPr="00E31E23">
              <w:t>Nombre de projets financés</w:t>
            </w:r>
          </w:p>
        </w:tc>
        <w:tc>
          <w:tcPr>
            <w:tcW w:w="749" w:type="pct"/>
          </w:tcPr>
          <w:p w14:paraId="4D82F4E1" w14:textId="48D311E1" w:rsidR="00203EA4" w:rsidRDefault="00203EA4"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2</w:t>
            </w:r>
            <w:r w:rsidR="00454163" w:rsidRPr="00577375">
              <w:rPr>
                <w:rFonts w:eastAsia="Calibri"/>
                <w:szCs w:val="24"/>
              </w:rPr>
              <w:t> </w:t>
            </w:r>
            <w:r w:rsidRPr="00E31E23">
              <w:t>511</w:t>
            </w:r>
          </w:p>
        </w:tc>
        <w:tc>
          <w:tcPr>
            <w:tcW w:w="998" w:type="pct"/>
          </w:tcPr>
          <w:p w14:paraId="33F93188" w14:textId="57E82F18" w:rsidR="00203EA4" w:rsidRDefault="00203EA4" w:rsidP="00F175A7">
            <w:pPr>
              <w:spacing w:after="0" w:line="240" w:lineRule="auto"/>
              <w:ind w:firstLine="0"/>
              <w:cnfStyle w:val="000000100000" w:firstRow="0" w:lastRow="0" w:firstColumn="0" w:lastColumn="0" w:oddVBand="0" w:evenVBand="0" w:oddHBand="1" w:evenHBand="0" w:firstRowFirstColumn="0" w:firstRowLastColumn="0" w:lastRowFirstColumn="0" w:lastRowLastColumn="0"/>
            </w:pPr>
            <w:r w:rsidRPr="00E31E23">
              <w:t>3</w:t>
            </w:r>
            <w:r w:rsidR="00454163" w:rsidRPr="00577375">
              <w:rPr>
                <w:rFonts w:eastAsia="Calibri"/>
                <w:szCs w:val="24"/>
              </w:rPr>
              <w:t> </w:t>
            </w:r>
            <w:r w:rsidRPr="00E31E23">
              <w:t>096 dont 1274 femmes</w:t>
            </w:r>
          </w:p>
        </w:tc>
        <w:tc>
          <w:tcPr>
            <w:tcW w:w="860" w:type="pct"/>
          </w:tcPr>
          <w:p w14:paraId="79EE076B" w14:textId="6DA4DBB1" w:rsidR="00203EA4" w:rsidRDefault="00203EA4"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2</w:t>
            </w:r>
            <w:r w:rsidR="00454163" w:rsidRPr="00577375">
              <w:rPr>
                <w:rFonts w:eastAsia="Calibri"/>
                <w:szCs w:val="24"/>
              </w:rPr>
              <w:t> </w:t>
            </w:r>
            <w:r w:rsidRPr="00E31E23">
              <w:t>700</w:t>
            </w:r>
          </w:p>
        </w:tc>
      </w:tr>
      <w:tr w:rsidR="00203EA4" w14:paraId="10C96FDA" w14:textId="77777777" w:rsidTr="00E52836">
        <w:tc>
          <w:tcPr>
            <w:cnfStyle w:val="001000000000" w:firstRow="0" w:lastRow="0" w:firstColumn="1" w:lastColumn="0" w:oddVBand="0" w:evenVBand="0" w:oddHBand="0" w:evenHBand="0" w:firstRowFirstColumn="0" w:firstRowLastColumn="0" w:lastRowFirstColumn="0" w:lastRowLastColumn="0"/>
            <w:tcW w:w="2393" w:type="pct"/>
          </w:tcPr>
          <w:p w14:paraId="72C9FC9D" w14:textId="545B7491" w:rsidR="00203EA4" w:rsidRDefault="00203EA4" w:rsidP="004E1DBD">
            <w:pPr>
              <w:spacing w:after="0" w:line="240" w:lineRule="auto"/>
              <w:ind w:firstLine="0"/>
            </w:pPr>
            <w:r w:rsidRPr="00E31E23">
              <w:t xml:space="preserve">Nombre de jeunes formés </w:t>
            </w:r>
            <w:r w:rsidR="004E1DBD">
              <w:t>aux</w:t>
            </w:r>
            <w:r w:rsidRPr="00E31E23">
              <w:t xml:space="preserve"> TRE, TIC.</w:t>
            </w:r>
          </w:p>
        </w:tc>
        <w:tc>
          <w:tcPr>
            <w:tcW w:w="749" w:type="pct"/>
          </w:tcPr>
          <w:p w14:paraId="49ED0A78" w14:textId="52FAF9EF" w:rsidR="00203EA4" w:rsidRDefault="00203EA4"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3</w:t>
            </w:r>
            <w:r w:rsidR="00454163" w:rsidRPr="00577375">
              <w:rPr>
                <w:rFonts w:eastAsia="Calibri"/>
                <w:szCs w:val="24"/>
              </w:rPr>
              <w:t> </w:t>
            </w:r>
            <w:r w:rsidRPr="00E31E23">
              <w:t>856</w:t>
            </w:r>
          </w:p>
        </w:tc>
        <w:tc>
          <w:tcPr>
            <w:tcW w:w="998" w:type="pct"/>
          </w:tcPr>
          <w:p w14:paraId="25B78C1D" w14:textId="211725AB" w:rsidR="00203EA4" w:rsidRDefault="00203EA4"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t>4</w:t>
            </w:r>
            <w:r w:rsidR="00454163" w:rsidRPr="00577375">
              <w:rPr>
                <w:rFonts w:eastAsia="Calibri"/>
                <w:szCs w:val="24"/>
              </w:rPr>
              <w:t> </w:t>
            </w:r>
            <w:r w:rsidRPr="00E31E23">
              <w:t>708 dont 2423 femmes</w:t>
            </w:r>
          </w:p>
        </w:tc>
        <w:tc>
          <w:tcPr>
            <w:tcW w:w="860" w:type="pct"/>
          </w:tcPr>
          <w:p w14:paraId="0D870B4E" w14:textId="6BE1F018" w:rsidR="00203EA4" w:rsidRDefault="00203EA4"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4</w:t>
            </w:r>
            <w:r w:rsidR="00454163" w:rsidRPr="00577375">
              <w:rPr>
                <w:rFonts w:eastAsia="Calibri"/>
                <w:szCs w:val="24"/>
              </w:rPr>
              <w:t> </w:t>
            </w:r>
            <w:r w:rsidRPr="00E31E23">
              <w:t>895</w:t>
            </w:r>
          </w:p>
        </w:tc>
      </w:tr>
      <w:tr w:rsidR="00203EA4" w14:paraId="7B44691A"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tcPr>
          <w:p w14:paraId="1AD4C0BC" w14:textId="77777777" w:rsidR="00203EA4" w:rsidRDefault="00203EA4" w:rsidP="00F175A7">
            <w:pPr>
              <w:spacing w:after="0" w:line="240" w:lineRule="auto"/>
              <w:ind w:firstLine="0"/>
            </w:pPr>
            <w:r w:rsidRPr="00E31E23">
              <w:t>Nombre de demandeurs d'emploi dotés de projets bancables</w:t>
            </w:r>
          </w:p>
        </w:tc>
        <w:tc>
          <w:tcPr>
            <w:tcW w:w="749" w:type="pct"/>
          </w:tcPr>
          <w:p w14:paraId="6EF2AB29" w14:textId="77777777" w:rsidR="00203EA4" w:rsidRDefault="00203EA4"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124</w:t>
            </w:r>
          </w:p>
        </w:tc>
        <w:tc>
          <w:tcPr>
            <w:tcW w:w="998" w:type="pct"/>
          </w:tcPr>
          <w:p w14:paraId="6E9D2CF1" w14:textId="77777777" w:rsidR="00203EA4" w:rsidRDefault="00203EA4"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71</w:t>
            </w:r>
          </w:p>
        </w:tc>
        <w:tc>
          <w:tcPr>
            <w:tcW w:w="860" w:type="pct"/>
          </w:tcPr>
          <w:p w14:paraId="1ED20CDE" w14:textId="77777777" w:rsidR="00203EA4" w:rsidRDefault="00203EA4"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124</w:t>
            </w:r>
          </w:p>
        </w:tc>
      </w:tr>
      <w:tr w:rsidR="00203EA4" w14:paraId="2D9724D7" w14:textId="77777777" w:rsidTr="00E52836">
        <w:tc>
          <w:tcPr>
            <w:cnfStyle w:val="001000000000" w:firstRow="0" w:lastRow="0" w:firstColumn="1" w:lastColumn="0" w:oddVBand="0" w:evenVBand="0" w:oddHBand="0" w:evenHBand="0" w:firstRowFirstColumn="0" w:firstRowLastColumn="0" w:lastRowFirstColumn="0" w:lastRowLastColumn="0"/>
            <w:tcW w:w="2393" w:type="pct"/>
          </w:tcPr>
          <w:p w14:paraId="0A80FD17" w14:textId="77777777" w:rsidR="00203EA4" w:rsidRDefault="00203EA4" w:rsidP="00F175A7">
            <w:pPr>
              <w:spacing w:after="0" w:line="240" w:lineRule="auto"/>
              <w:ind w:firstLine="0"/>
            </w:pPr>
            <w:r w:rsidRPr="00E31E23">
              <w:t>Nombre de bénéficiaires de prêts suivis et accompagnés</w:t>
            </w:r>
          </w:p>
        </w:tc>
        <w:tc>
          <w:tcPr>
            <w:tcW w:w="749" w:type="pct"/>
          </w:tcPr>
          <w:p w14:paraId="117A0B8A" w14:textId="77777777" w:rsidR="00203EA4" w:rsidRDefault="00203EA4"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1200</w:t>
            </w:r>
          </w:p>
        </w:tc>
        <w:tc>
          <w:tcPr>
            <w:tcW w:w="998" w:type="pct"/>
          </w:tcPr>
          <w:p w14:paraId="121958BF" w14:textId="688D0012" w:rsidR="00203EA4" w:rsidRDefault="00203EA4" w:rsidP="00F175A7">
            <w:pPr>
              <w:spacing w:after="0" w:line="240" w:lineRule="auto"/>
              <w:ind w:firstLine="0"/>
              <w:cnfStyle w:val="000000000000" w:firstRow="0" w:lastRow="0" w:firstColumn="0" w:lastColumn="0" w:oddVBand="0" w:evenVBand="0" w:oddHBand="0" w:evenHBand="0" w:firstRowFirstColumn="0" w:firstRowLastColumn="0" w:lastRowFirstColumn="0" w:lastRowLastColumn="0"/>
            </w:pPr>
            <w:r w:rsidRPr="00E31E23">
              <w:t>4</w:t>
            </w:r>
            <w:r w:rsidR="00454163" w:rsidRPr="00577375">
              <w:rPr>
                <w:rFonts w:eastAsia="Calibri"/>
                <w:szCs w:val="24"/>
              </w:rPr>
              <w:t> </w:t>
            </w:r>
            <w:r w:rsidRPr="00E31E23">
              <w:t>881 dont 1718 femmes</w:t>
            </w:r>
          </w:p>
        </w:tc>
        <w:tc>
          <w:tcPr>
            <w:tcW w:w="860" w:type="pct"/>
          </w:tcPr>
          <w:p w14:paraId="716E3FEC" w14:textId="06A08E23" w:rsidR="00203EA4" w:rsidRDefault="00203EA4"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5</w:t>
            </w:r>
            <w:r w:rsidR="00454163" w:rsidRPr="00577375">
              <w:rPr>
                <w:rFonts w:eastAsia="Calibri"/>
                <w:szCs w:val="24"/>
              </w:rPr>
              <w:t> </w:t>
            </w:r>
            <w:r w:rsidRPr="00E31E23">
              <w:t>000</w:t>
            </w:r>
          </w:p>
        </w:tc>
      </w:tr>
    </w:tbl>
    <w:p w14:paraId="1A6D195C" w14:textId="3D42707F" w:rsidR="00203EA4" w:rsidRPr="00F175A7" w:rsidRDefault="00203EA4" w:rsidP="00203EA4">
      <w:pPr>
        <w:shd w:val="clear" w:color="auto" w:fill="FFFFFF"/>
        <w:spacing w:before="120" w:after="120" w:line="276" w:lineRule="auto"/>
        <w:rPr>
          <w:sz w:val="20"/>
          <w:szCs w:val="20"/>
        </w:rPr>
      </w:pPr>
      <w:r w:rsidRPr="00F175A7">
        <w:rPr>
          <w:b/>
          <w:sz w:val="20"/>
          <w:szCs w:val="20"/>
          <w:u w:val="single"/>
        </w:rPr>
        <w:t>Source</w:t>
      </w:r>
      <w:r w:rsidR="00287D1E">
        <w:rPr>
          <w:sz w:val="20"/>
          <w:szCs w:val="20"/>
        </w:rPr>
        <w:t xml:space="preserve"> : r</w:t>
      </w:r>
      <w:r w:rsidRPr="00F175A7">
        <w:rPr>
          <w:sz w:val="20"/>
          <w:szCs w:val="20"/>
        </w:rPr>
        <w:t xml:space="preserve">apport </w:t>
      </w:r>
      <w:r w:rsidR="00287D1E">
        <w:rPr>
          <w:sz w:val="20"/>
          <w:szCs w:val="20"/>
        </w:rPr>
        <w:t xml:space="preserve">annuel </w:t>
      </w:r>
      <w:r w:rsidRPr="00F175A7">
        <w:rPr>
          <w:sz w:val="20"/>
          <w:szCs w:val="20"/>
        </w:rPr>
        <w:t>de performance 2023 du CSD-TEPS, février 2024</w:t>
      </w:r>
    </w:p>
    <w:p w14:paraId="333386F7" w14:textId="4CFE7AF2" w:rsidR="00A03711" w:rsidRPr="00775DBB"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Dans l’ensemble, les contre-performances observées dans la mise en œuvre de ces actions de promotion de l’emploi décent et de la protection sociale pour tous, particulièrement pour </w:t>
      </w:r>
      <w:r w:rsidRPr="00203EA4">
        <w:rPr>
          <w:rFonts w:eastAsia="Calibri"/>
          <w:szCs w:val="24"/>
        </w:rPr>
        <w:lastRenderedPageBreak/>
        <w:t>les jeunes et les femmes s’expliquent par le retard dans le déblocage des ressources affectées aux structures de mise en œuvre des produits, la restructuration institutionnelle engagée au sein du ministère en charge de la jeunesse et de l’emploi en 2023 et la faiblesse des demandes de montage de plans d’affaires due à la faible connaissance de l’offre par le public cible et au coût lié à la prestation</w:t>
      </w:r>
      <w:r w:rsidR="00F14606" w:rsidRPr="00775DBB">
        <w:rPr>
          <w:rFonts w:eastAsia="Calibri"/>
          <w:szCs w:val="24"/>
        </w:rPr>
        <w:t>.</w:t>
      </w:r>
    </w:p>
    <w:p w14:paraId="4D04F71C" w14:textId="77777777" w:rsidR="00AF7996" w:rsidRPr="008D2129" w:rsidRDefault="00AF7996" w:rsidP="00AF7996"/>
    <w:p w14:paraId="1FDD8C5F" w14:textId="21415C2B" w:rsidR="00203EA4" w:rsidRPr="00203EA4" w:rsidRDefault="00EA252D" w:rsidP="00203EA4">
      <w:pPr>
        <w:pStyle w:val="PAT4"/>
      </w:pPr>
      <w:bookmarkStart w:id="127" w:name="_Toc163141233"/>
      <w:r w:rsidRPr="008D2129">
        <w:t>Objectif stratégique 3.5 : Promouvoir l’égalité des sexes et l’autonomisation des femmes et des filles</w:t>
      </w:r>
      <w:bookmarkEnd w:id="127"/>
    </w:p>
    <w:p w14:paraId="48486CD8" w14:textId="77777777"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 xml:space="preserve">Une seule action visant </w:t>
      </w:r>
      <w:r w:rsidRPr="008139E1">
        <w:rPr>
          <w:rFonts w:eastAsia="Calibri"/>
          <w:b/>
          <w:szCs w:val="24"/>
        </w:rPr>
        <w:t>le renforcement de l’autonomisation des femmes et des filles (03067)</w:t>
      </w:r>
      <w:r w:rsidRPr="00203EA4">
        <w:rPr>
          <w:rFonts w:eastAsia="Calibri"/>
          <w:szCs w:val="24"/>
        </w:rPr>
        <w:t xml:space="preserve"> dont la cible pour l’année 2023 est d’accompagner 149 513 femmes/filles en appuis pour leur autonomisation, déclinée dans le PA-SD concourt à la promotion de l’égalité des sexes et l’autonomisation des femmes et des filles. Sa réalisation physique au 31 décembre 2023 est de 95,07% et celle financière est 96,42%.</w:t>
      </w:r>
    </w:p>
    <w:p w14:paraId="1D8486BF" w14:textId="77777777" w:rsidR="00203EA4" w:rsidRPr="00203EA4"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Au 31 décembre 2023, la situation d’exécution des trois produits associés à cette action est consignée dans le tableau ci-dessous.</w:t>
      </w:r>
    </w:p>
    <w:p w14:paraId="00320390" w14:textId="79B3C6D6" w:rsidR="00203EA4" w:rsidRDefault="00FD3B9B" w:rsidP="005006BF">
      <w:pPr>
        <w:keepNext/>
        <w:keepLines/>
        <w:shd w:val="clear" w:color="auto" w:fill="FFFFFF"/>
        <w:spacing w:before="120" w:after="120" w:line="276" w:lineRule="auto"/>
      </w:pPr>
      <w:bookmarkStart w:id="128" w:name="_Toc164503647"/>
      <w:r w:rsidRPr="008139E1">
        <w:rPr>
          <w:b/>
          <w:sz w:val="22"/>
          <w:u w:val="single"/>
        </w:rPr>
        <w:t xml:space="preserve">Tableau </w:t>
      </w:r>
      <w:r w:rsidRPr="008139E1">
        <w:rPr>
          <w:b/>
          <w:sz w:val="22"/>
          <w:u w:val="single"/>
        </w:rPr>
        <w:fldChar w:fldCharType="begin"/>
      </w:r>
      <w:r w:rsidRPr="008139E1">
        <w:rPr>
          <w:b/>
          <w:sz w:val="22"/>
          <w:u w:val="single"/>
        </w:rPr>
        <w:instrText xml:space="preserve"> SEQ Tableau \* ARABIC </w:instrText>
      </w:r>
      <w:r w:rsidRPr="008139E1">
        <w:rPr>
          <w:b/>
          <w:sz w:val="22"/>
          <w:u w:val="single"/>
        </w:rPr>
        <w:fldChar w:fldCharType="separate"/>
      </w:r>
      <w:r w:rsidR="007C2E4E">
        <w:rPr>
          <w:b/>
          <w:noProof/>
          <w:sz w:val="22"/>
          <w:u w:val="single"/>
        </w:rPr>
        <w:t>60</w:t>
      </w:r>
      <w:r w:rsidRPr="008139E1">
        <w:rPr>
          <w:b/>
          <w:sz w:val="22"/>
          <w:u w:val="single"/>
        </w:rPr>
        <w:fldChar w:fldCharType="end"/>
      </w:r>
      <w:r w:rsidRPr="008139E1">
        <w:rPr>
          <w:b/>
          <w:sz w:val="22"/>
          <w:u w:val="single"/>
        </w:rPr>
        <w:t>:</w:t>
      </w:r>
      <w:r w:rsidRPr="008139E1">
        <w:rPr>
          <w:sz w:val="22"/>
        </w:rPr>
        <w:t xml:space="preserve"> </w:t>
      </w:r>
      <w:r w:rsidRPr="00FD3B9B">
        <w:rPr>
          <w:szCs w:val="24"/>
        </w:rPr>
        <w:t>situation des indicateurs de produits en lien avec l’autonomisation des femmes et des filles</w:t>
      </w:r>
      <w:bookmarkEnd w:id="128"/>
    </w:p>
    <w:tbl>
      <w:tblPr>
        <w:tblStyle w:val="TableauGrille4-Accentuation119"/>
        <w:tblW w:w="5000" w:type="pct"/>
        <w:tblLook w:val="04A0" w:firstRow="1" w:lastRow="0" w:firstColumn="1" w:lastColumn="0" w:noHBand="0" w:noVBand="1"/>
      </w:tblPr>
      <w:tblGrid>
        <w:gridCol w:w="4586"/>
        <w:gridCol w:w="1619"/>
        <w:gridCol w:w="1441"/>
        <w:gridCol w:w="1370"/>
      </w:tblGrid>
      <w:tr w:rsidR="00203EA4" w:rsidRPr="00F175A7" w14:paraId="3F1EFEBD" w14:textId="77777777" w:rsidTr="00F1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shd w:val="clear" w:color="auto" w:fill="4472C4" w:themeFill="accent1"/>
          </w:tcPr>
          <w:p w14:paraId="19BF6B4E" w14:textId="1F155D76" w:rsidR="00203EA4" w:rsidRPr="00DC0B8D" w:rsidRDefault="00203EA4" w:rsidP="00F175A7">
            <w:pPr>
              <w:keepNext/>
              <w:keepLines/>
              <w:spacing w:after="0" w:line="240" w:lineRule="auto"/>
            </w:pPr>
            <w:r w:rsidRPr="00F175A7">
              <w:t xml:space="preserve">Indicateurs </w:t>
            </w:r>
          </w:p>
        </w:tc>
        <w:tc>
          <w:tcPr>
            <w:tcW w:w="898" w:type="pct"/>
            <w:shd w:val="clear" w:color="auto" w:fill="4472C4" w:themeFill="accent1"/>
          </w:tcPr>
          <w:p w14:paraId="5F844775" w14:textId="77777777" w:rsidR="00203EA4" w:rsidRPr="00DC0B8D" w:rsidRDefault="00203EA4"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DC0B8D">
              <w:t>Réal 2022</w:t>
            </w:r>
          </w:p>
        </w:tc>
        <w:tc>
          <w:tcPr>
            <w:tcW w:w="799" w:type="pct"/>
            <w:shd w:val="clear" w:color="auto" w:fill="4472C4" w:themeFill="accent1"/>
          </w:tcPr>
          <w:p w14:paraId="70B63D95" w14:textId="77777777" w:rsidR="00203EA4" w:rsidRPr="006A343F" w:rsidRDefault="00203EA4" w:rsidP="00F175A7">
            <w:pPr>
              <w:keepNext/>
              <w:keepLines/>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6A343F">
              <w:t>Réal 2023</w:t>
            </w:r>
          </w:p>
        </w:tc>
        <w:tc>
          <w:tcPr>
            <w:tcW w:w="760" w:type="pct"/>
            <w:shd w:val="clear" w:color="auto" w:fill="4472C4" w:themeFill="accent1"/>
          </w:tcPr>
          <w:p w14:paraId="1A6566A1" w14:textId="77777777" w:rsidR="00203EA4" w:rsidRPr="00546A22" w:rsidRDefault="00203EA4" w:rsidP="00F175A7">
            <w:pPr>
              <w:keepNext/>
              <w:keepLines/>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546A22">
              <w:t>Cible 2023</w:t>
            </w:r>
          </w:p>
        </w:tc>
      </w:tr>
      <w:tr w:rsidR="00203EA4" w:rsidRPr="00F175A7" w14:paraId="612AE6D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tcPr>
          <w:p w14:paraId="231F60BE" w14:textId="77777777" w:rsidR="00203EA4" w:rsidRPr="00DC0B8D" w:rsidRDefault="00203EA4" w:rsidP="00F175A7">
            <w:pPr>
              <w:keepNext/>
              <w:keepLines/>
              <w:spacing w:after="0" w:line="240" w:lineRule="auto"/>
              <w:ind w:firstLine="0"/>
            </w:pPr>
            <w:r w:rsidRPr="00F175A7">
              <w:t>Nombre de femmes bénéficiaires de technologies de production, de transformation et de conservation</w:t>
            </w:r>
          </w:p>
        </w:tc>
        <w:tc>
          <w:tcPr>
            <w:tcW w:w="898" w:type="pct"/>
          </w:tcPr>
          <w:p w14:paraId="05CF28D3" w14:textId="77777777" w:rsidR="00203EA4" w:rsidRPr="00DC0B8D" w:rsidRDefault="00203EA4"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200</w:t>
            </w:r>
          </w:p>
        </w:tc>
        <w:tc>
          <w:tcPr>
            <w:tcW w:w="799" w:type="pct"/>
          </w:tcPr>
          <w:p w14:paraId="775DEB49" w14:textId="77777777" w:rsidR="00203EA4" w:rsidRPr="00DC0B8D" w:rsidRDefault="00203EA4"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211</w:t>
            </w:r>
          </w:p>
        </w:tc>
        <w:tc>
          <w:tcPr>
            <w:tcW w:w="760" w:type="pct"/>
          </w:tcPr>
          <w:p w14:paraId="6918380B" w14:textId="77777777" w:rsidR="00203EA4" w:rsidRPr="00DC0B8D" w:rsidRDefault="00203EA4"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200</w:t>
            </w:r>
          </w:p>
        </w:tc>
      </w:tr>
      <w:tr w:rsidR="00203EA4" w:rsidRPr="00F175A7" w14:paraId="61DF3369" w14:textId="77777777" w:rsidTr="00E52836">
        <w:tc>
          <w:tcPr>
            <w:cnfStyle w:val="001000000000" w:firstRow="0" w:lastRow="0" w:firstColumn="1" w:lastColumn="0" w:oddVBand="0" w:evenVBand="0" w:oddHBand="0" w:evenHBand="0" w:firstRowFirstColumn="0" w:firstRowLastColumn="0" w:lastRowFirstColumn="0" w:lastRowLastColumn="0"/>
            <w:tcW w:w="2543" w:type="pct"/>
          </w:tcPr>
          <w:p w14:paraId="45E5E48C" w14:textId="77777777" w:rsidR="00203EA4" w:rsidRPr="00DC0B8D" w:rsidRDefault="00203EA4" w:rsidP="00F175A7">
            <w:pPr>
              <w:keepNext/>
              <w:keepLines/>
              <w:spacing w:after="0" w:line="240" w:lineRule="auto"/>
              <w:ind w:firstLine="0"/>
            </w:pPr>
            <w:r w:rsidRPr="00F175A7">
              <w:t>Nombre de femmes bénéficiaires de crédits octroyés par les fonds nationaux de financement</w:t>
            </w:r>
          </w:p>
        </w:tc>
        <w:tc>
          <w:tcPr>
            <w:tcW w:w="898" w:type="pct"/>
          </w:tcPr>
          <w:p w14:paraId="1F7DBC08" w14:textId="77777777" w:rsidR="00203EA4" w:rsidRPr="00DC0B8D" w:rsidRDefault="00203EA4"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F175A7">
              <w:t>127 460</w:t>
            </w:r>
          </w:p>
        </w:tc>
        <w:tc>
          <w:tcPr>
            <w:tcW w:w="799" w:type="pct"/>
          </w:tcPr>
          <w:p w14:paraId="35A34B56" w14:textId="77777777" w:rsidR="00203EA4" w:rsidRPr="00DC0B8D" w:rsidRDefault="00203EA4"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F175A7">
              <w:t>100 457</w:t>
            </w:r>
          </w:p>
        </w:tc>
        <w:tc>
          <w:tcPr>
            <w:tcW w:w="760" w:type="pct"/>
          </w:tcPr>
          <w:p w14:paraId="548DE035" w14:textId="77777777" w:rsidR="00203EA4" w:rsidRPr="00DC0B8D" w:rsidRDefault="00203EA4"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F175A7">
              <w:t>117 886</w:t>
            </w:r>
          </w:p>
        </w:tc>
      </w:tr>
      <w:tr w:rsidR="00203EA4" w:rsidRPr="00F175A7" w14:paraId="23437CD7"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tcPr>
          <w:p w14:paraId="4AC41B09" w14:textId="77777777" w:rsidR="00203EA4" w:rsidRPr="00DC0B8D" w:rsidRDefault="00203EA4" w:rsidP="00F175A7">
            <w:pPr>
              <w:keepNext/>
              <w:keepLines/>
              <w:spacing w:after="0" w:line="240" w:lineRule="auto"/>
              <w:ind w:firstLine="0"/>
            </w:pPr>
            <w:r w:rsidRPr="00F175A7">
              <w:t>Nombre de femmes bénéficiaires de crédits formées</w:t>
            </w:r>
          </w:p>
        </w:tc>
        <w:tc>
          <w:tcPr>
            <w:tcW w:w="898" w:type="pct"/>
          </w:tcPr>
          <w:p w14:paraId="604E0494" w14:textId="77777777" w:rsidR="00203EA4" w:rsidRPr="00DC0B8D" w:rsidRDefault="00203EA4"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4388</w:t>
            </w:r>
          </w:p>
        </w:tc>
        <w:tc>
          <w:tcPr>
            <w:tcW w:w="799" w:type="pct"/>
          </w:tcPr>
          <w:p w14:paraId="2C129994" w14:textId="77777777" w:rsidR="00203EA4" w:rsidRPr="00DC0B8D" w:rsidRDefault="00203EA4"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4800</w:t>
            </w:r>
          </w:p>
        </w:tc>
        <w:tc>
          <w:tcPr>
            <w:tcW w:w="760" w:type="pct"/>
          </w:tcPr>
          <w:p w14:paraId="609A8740" w14:textId="77777777" w:rsidR="00203EA4" w:rsidRPr="00DC0B8D" w:rsidRDefault="00203EA4"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4750</w:t>
            </w:r>
          </w:p>
        </w:tc>
      </w:tr>
    </w:tbl>
    <w:p w14:paraId="6F190EBB" w14:textId="636578C2" w:rsidR="00203EA4" w:rsidRPr="00F175A7" w:rsidRDefault="00203EA4" w:rsidP="005006BF">
      <w:pPr>
        <w:keepNext/>
        <w:keepLines/>
        <w:shd w:val="clear" w:color="auto" w:fill="FFFFFF"/>
        <w:spacing w:before="120" w:after="120" w:line="276" w:lineRule="auto"/>
        <w:rPr>
          <w:sz w:val="20"/>
          <w:szCs w:val="20"/>
        </w:rPr>
      </w:pPr>
      <w:r w:rsidRPr="00F175A7">
        <w:rPr>
          <w:b/>
          <w:sz w:val="20"/>
          <w:szCs w:val="20"/>
          <w:u w:val="single"/>
        </w:rPr>
        <w:t>Source</w:t>
      </w:r>
      <w:r w:rsidR="00287D1E">
        <w:rPr>
          <w:sz w:val="20"/>
          <w:szCs w:val="20"/>
        </w:rPr>
        <w:t xml:space="preserve"> : r</w:t>
      </w:r>
      <w:r w:rsidRPr="00F175A7">
        <w:rPr>
          <w:sz w:val="20"/>
          <w:szCs w:val="20"/>
        </w:rPr>
        <w:t xml:space="preserve">apport </w:t>
      </w:r>
      <w:r w:rsidR="00287D1E">
        <w:rPr>
          <w:sz w:val="20"/>
          <w:szCs w:val="20"/>
        </w:rPr>
        <w:t xml:space="preserve">annuel </w:t>
      </w:r>
      <w:r w:rsidRPr="00F175A7">
        <w:rPr>
          <w:sz w:val="20"/>
          <w:szCs w:val="20"/>
        </w:rPr>
        <w:t xml:space="preserve">de performance </w:t>
      </w:r>
      <w:r w:rsidR="00DC0B8D">
        <w:rPr>
          <w:sz w:val="20"/>
          <w:szCs w:val="20"/>
        </w:rPr>
        <w:t>2023</w:t>
      </w:r>
      <w:r w:rsidRPr="00F175A7">
        <w:rPr>
          <w:sz w:val="20"/>
          <w:szCs w:val="20"/>
        </w:rPr>
        <w:t xml:space="preserve"> du CSD-TEPS, février 202</w:t>
      </w:r>
      <w:r w:rsidR="00513EBE">
        <w:rPr>
          <w:sz w:val="20"/>
          <w:szCs w:val="20"/>
        </w:rPr>
        <w:t>4</w:t>
      </w:r>
    </w:p>
    <w:p w14:paraId="25473872" w14:textId="5D996B70" w:rsidR="006509F5" w:rsidRPr="008D2129" w:rsidRDefault="00203EA4" w:rsidP="00F175A7">
      <w:pPr>
        <w:numPr>
          <w:ilvl w:val="0"/>
          <w:numId w:val="8"/>
        </w:numPr>
        <w:shd w:val="clear" w:color="auto" w:fill="FFFFFF"/>
        <w:spacing w:before="120" w:after="120" w:line="240" w:lineRule="auto"/>
        <w:ind w:left="0"/>
        <w:rPr>
          <w:rFonts w:eastAsia="Calibri"/>
          <w:szCs w:val="24"/>
        </w:rPr>
      </w:pPr>
      <w:r w:rsidRPr="00203EA4">
        <w:rPr>
          <w:rFonts w:eastAsia="Calibri"/>
          <w:szCs w:val="24"/>
        </w:rPr>
        <w:t>Au 31 décembre 2023, l’état de mise en œuvre de ces produits est satisfaisant avec des niveaux d’exécution de 100% de la cible en terme</w:t>
      </w:r>
      <w:r w:rsidR="000C47BD">
        <w:rPr>
          <w:rFonts w:eastAsia="Calibri"/>
          <w:szCs w:val="24"/>
        </w:rPr>
        <w:t>s</w:t>
      </w:r>
      <w:r w:rsidRPr="00203EA4">
        <w:rPr>
          <w:rFonts w:eastAsia="Calibri"/>
          <w:szCs w:val="24"/>
        </w:rPr>
        <w:t xml:space="preserve"> d’octroi de technologies de production, de transformation et de conservation à des femmes, de 85,21% pour l’octroi de crédits par les fonds nationaux de financement et de 100% en terme</w:t>
      </w:r>
      <w:r w:rsidR="000C47BD">
        <w:rPr>
          <w:rFonts w:eastAsia="Calibri"/>
          <w:szCs w:val="24"/>
        </w:rPr>
        <w:t>s</w:t>
      </w:r>
      <w:r w:rsidRPr="00203EA4">
        <w:rPr>
          <w:rFonts w:eastAsia="Calibri"/>
          <w:szCs w:val="24"/>
        </w:rPr>
        <w:t xml:space="preserve"> de formation des femmes bénéficiaires de crédits</w:t>
      </w:r>
      <w:r w:rsidR="000C41CB" w:rsidRPr="008D2129">
        <w:rPr>
          <w:rFonts w:eastAsia="Calibri"/>
          <w:szCs w:val="24"/>
        </w:rPr>
        <w:t>.</w:t>
      </w:r>
    </w:p>
    <w:p w14:paraId="290A5D98" w14:textId="1E8FF56F" w:rsidR="008008C3" w:rsidRDefault="008008C3">
      <w:pPr>
        <w:spacing w:after="0" w:line="240" w:lineRule="auto"/>
        <w:jc w:val="left"/>
      </w:pPr>
      <w:r>
        <w:br w:type="page"/>
      </w:r>
    </w:p>
    <w:p w14:paraId="620ADC68" w14:textId="67EBB0A3" w:rsidR="00901D23" w:rsidRPr="00901D23" w:rsidRDefault="00EA252D" w:rsidP="00901D23">
      <w:pPr>
        <w:pStyle w:val="PAT4"/>
      </w:pPr>
      <w:bookmarkStart w:id="129" w:name="_Toc163141234"/>
      <w:r w:rsidRPr="008D2129">
        <w:lastRenderedPageBreak/>
        <w:t>Objectif stratégique 3.6 : Améliorer le cadre de vie, l’accès à l’eau potable, à l’assainissement et aux services énergétiques de qualité</w:t>
      </w:r>
      <w:bookmarkEnd w:id="129"/>
    </w:p>
    <w:p w14:paraId="2B8B51BE" w14:textId="77777777"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L’amélioration du cadre de vie et de l’accès à l’eau potable, à l’assainissement et aux services énergétiques de qualité s’opérationnalise à travers trois (03) actions dont l’état de mise en œuvre au 31 décembre 2023 se présente comme suit.</w:t>
      </w:r>
    </w:p>
    <w:p w14:paraId="1ACBA2B8" w14:textId="77777777"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 xml:space="preserve">Concernant la première action portant sur </w:t>
      </w:r>
      <w:r w:rsidRPr="008139E1">
        <w:rPr>
          <w:rFonts w:eastAsia="Calibri"/>
          <w:b/>
          <w:szCs w:val="24"/>
        </w:rPr>
        <w:t>l’accès des populations à l’eau potable et à l’assainissement (03068)</w:t>
      </w:r>
      <w:r w:rsidRPr="00901D23">
        <w:rPr>
          <w:rFonts w:eastAsia="Calibri"/>
          <w:szCs w:val="24"/>
        </w:rPr>
        <w:t>, quatre (04) indicateurs permettent de mesurer l’atteinte de ces cibles comme l’illustre le tableau ci-dessous.</w:t>
      </w:r>
    </w:p>
    <w:p w14:paraId="112E2545" w14:textId="55C95C4B" w:rsidR="00901D23" w:rsidRPr="008008C3" w:rsidRDefault="00FD3B9B" w:rsidP="008139E1">
      <w:pPr>
        <w:pStyle w:val="Lgende"/>
        <w:rPr>
          <w:color w:val="auto"/>
          <w:sz w:val="22"/>
        </w:rPr>
      </w:pPr>
      <w:bookmarkStart w:id="130" w:name="_Toc164503648"/>
      <w:r w:rsidRPr="008008C3">
        <w:rPr>
          <w:b/>
          <w:i w:val="0"/>
          <w:color w:val="auto"/>
          <w:sz w:val="22"/>
          <w:szCs w:val="22"/>
          <w:u w:val="single"/>
        </w:rPr>
        <w:t xml:space="preserve">Tableau </w:t>
      </w:r>
      <w:r w:rsidRPr="008008C3">
        <w:rPr>
          <w:b/>
          <w:i w:val="0"/>
          <w:color w:val="auto"/>
          <w:sz w:val="22"/>
          <w:szCs w:val="22"/>
          <w:u w:val="single"/>
        </w:rPr>
        <w:fldChar w:fldCharType="begin"/>
      </w:r>
      <w:r w:rsidRPr="008008C3">
        <w:rPr>
          <w:b/>
          <w:i w:val="0"/>
          <w:color w:val="auto"/>
          <w:sz w:val="22"/>
          <w:szCs w:val="22"/>
          <w:u w:val="single"/>
        </w:rPr>
        <w:instrText xml:space="preserve"> SEQ Tableau \* ARABIC </w:instrText>
      </w:r>
      <w:r w:rsidRPr="008008C3">
        <w:rPr>
          <w:b/>
          <w:i w:val="0"/>
          <w:color w:val="auto"/>
          <w:sz w:val="22"/>
          <w:szCs w:val="22"/>
          <w:u w:val="single"/>
        </w:rPr>
        <w:fldChar w:fldCharType="separate"/>
      </w:r>
      <w:r w:rsidR="007C2E4E">
        <w:rPr>
          <w:b/>
          <w:i w:val="0"/>
          <w:noProof/>
          <w:color w:val="auto"/>
          <w:sz w:val="22"/>
          <w:szCs w:val="22"/>
          <w:u w:val="single"/>
        </w:rPr>
        <w:t>61</w:t>
      </w:r>
      <w:r w:rsidRPr="008008C3">
        <w:rPr>
          <w:b/>
          <w:i w:val="0"/>
          <w:color w:val="auto"/>
          <w:sz w:val="22"/>
          <w:szCs w:val="22"/>
          <w:u w:val="single"/>
        </w:rPr>
        <w:fldChar w:fldCharType="end"/>
      </w:r>
      <w:r w:rsidRPr="008008C3">
        <w:rPr>
          <w:i w:val="0"/>
          <w:color w:val="auto"/>
          <w:sz w:val="22"/>
          <w:szCs w:val="22"/>
        </w:rPr>
        <w:t xml:space="preserve">: </w:t>
      </w:r>
      <w:r w:rsidRPr="008008C3">
        <w:rPr>
          <w:i w:val="0"/>
          <w:color w:val="auto"/>
          <w:sz w:val="24"/>
          <w:szCs w:val="24"/>
        </w:rPr>
        <w:t>situation des indicateurs de l’action A03068</w:t>
      </w:r>
      <w:bookmarkEnd w:id="130"/>
    </w:p>
    <w:tbl>
      <w:tblPr>
        <w:tblStyle w:val="TableauGrille4-Accentuation119"/>
        <w:tblW w:w="5000" w:type="pct"/>
        <w:tblLook w:val="04A0" w:firstRow="1" w:lastRow="0" w:firstColumn="1" w:lastColumn="0" w:noHBand="0" w:noVBand="1"/>
      </w:tblPr>
      <w:tblGrid>
        <w:gridCol w:w="5305"/>
        <w:gridCol w:w="1351"/>
        <w:gridCol w:w="1168"/>
        <w:gridCol w:w="1192"/>
      </w:tblGrid>
      <w:tr w:rsidR="008A5421" w14:paraId="18E558BF" w14:textId="77777777" w:rsidTr="00F175A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942" w:type="pct"/>
            <w:shd w:val="clear" w:color="auto" w:fill="4472C4" w:themeFill="accent1"/>
          </w:tcPr>
          <w:p w14:paraId="325872ED" w14:textId="77777777" w:rsidR="00901D23" w:rsidRDefault="00901D23" w:rsidP="00F175A7">
            <w:pPr>
              <w:spacing w:after="0" w:line="240" w:lineRule="auto"/>
              <w:ind w:firstLine="0"/>
            </w:pPr>
            <w:r w:rsidRPr="00E31E23">
              <w:t>Indicateurs</w:t>
            </w:r>
          </w:p>
        </w:tc>
        <w:tc>
          <w:tcPr>
            <w:tcW w:w="749" w:type="pct"/>
            <w:shd w:val="clear" w:color="auto" w:fill="4472C4" w:themeFill="accent1"/>
          </w:tcPr>
          <w:p w14:paraId="063DC40B" w14:textId="77777777" w:rsidR="00901D23" w:rsidRDefault="00901D2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Réf. 2022</w:t>
            </w:r>
          </w:p>
        </w:tc>
        <w:tc>
          <w:tcPr>
            <w:tcW w:w="648" w:type="pct"/>
            <w:shd w:val="clear" w:color="auto" w:fill="4472C4" w:themeFill="accent1"/>
          </w:tcPr>
          <w:p w14:paraId="0A969A96" w14:textId="77777777" w:rsidR="00901D23" w:rsidRDefault="00901D2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2023</w:t>
            </w:r>
          </w:p>
        </w:tc>
        <w:tc>
          <w:tcPr>
            <w:tcW w:w="661" w:type="pct"/>
            <w:shd w:val="clear" w:color="auto" w:fill="4472C4" w:themeFill="accent1"/>
          </w:tcPr>
          <w:p w14:paraId="4EB535FF" w14:textId="77777777" w:rsidR="00901D23" w:rsidRDefault="00901D2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Cible 2023</w:t>
            </w:r>
          </w:p>
        </w:tc>
      </w:tr>
      <w:tr w:rsidR="00901D23" w14:paraId="23BCB70F" w14:textId="77777777" w:rsidTr="00F175A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E599" w:themeFill="accent4" w:themeFillTint="66"/>
          </w:tcPr>
          <w:p w14:paraId="318A5A73" w14:textId="77777777" w:rsidR="00901D23" w:rsidRDefault="00901D23" w:rsidP="00F175A7">
            <w:pPr>
              <w:spacing w:after="0" w:line="240" w:lineRule="auto"/>
              <w:ind w:firstLine="0"/>
              <w:jc w:val="center"/>
            </w:pPr>
            <w:r w:rsidRPr="00E31E23">
              <w:t>Approvisionnement en eau potable</w:t>
            </w:r>
          </w:p>
        </w:tc>
      </w:tr>
      <w:tr w:rsidR="008A5421" w14:paraId="60D507F4" w14:textId="77777777" w:rsidTr="008A5421">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19C786A7" w14:textId="77777777" w:rsidR="00901D23" w:rsidRDefault="00901D23" w:rsidP="00F175A7">
            <w:pPr>
              <w:spacing w:after="0" w:line="240" w:lineRule="auto"/>
              <w:ind w:firstLine="0"/>
            </w:pPr>
            <w:r w:rsidRPr="00E31E23">
              <w:t>Taux d'accès national à l'eau potable (%)</w:t>
            </w:r>
          </w:p>
        </w:tc>
        <w:tc>
          <w:tcPr>
            <w:tcW w:w="749" w:type="pct"/>
          </w:tcPr>
          <w:p w14:paraId="16858418"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76,3</w:t>
            </w:r>
          </w:p>
        </w:tc>
        <w:tc>
          <w:tcPr>
            <w:tcW w:w="648" w:type="pct"/>
          </w:tcPr>
          <w:p w14:paraId="1B2954E1" w14:textId="7915ACC4"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7</w:t>
            </w:r>
            <w:r w:rsidR="00513EBE">
              <w:t>8</w:t>
            </w:r>
            <w:r w:rsidRPr="00E31E23">
              <w:t>,3</w:t>
            </w:r>
          </w:p>
        </w:tc>
        <w:tc>
          <w:tcPr>
            <w:tcW w:w="661" w:type="pct"/>
          </w:tcPr>
          <w:p w14:paraId="1BA9EC25"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77,2</w:t>
            </w:r>
          </w:p>
        </w:tc>
      </w:tr>
      <w:tr w:rsidR="008A5421" w14:paraId="57084E48" w14:textId="77777777" w:rsidTr="008A54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679F048A" w14:textId="77777777" w:rsidR="00901D23" w:rsidRDefault="00901D23" w:rsidP="00F175A7">
            <w:pPr>
              <w:spacing w:after="0" w:line="240" w:lineRule="auto"/>
              <w:ind w:firstLine="0"/>
            </w:pPr>
            <w:r w:rsidRPr="00E31E23">
              <w:t>Taux d'accès à l'eau potable en milieu rural (%)</w:t>
            </w:r>
          </w:p>
        </w:tc>
        <w:tc>
          <w:tcPr>
            <w:tcW w:w="749" w:type="pct"/>
          </w:tcPr>
          <w:p w14:paraId="5A7E075C"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69,6</w:t>
            </w:r>
          </w:p>
        </w:tc>
        <w:tc>
          <w:tcPr>
            <w:tcW w:w="648" w:type="pct"/>
          </w:tcPr>
          <w:p w14:paraId="2FED3D79" w14:textId="4F91DEED" w:rsidR="00901D23" w:rsidRDefault="00513EBE" w:rsidP="00513EBE">
            <w:pPr>
              <w:spacing w:after="0" w:line="240" w:lineRule="auto"/>
              <w:cnfStyle w:val="000000100000" w:firstRow="0" w:lastRow="0" w:firstColumn="0" w:lastColumn="0" w:oddVBand="0" w:evenVBand="0" w:oddHBand="1" w:evenHBand="0" w:firstRowFirstColumn="0" w:firstRowLastColumn="0" w:lastRowFirstColumn="0" w:lastRowLastColumn="0"/>
            </w:pPr>
            <w:r>
              <w:t>71,3</w:t>
            </w:r>
          </w:p>
        </w:tc>
        <w:tc>
          <w:tcPr>
            <w:tcW w:w="661" w:type="pct"/>
          </w:tcPr>
          <w:p w14:paraId="3B5C17C2"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70,4</w:t>
            </w:r>
          </w:p>
        </w:tc>
      </w:tr>
      <w:tr w:rsidR="008A5421" w14:paraId="38269913" w14:textId="77777777" w:rsidTr="008A5421">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74B01411" w14:textId="77777777" w:rsidR="00901D23" w:rsidRDefault="00901D23" w:rsidP="00F175A7">
            <w:pPr>
              <w:spacing w:after="0" w:line="240" w:lineRule="auto"/>
              <w:ind w:firstLine="0"/>
            </w:pPr>
            <w:r w:rsidRPr="00E31E23">
              <w:t>Taux d'accès à l'eau potable en milieu urbain (%)</w:t>
            </w:r>
          </w:p>
        </w:tc>
        <w:tc>
          <w:tcPr>
            <w:tcW w:w="749" w:type="pct"/>
          </w:tcPr>
          <w:p w14:paraId="21FED04E"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92,0</w:t>
            </w:r>
          </w:p>
        </w:tc>
        <w:tc>
          <w:tcPr>
            <w:tcW w:w="648" w:type="pct"/>
          </w:tcPr>
          <w:p w14:paraId="478A0B30"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92,4</w:t>
            </w:r>
          </w:p>
        </w:tc>
        <w:tc>
          <w:tcPr>
            <w:tcW w:w="661" w:type="pct"/>
          </w:tcPr>
          <w:p w14:paraId="15DC1BE3"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95,9</w:t>
            </w:r>
          </w:p>
        </w:tc>
      </w:tr>
      <w:tr w:rsidR="00901D23" w14:paraId="7F1386A2"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E599" w:themeFill="accent4" w:themeFillTint="66"/>
          </w:tcPr>
          <w:p w14:paraId="3BCB3DED" w14:textId="77777777" w:rsidR="00901D23" w:rsidRDefault="00901D23" w:rsidP="00F175A7">
            <w:pPr>
              <w:spacing w:after="0" w:line="240" w:lineRule="auto"/>
              <w:jc w:val="center"/>
            </w:pPr>
            <w:r w:rsidRPr="00E31E23">
              <w:t>Assainissement</w:t>
            </w:r>
          </w:p>
        </w:tc>
      </w:tr>
      <w:tr w:rsidR="008A5421" w14:paraId="65A7B60B" w14:textId="77777777" w:rsidTr="008A5421">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2B20F761" w14:textId="77777777" w:rsidR="00901D23" w:rsidRDefault="00901D23" w:rsidP="00F175A7">
            <w:pPr>
              <w:spacing w:after="0" w:line="240" w:lineRule="auto"/>
              <w:ind w:firstLine="0"/>
            </w:pPr>
            <w:r w:rsidRPr="00E31E23">
              <w:t>Taux d'accès à l'assainissement (%)</w:t>
            </w:r>
          </w:p>
        </w:tc>
        <w:tc>
          <w:tcPr>
            <w:tcW w:w="749" w:type="pct"/>
          </w:tcPr>
          <w:p w14:paraId="2ABF07E6"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27,5</w:t>
            </w:r>
          </w:p>
        </w:tc>
        <w:tc>
          <w:tcPr>
            <w:tcW w:w="648" w:type="pct"/>
          </w:tcPr>
          <w:p w14:paraId="7D9EDD37"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28,0</w:t>
            </w:r>
          </w:p>
        </w:tc>
        <w:tc>
          <w:tcPr>
            <w:tcW w:w="661" w:type="pct"/>
          </w:tcPr>
          <w:p w14:paraId="52997EF1"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28</w:t>
            </w:r>
          </w:p>
        </w:tc>
      </w:tr>
      <w:tr w:rsidR="008A5421" w14:paraId="7DD487A4" w14:textId="77777777" w:rsidTr="008A54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6DFFC3AC" w14:textId="77777777" w:rsidR="00901D23" w:rsidRDefault="00901D23" w:rsidP="00F175A7">
            <w:pPr>
              <w:spacing w:after="0" w:line="240" w:lineRule="auto"/>
              <w:ind w:firstLine="0"/>
            </w:pPr>
            <w:r w:rsidRPr="00E31E23">
              <w:t>Taux d'accès à l’assainissement en milieu rural (%)</w:t>
            </w:r>
          </w:p>
        </w:tc>
        <w:tc>
          <w:tcPr>
            <w:tcW w:w="749" w:type="pct"/>
          </w:tcPr>
          <w:p w14:paraId="08028B1C"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21,9</w:t>
            </w:r>
          </w:p>
        </w:tc>
        <w:tc>
          <w:tcPr>
            <w:tcW w:w="648" w:type="pct"/>
          </w:tcPr>
          <w:p w14:paraId="649F5AC1"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22,7</w:t>
            </w:r>
          </w:p>
        </w:tc>
        <w:tc>
          <w:tcPr>
            <w:tcW w:w="661" w:type="pct"/>
          </w:tcPr>
          <w:p w14:paraId="5069970C"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22,5</w:t>
            </w:r>
          </w:p>
        </w:tc>
      </w:tr>
      <w:tr w:rsidR="008A5421" w14:paraId="00033EEB" w14:textId="77777777" w:rsidTr="008A5421">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5D648813" w14:textId="77777777" w:rsidR="00901D23" w:rsidRDefault="00901D23" w:rsidP="00F175A7">
            <w:pPr>
              <w:spacing w:after="0" w:line="240" w:lineRule="auto"/>
              <w:ind w:firstLine="0"/>
            </w:pPr>
            <w:r w:rsidRPr="00E31E23">
              <w:t>Taux d'accès à l'assainissement en milieu urbain (%)</w:t>
            </w:r>
          </w:p>
        </w:tc>
        <w:tc>
          <w:tcPr>
            <w:tcW w:w="749" w:type="pct"/>
          </w:tcPr>
          <w:p w14:paraId="74C53783"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40,8</w:t>
            </w:r>
          </w:p>
        </w:tc>
        <w:tc>
          <w:tcPr>
            <w:tcW w:w="648" w:type="pct"/>
          </w:tcPr>
          <w:p w14:paraId="4CEF8B09"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40,5</w:t>
            </w:r>
          </w:p>
        </w:tc>
        <w:tc>
          <w:tcPr>
            <w:tcW w:w="661" w:type="pct"/>
          </w:tcPr>
          <w:p w14:paraId="1CB5A838"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41</w:t>
            </w:r>
          </w:p>
        </w:tc>
      </w:tr>
      <w:tr w:rsidR="008A5421" w14:paraId="75DEF97B" w14:textId="77777777" w:rsidTr="008A542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1791774B" w14:textId="77777777" w:rsidR="00901D23" w:rsidRDefault="00901D23" w:rsidP="00F175A7">
            <w:pPr>
              <w:spacing w:after="0" w:line="240" w:lineRule="auto"/>
              <w:ind w:firstLine="0"/>
            </w:pPr>
            <w:r w:rsidRPr="00E31E23">
              <w:t>Proportion de communes urbaines disposant d'un système fonctionnel de gestion des déchets solides (%)</w:t>
            </w:r>
          </w:p>
        </w:tc>
        <w:tc>
          <w:tcPr>
            <w:tcW w:w="749" w:type="pct"/>
          </w:tcPr>
          <w:p w14:paraId="429A3B62"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24,5</w:t>
            </w:r>
          </w:p>
        </w:tc>
        <w:tc>
          <w:tcPr>
            <w:tcW w:w="648" w:type="pct"/>
          </w:tcPr>
          <w:p w14:paraId="31E4FCAD"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16,3</w:t>
            </w:r>
          </w:p>
        </w:tc>
        <w:tc>
          <w:tcPr>
            <w:tcW w:w="661" w:type="pct"/>
          </w:tcPr>
          <w:p w14:paraId="38BE4161"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30,6</w:t>
            </w:r>
          </w:p>
        </w:tc>
      </w:tr>
      <w:tr w:rsidR="008A5421" w14:paraId="172DEB59" w14:textId="77777777" w:rsidTr="008A5421">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0615DC52" w14:textId="77777777" w:rsidR="00901D23" w:rsidRDefault="00901D23" w:rsidP="00F175A7">
            <w:pPr>
              <w:spacing w:after="0" w:line="240" w:lineRule="auto"/>
              <w:ind w:firstLine="0"/>
            </w:pPr>
            <w:r w:rsidRPr="00E31E23">
              <w:t>Proportion de la population satisfaite de la qualité du cadre de vie dans les trois plus grandes villes du Burkina Faso (%)</w:t>
            </w:r>
          </w:p>
        </w:tc>
        <w:tc>
          <w:tcPr>
            <w:tcW w:w="749" w:type="pct"/>
          </w:tcPr>
          <w:p w14:paraId="0FB1FA5A" w14:textId="77777777" w:rsidR="00901D23" w:rsidRPr="00E31E23" w:rsidRDefault="00901D23" w:rsidP="00F175A7">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pPr>
            <w:r w:rsidRPr="00E31E23">
              <w:t>12,7</w:t>
            </w:r>
          </w:p>
          <w:p w14:paraId="39DE09E4"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 xml:space="preserve"> (2020)</w:t>
            </w:r>
          </w:p>
        </w:tc>
        <w:tc>
          <w:tcPr>
            <w:tcW w:w="648" w:type="pct"/>
          </w:tcPr>
          <w:p w14:paraId="162E3657"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13,9</w:t>
            </w:r>
          </w:p>
        </w:tc>
        <w:tc>
          <w:tcPr>
            <w:tcW w:w="661" w:type="pct"/>
          </w:tcPr>
          <w:p w14:paraId="05E7582A"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14,5</w:t>
            </w:r>
          </w:p>
        </w:tc>
      </w:tr>
    </w:tbl>
    <w:p w14:paraId="57AA6FA0" w14:textId="5393CFE4" w:rsidR="00901D23" w:rsidRPr="00F175A7" w:rsidRDefault="00901D23" w:rsidP="00901D23">
      <w:pPr>
        <w:shd w:val="clear" w:color="auto" w:fill="FFFFFF"/>
        <w:spacing w:before="120" w:after="120" w:line="276" w:lineRule="auto"/>
        <w:rPr>
          <w:sz w:val="20"/>
          <w:szCs w:val="20"/>
        </w:rPr>
      </w:pPr>
      <w:r w:rsidRPr="00F175A7">
        <w:rPr>
          <w:b/>
          <w:sz w:val="20"/>
          <w:szCs w:val="20"/>
        </w:rPr>
        <w:t>Source</w:t>
      </w:r>
      <w:r w:rsidR="00287D1E">
        <w:rPr>
          <w:sz w:val="20"/>
          <w:szCs w:val="20"/>
        </w:rPr>
        <w:t xml:space="preserve"> : r</w:t>
      </w:r>
      <w:r w:rsidRPr="00F175A7">
        <w:rPr>
          <w:sz w:val="20"/>
          <w:szCs w:val="20"/>
        </w:rPr>
        <w:t xml:space="preserve">apport </w:t>
      </w:r>
      <w:r w:rsidR="00287D1E">
        <w:rPr>
          <w:sz w:val="20"/>
          <w:szCs w:val="20"/>
        </w:rPr>
        <w:t xml:space="preserve">annuel </w:t>
      </w:r>
      <w:r w:rsidRPr="00F175A7">
        <w:rPr>
          <w:sz w:val="20"/>
          <w:szCs w:val="20"/>
        </w:rPr>
        <w:t xml:space="preserve">de performance </w:t>
      </w:r>
      <w:r w:rsidR="00287D1E">
        <w:rPr>
          <w:sz w:val="20"/>
          <w:szCs w:val="20"/>
        </w:rPr>
        <w:t>2023 du CSD-</w:t>
      </w:r>
      <w:r w:rsidRPr="00F175A7">
        <w:rPr>
          <w:sz w:val="20"/>
          <w:szCs w:val="20"/>
        </w:rPr>
        <w:t xml:space="preserve">EEA, </w:t>
      </w:r>
      <w:r w:rsidR="000C47BD">
        <w:rPr>
          <w:sz w:val="20"/>
          <w:szCs w:val="20"/>
        </w:rPr>
        <w:t>f</w:t>
      </w:r>
      <w:r w:rsidRPr="00F175A7">
        <w:rPr>
          <w:sz w:val="20"/>
          <w:szCs w:val="20"/>
        </w:rPr>
        <w:t>évrier 2024</w:t>
      </w:r>
    </w:p>
    <w:p w14:paraId="4089331A" w14:textId="689B4946" w:rsidR="00901D23" w:rsidRPr="00513EBE" w:rsidRDefault="00513EBE" w:rsidP="008139E1">
      <w:pPr>
        <w:numPr>
          <w:ilvl w:val="0"/>
          <w:numId w:val="8"/>
        </w:numPr>
        <w:spacing w:before="120" w:after="120" w:line="240" w:lineRule="auto"/>
        <w:ind w:left="0"/>
        <w:rPr>
          <w:rFonts w:eastAsia="Calibri"/>
          <w:szCs w:val="24"/>
        </w:rPr>
      </w:pPr>
      <w:r w:rsidRPr="00513EBE">
        <w:rPr>
          <w:rFonts w:eastAsia="Calibri"/>
          <w:szCs w:val="24"/>
        </w:rPr>
        <w:t xml:space="preserve">Au 31 décembre 2023, le taux d’accès à l’assainissement et le taux d’accès national à l’eau potable ont connu une évolution </w:t>
      </w:r>
      <w:r w:rsidRPr="008139E1">
        <w:rPr>
          <w:rFonts w:eastAsia="Calibri"/>
          <w:szCs w:val="24"/>
        </w:rPr>
        <w:t xml:space="preserve">appréciable grâce aux efforts d’amélioration de l’approvisionnement des populations </w:t>
      </w:r>
      <w:r w:rsidR="000C47BD">
        <w:rPr>
          <w:rFonts w:eastAsia="Calibri"/>
          <w:szCs w:val="24"/>
        </w:rPr>
        <w:t>en</w:t>
      </w:r>
      <w:r w:rsidRPr="008139E1">
        <w:rPr>
          <w:rFonts w:eastAsia="Calibri"/>
          <w:szCs w:val="24"/>
        </w:rPr>
        <w:t xml:space="preserve"> l’eau potable et la réalisation d’ouvrages d’assainissement notamment en milieu rural</w:t>
      </w:r>
      <w:r w:rsidRPr="00513EBE">
        <w:rPr>
          <w:rFonts w:eastAsia="Calibri"/>
          <w:szCs w:val="24"/>
        </w:rPr>
        <w:t>. Les autres indicateurs relatifs à la gestion des déchets solides urbains et à l’amélioration de la qualité du cadre de vie n’ont pas atteint leur cible. Aussi, en comparaison avec l’année 2022, la proportion des communes urbaines disposant d'un système fonctionnel de gestion des déchets solides a connu un repli dû à l’arrivée à l’échéance des schémas simplifiés de 04 communes et à l’absence de nouveaux schémas élaborés</w:t>
      </w:r>
      <w:r w:rsidR="00901D23" w:rsidRPr="008139E1">
        <w:rPr>
          <w:rFonts w:eastAsia="Calibri"/>
          <w:szCs w:val="24"/>
        </w:rPr>
        <w:t>.</w:t>
      </w:r>
    </w:p>
    <w:p w14:paraId="6A7A4E73" w14:textId="00F2D4D7"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 xml:space="preserve">Relativement à l’accès à l’eau potable, </w:t>
      </w:r>
      <w:r w:rsidR="00513EBE">
        <w:rPr>
          <w:rFonts w:eastAsia="Calibri"/>
          <w:szCs w:val="24"/>
        </w:rPr>
        <w:t>les</w:t>
      </w:r>
      <w:r w:rsidR="00513EBE" w:rsidRPr="00873AF7">
        <w:rPr>
          <w:rFonts w:eastAsia="Calibri"/>
          <w:szCs w:val="24"/>
        </w:rPr>
        <w:t xml:space="preserve"> niveaux de réalisation des produits programmés ressortent</w:t>
      </w:r>
      <w:r w:rsidR="00513EBE">
        <w:rPr>
          <w:rFonts w:eastAsia="Calibri"/>
          <w:szCs w:val="24"/>
        </w:rPr>
        <w:t xml:space="preserve"> dans le tableau ci-dessous</w:t>
      </w:r>
      <w:r w:rsidRPr="00901D23">
        <w:rPr>
          <w:rFonts w:eastAsia="Calibri"/>
          <w:szCs w:val="24"/>
        </w:rPr>
        <w:t>.</w:t>
      </w:r>
    </w:p>
    <w:p w14:paraId="71208218" w14:textId="65026626" w:rsidR="00901D23" w:rsidRPr="008A5421" w:rsidRDefault="00FD3B9B" w:rsidP="005006BF">
      <w:pPr>
        <w:keepNext/>
        <w:keepLines/>
        <w:shd w:val="clear" w:color="auto" w:fill="FFFFFF"/>
        <w:spacing w:before="240" w:after="240" w:line="240" w:lineRule="auto"/>
        <w:rPr>
          <w:sz w:val="22"/>
        </w:rPr>
      </w:pPr>
      <w:bookmarkStart w:id="131" w:name="_Toc164503649"/>
      <w:r w:rsidRPr="008139E1">
        <w:rPr>
          <w:b/>
          <w:sz w:val="22"/>
          <w:u w:val="single"/>
        </w:rPr>
        <w:lastRenderedPageBreak/>
        <w:t xml:space="preserve">Tableau </w:t>
      </w:r>
      <w:r w:rsidRPr="008139E1">
        <w:rPr>
          <w:b/>
          <w:sz w:val="22"/>
          <w:u w:val="single"/>
        </w:rPr>
        <w:fldChar w:fldCharType="begin"/>
      </w:r>
      <w:r w:rsidRPr="008139E1">
        <w:rPr>
          <w:b/>
          <w:sz w:val="22"/>
          <w:u w:val="single"/>
        </w:rPr>
        <w:instrText xml:space="preserve"> SEQ Tableau \* ARABIC </w:instrText>
      </w:r>
      <w:r w:rsidRPr="008139E1">
        <w:rPr>
          <w:b/>
          <w:sz w:val="22"/>
          <w:u w:val="single"/>
        </w:rPr>
        <w:fldChar w:fldCharType="separate"/>
      </w:r>
      <w:r w:rsidR="007C2E4E">
        <w:rPr>
          <w:b/>
          <w:noProof/>
          <w:sz w:val="22"/>
          <w:u w:val="single"/>
        </w:rPr>
        <w:t>62</w:t>
      </w:r>
      <w:r w:rsidRPr="008139E1">
        <w:rPr>
          <w:b/>
          <w:sz w:val="22"/>
          <w:u w:val="single"/>
        </w:rPr>
        <w:fldChar w:fldCharType="end"/>
      </w:r>
      <w:r w:rsidRPr="008139E1">
        <w:rPr>
          <w:sz w:val="22"/>
        </w:rPr>
        <w:t xml:space="preserve">: </w:t>
      </w:r>
      <w:r w:rsidRPr="00FD3B9B">
        <w:rPr>
          <w:szCs w:val="24"/>
        </w:rPr>
        <w:t>situation des indicateurs de produits relatifs à l’approvisionnement en eau potable au 31 décembre 2023</w:t>
      </w:r>
      <w:bookmarkEnd w:id="131"/>
    </w:p>
    <w:tbl>
      <w:tblPr>
        <w:tblStyle w:val="TableauGrille4-Accentuation119"/>
        <w:tblW w:w="5000" w:type="pct"/>
        <w:tblLook w:val="04A0" w:firstRow="1" w:lastRow="0" w:firstColumn="1" w:lastColumn="0" w:noHBand="0" w:noVBand="1"/>
      </w:tblPr>
      <w:tblGrid>
        <w:gridCol w:w="4944"/>
        <w:gridCol w:w="1351"/>
        <w:gridCol w:w="1351"/>
        <w:gridCol w:w="1370"/>
      </w:tblGrid>
      <w:tr w:rsidR="00901D23" w14:paraId="093AA69F" w14:textId="77777777" w:rsidTr="00F1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shd w:val="clear" w:color="auto" w:fill="4472C4" w:themeFill="accent1"/>
          </w:tcPr>
          <w:p w14:paraId="072BB747" w14:textId="52A2C01A" w:rsidR="00901D23" w:rsidRDefault="00901D23" w:rsidP="00F175A7">
            <w:pPr>
              <w:keepNext/>
              <w:keepLines/>
              <w:spacing w:after="0" w:line="240" w:lineRule="auto"/>
              <w:ind w:firstLine="0"/>
            </w:pPr>
            <w:r w:rsidRPr="00E31E23">
              <w:t xml:space="preserve">Indicateurs </w:t>
            </w:r>
          </w:p>
        </w:tc>
        <w:tc>
          <w:tcPr>
            <w:tcW w:w="749" w:type="pct"/>
            <w:shd w:val="clear" w:color="auto" w:fill="4472C4" w:themeFill="accent1"/>
          </w:tcPr>
          <w:p w14:paraId="3322C947" w14:textId="77777777" w:rsidR="00901D23" w:rsidRDefault="00901D23"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E31E23">
              <w:t>Réal. 2022</w:t>
            </w:r>
          </w:p>
        </w:tc>
        <w:tc>
          <w:tcPr>
            <w:tcW w:w="749" w:type="pct"/>
            <w:shd w:val="clear" w:color="auto" w:fill="4472C4" w:themeFill="accent1"/>
          </w:tcPr>
          <w:p w14:paraId="58908242" w14:textId="77777777" w:rsidR="00901D23" w:rsidRDefault="00901D23"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E31E23">
              <w:t>Réal 2023</w:t>
            </w:r>
          </w:p>
        </w:tc>
        <w:tc>
          <w:tcPr>
            <w:tcW w:w="760" w:type="pct"/>
            <w:shd w:val="clear" w:color="auto" w:fill="4472C4" w:themeFill="accent1"/>
          </w:tcPr>
          <w:p w14:paraId="3AE1F32C" w14:textId="77777777" w:rsidR="00901D23" w:rsidRDefault="00901D23" w:rsidP="00F175A7">
            <w:pPr>
              <w:keepNext/>
              <w:keepLines/>
              <w:spacing w:after="0" w:line="240" w:lineRule="auto"/>
              <w:cnfStyle w:val="100000000000" w:firstRow="1" w:lastRow="0" w:firstColumn="0" w:lastColumn="0" w:oddVBand="0" w:evenVBand="0" w:oddHBand="0" w:evenHBand="0" w:firstRowFirstColumn="0" w:firstRowLastColumn="0" w:lastRowFirstColumn="0" w:lastRowLastColumn="0"/>
            </w:pPr>
            <w:r w:rsidRPr="00E31E23">
              <w:t>Cible 2023</w:t>
            </w:r>
          </w:p>
        </w:tc>
      </w:tr>
      <w:tr w:rsidR="00513EBE" w14:paraId="01CC821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2A16C7C1" w14:textId="77777777" w:rsidR="00513EBE" w:rsidRDefault="00513EBE" w:rsidP="00513EBE">
            <w:pPr>
              <w:keepNext/>
              <w:keepLines/>
              <w:spacing w:after="0" w:line="240" w:lineRule="auto"/>
              <w:ind w:firstLine="0"/>
            </w:pPr>
            <w:r w:rsidRPr="00E31E23">
              <w:t>Nombre de forages équipés de PMH réalisés</w:t>
            </w:r>
          </w:p>
        </w:tc>
        <w:tc>
          <w:tcPr>
            <w:tcW w:w="749" w:type="pct"/>
          </w:tcPr>
          <w:p w14:paraId="46F9EE1C"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1 893</w:t>
            </w:r>
          </w:p>
        </w:tc>
        <w:tc>
          <w:tcPr>
            <w:tcW w:w="749" w:type="pct"/>
          </w:tcPr>
          <w:p w14:paraId="7D308E72" w14:textId="6315EBE3"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 xml:space="preserve">1 </w:t>
            </w:r>
            <w:r w:rsidR="00FE6ADA">
              <w:t>566</w:t>
            </w:r>
          </w:p>
        </w:tc>
        <w:tc>
          <w:tcPr>
            <w:tcW w:w="760" w:type="pct"/>
          </w:tcPr>
          <w:p w14:paraId="4AD5A94B"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1 100</w:t>
            </w:r>
          </w:p>
        </w:tc>
      </w:tr>
      <w:tr w:rsidR="00513EBE" w14:paraId="7E24E278"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1DA71F52" w14:textId="77777777" w:rsidR="00513EBE" w:rsidRDefault="00513EBE" w:rsidP="00513EBE">
            <w:pPr>
              <w:keepNext/>
              <w:keepLines/>
              <w:spacing w:after="0" w:line="240" w:lineRule="auto"/>
              <w:ind w:firstLine="0"/>
            </w:pPr>
            <w:r w:rsidRPr="00E31E23">
              <w:t>Nombre de PEA réalisés</w:t>
            </w:r>
          </w:p>
        </w:tc>
        <w:tc>
          <w:tcPr>
            <w:tcW w:w="749" w:type="pct"/>
          </w:tcPr>
          <w:p w14:paraId="2F694F67"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352</w:t>
            </w:r>
          </w:p>
        </w:tc>
        <w:tc>
          <w:tcPr>
            <w:tcW w:w="749" w:type="pct"/>
          </w:tcPr>
          <w:p w14:paraId="7617FF40" w14:textId="5B075115"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1</w:t>
            </w:r>
            <w:r w:rsidR="00FE6ADA">
              <w:t>81</w:t>
            </w:r>
          </w:p>
        </w:tc>
        <w:tc>
          <w:tcPr>
            <w:tcW w:w="760" w:type="pct"/>
          </w:tcPr>
          <w:p w14:paraId="11A83C7B"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115</w:t>
            </w:r>
          </w:p>
        </w:tc>
      </w:tr>
      <w:tr w:rsidR="00513EBE" w14:paraId="759E27B3"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681100BD" w14:textId="2E56C208" w:rsidR="00513EBE" w:rsidRDefault="00513EBE" w:rsidP="00513EBE">
            <w:pPr>
              <w:keepNext/>
              <w:keepLines/>
              <w:spacing w:after="0" w:line="240" w:lineRule="auto"/>
              <w:ind w:firstLine="0"/>
            </w:pPr>
            <w:r w:rsidRPr="00E31E23">
              <w:t>Nombre d'AEPS neuves réalisé</w:t>
            </w:r>
            <w:r w:rsidR="000C47BD">
              <w:t>e</w:t>
            </w:r>
            <w:r w:rsidRPr="00E31E23">
              <w:t>s</w:t>
            </w:r>
          </w:p>
        </w:tc>
        <w:tc>
          <w:tcPr>
            <w:tcW w:w="749" w:type="pct"/>
          </w:tcPr>
          <w:p w14:paraId="6F564945"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304</w:t>
            </w:r>
          </w:p>
        </w:tc>
        <w:tc>
          <w:tcPr>
            <w:tcW w:w="749" w:type="pct"/>
          </w:tcPr>
          <w:p w14:paraId="5C45CA82" w14:textId="42BE88DE" w:rsidR="00513EBE" w:rsidRDefault="00FE6ADA"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t>389</w:t>
            </w:r>
          </w:p>
        </w:tc>
        <w:tc>
          <w:tcPr>
            <w:tcW w:w="760" w:type="pct"/>
          </w:tcPr>
          <w:p w14:paraId="7C76D389"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203</w:t>
            </w:r>
          </w:p>
        </w:tc>
      </w:tr>
      <w:tr w:rsidR="00513EBE" w14:paraId="3358F28B"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4F6604D3" w14:textId="07BD6A21" w:rsidR="00513EBE" w:rsidRDefault="00513EBE" w:rsidP="00513EBE">
            <w:pPr>
              <w:keepNext/>
              <w:keepLines/>
              <w:spacing w:after="0" w:line="240" w:lineRule="auto"/>
              <w:ind w:firstLine="0"/>
            </w:pPr>
            <w:r w:rsidRPr="00E31E23">
              <w:t xml:space="preserve">Nombre </w:t>
            </w:r>
            <w:r w:rsidR="000C47BD">
              <w:t>d’</w:t>
            </w:r>
            <w:r w:rsidRPr="00E31E23">
              <w:t>AEPS réhabilitées</w:t>
            </w:r>
          </w:p>
        </w:tc>
        <w:tc>
          <w:tcPr>
            <w:tcW w:w="749" w:type="pct"/>
          </w:tcPr>
          <w:p w14:paraId="17D3E3CD"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27</w:t>
            </w:r>
          </w:p>
        </w:tc>
        <w:tc>
          <w:tcPr>
            <w:tcW w:w="749" w:type="pct"/>
          </w:tcPr>
          <w:p w14:paraId="36D6FE73" w14:textId="25F2D3DE"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17</w:t>
            </w:r>
          </w:p>
        </w:tc>
        <w:tc>
          <w:tcPr>
            <w:tcW w:w="760" w:type="pct"/>
          </w:tcPr>
          <w:p w14:paraId="70EC467C"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44</w:t>
            </w:r>
          </w:p>
        </w:tc>
      </w:tr>
      <w:tr w:rsidR="00513EBE" w14:paraId="062262C6"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765D7CC2" w14:textId="77777777" w:rsidR="00513EBE" w:rsidRDefault="00513EBE" w:rsidP="00513EBE">
            <w:pPr>
              <w:keepNext/>
              <w:keepLines/>
              <w:spacing w:after="0" w:line="240" w:lineRule="auto"/>
              <w:ind w:firstLine="0"/>
            </w:pPr>
            <w:r w:rsidRPr="00E31E23">
              <w:t>Nombre de forages équipés de PMH réhabilités</w:t>
            </w:r>
          </w:p>
        </w:tc>
        <w:tc>
          <w:tcPr>
            <w:tcW w:w="749" w:type="pct"/>
          </w:tcPr>
          <w:p w14:paraId="7B881C81"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494</w:t>
            </w:r>
          </w:p>
        </w:tc>
        <w:tc>
          <w:tcPr>
            <w:tcW w:w="749" w:type="pct"/>
          </w:tcPr>
          <w:p w14:paraId="2FBA6EC9" w14:textId="22957841" w:rsidR="00513EBE" w:rsidRDefault="00FE6ADA"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t>582</w:t>
            </w:r>
          </w:p>
        </w:tc>
        <w:tc>
          <w:tcPr>
            <w:tcW w:w="760" w:type="pct"/>
          </w:tcPr>
          <w:p w14:paraId="1E38DA7B"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725</w:t>
            </w:r>
          </w:p>
        </w:tc>
      </w:tr>
      <w:tr w:rsidR="00513EBE" w14:paraId="4FA9EE71"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70340158" w14:textId="77777777" w:rsidR="00513EBE" w:rsidRDefault="00513EBE" w:rsidP="00513EBE">
            <w:pPr>
              <w:keepNext/>
              <w:keepLines/>
              <w:spacing w:after="0" w:line="240" w:lineRule="auto"/>
              <w:ind w:firstLine="0"/>
            </w:pPr>
            <w:r w:rsidRPr="00E31E23">
              <w:t>Longueur de réseau de distribution d’eau réalisée</w:t>
            </w:r>
          </w:p>
        </w:tc>
        <w:tc>
          <w:tcPr>
            <w:tcW w:w="749" w:type="pct"/>
          </w:tcPr>
          <w:p w14:paraId="16248EBF"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156</w:t>
            </w:r>
          </w:p>
        </w:tc>
        <w:tc>
          <w:tcPr>
            <w:tcW w:w="749" w:type="pct"/>
          </w:tcPr>
          <w:p w14:paraId="705B901F" w14:textId="504D6EE5" w:rsidR="00513EBE" w:rsidRDefault="00513EBE" w:rsidP="00513EBE">
            <w:pPr>
              <w:keepNext/>
              <w:keepLines/>
              <w:shd w:val="clear" w:color="auto" w:fill="FFFFFF"/>
              <w:spacing w:after="0" w:line="240" w:lineRule="auto"/>
              <w:ind w:firstLine="180"/>
              <w:jc w:val="left"/>
              <w:cnfStyle w:val="000000000000" w:firstRow="0" w:lastRow="0" w:firstColumn="0" w:lastColumn="0" w:oddVBand="0" w:evenVBand="0" w:oddHBand="0" w:evenHBand="0" w:firstRowFirstColumn="0" w:firstRowLastColumn="0" w:lastRowFirstColumn="0" w:lastRowLastColumn="0"/>
            </w:pPr>
            <w:r w:rsidRPr="00E31E23">
              <w:t>197,4</w:t>
            </w:r>
          </w:p>
        </w:tc>
        <w:tc>
          <w:tcPr>
            <w:tcW w:w="760" w:type="pct"/>
          </w:tcPr>
          <w:p w14:paraId="03B4F1B9"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1 000</w:t>
            </w:r>
          </w:p>
        </w:tc>
      </w:tr>
      <w:tr w:rsidR="00513EBE" w14:paraId="29212BCB"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452D53A5" w14:textId="77777777" w:rsidR="00513EBE" w:rsidRDefault="00513EBE" w:rsidP="00513EBE">
            <w:pPr>
              <w:keepNext/>
              <w:keepLines/>
              <w:spacing w:after="0" w:line="240" w:lineRule="auto"/>
              <w:ind w:firstLine="0"/>
            </w:pPr>
            <w:r w:rsidRPr="00E31E23">
              <w:t>Volume en m3 de la capacité de stockage d’eau</w:t>
            </w:r>
          </w:p>
        </w:tc>
        <w:tc>
          <w:tcPr>
            <w:tcW w:w="749" w:type="pct"/>
          </w:tcPr>
          <w:p w14:paraId="76EEBEAC"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w:t>
            </w:r>
          </w:p>
        </w:tc>
        <w:tc>
          <w:tcPr>
            <w:tcW w:w="749" w:type="pct"/>
          </w:tcPr>
          <w:p w14:paraId="4015D59A" w14:textId="45A41F3B"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t>8</w:t>
            </w:r>
            <w:r w:rsidR="0051592A">
              <w:t> </w:t>
            </w:r>
            <w:r w:rsidRPr="00E31E23">
              <w:t>000</w:t>
            </w:r>
          </w:p>
        </w:tc>
        <w:tc>
          <w:tcPr>
            <w:tcW w:w="760" w:type="pct"/>
          </w:tcPr>
          <w:p w14:paraId="20B05E5F" w14:textId="77777777" w:rsidR="00513EBE" w:rsidRDefault="00513EBE" w:rsidP="00513EBE">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E31E23">
              <w:t>12 716</w:t>
            </w:r>
          </w:p>
        </w:tc>
      </w:tr>
      <w:tr w:rsidR="00513EBE" w14:paraId="38572A01" w14:textId="77777777" w:rsidTr="00E52836">
        <w:tc>
          <w:tcPr>
            <w:cnfStyle w:val="001000000000" w:firstRow="0" w:lastRow="0" w:firstColumn="1" w:lastColumn="0" w:oddVBand="0" w:evenVBand="0" w:oddHBand="0" w:evenHBand="0" w:firstRowFirstColumn="0" w:firstRowLastColumn="0" w:lastRowFirstColumn="0" w:lastRowLastColumn="0"/>
            <w:tcW w:w="2742" w:type="pct"/>
          </w:tcPr>
          <w:p w14:paraId="7899D6F2" w14:textId="77777777" w:rsidR="00513EBE" w:rsidRDefault="00513EBE" w:rsidP="00513EBE">
            <w:pPr>
              <w:keepNext/>
              <w:keepLines/>
              <w:spacing w:after="0" w:line="240" w:lineRule="auto"/>
              <w:ind w:firstLine="0"/>
            </w:pPr>
            <w:r w:rsidRPr="00E31E23">
              <w:t>Volume en m3/j de la capacité de production d’eau</w:t>
            </w:r>
          </w:p>
        </w:tc>
        <w:tc>
          <w:tcPr>
            <w:tcW w:w="749" w:type="pct"/>
          </w:tcPr>
          <w:p w14:paraId="40D7F7B4"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3</w:t>
            </w:r>
            <w:r w:rsidRPr="00E31E23">
              <w:rPr>
                <w:rFonts w:ascii="Times New Roman" w:eastAsia="Times New Roman" w:hAnsi="Times New Roman" w:cs="Times New Roman"/>
              </w:rPr>
              <w:t> </w:t>
            </w:r>
            <w:r w:rsidRPr="00E31E23">
              <w:t>896</w:t>
            </w:r>
          </w:p>
        </w:tc>
        <w:tc>
          <w:tcPr>
            <w:tcW w:w="749" w:type="pct"/>
          </w:tcPr>
          <w:p w14:paraId="38467C8C" w14:textId="444F04AF"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t xml:space="preserve">3 890 </w:t>
            </w:r>
            <w:r w:rsidRPr="00E31E23">
              <w:t xml:space="preserve"> </w:t>
            </w:r>
          </w:p>
        </w:tc>
        <w:tc>
          <w:tcPr>
            <w:tcW w:w="760" w:type="pct"/>
          </w:tcPr>
          <w:p w14:paraId="0324DDA1" w14:textId="77777777" w:rsidR="00513EBE" w:rsidRDefault="00513EBE" w:rsidP="00513EBE">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E31E23">
              <w:t>19 860</w:t>
            </w:r>
          </w:p>
        </w:tc>
      </w:tr>
    </w:tbl>
    <w:p w14:paraId="02F32AE8" w14:textId="427643B8" w:rsidR="00901D23" w:rsidRPr="005006BF" w:rsidRDefault="00901D23" w:rsidP="005006BF">
      <w:pPr>
        <w:keepNext/>
        <w:keepLines/>
        <w:shd w:val="clear" w:color="auto" w:fill="FFFFFF"/>
        <w:spacing w:before="120" w:after="120" w:line="276" w:lineRule="auto"/>
        <w:rPr>
          <w:sz w:val="20"/>
          <w:szCs w:val="20"/>
        </w:rPr>
      </w:pPr>
      <w:r w:rsidRPr="005006BF">
        <w:rPr>
          <w:b/>
          <w:sz w:val="20"/>
          <w:szCs w:val="20"/>
          <w:u w:val="single"/>
        </w:rPr>
        <w:t>Source</w:t>
      </w:r>
      <w:r w:rsidR="00287D1E">
        <w:rPr>
          <w:sz w:val="20"/>
          <w:szCs w:val="20"/>
        </w:rPr>
        <w:t xml:space="preserve"> : r</w:t>
      </w:r>
      <w:r w:rsidRPr="005006BF">
        <w:rPr>
          <w:sz w:val="20"/>
          <w:szCs w:val="20"/>
        </w:rPr>
        <w:t xml:space="preserve">apport </w:t>
      </w:r>
      <w:r w:rsidR="00287D1E">
        <w:rPr>
          <w:sz w:val="20"/>
          <w:szCs w:val="20"/>
        </w:rPr>
        <w:t xml:space="preserve">annuel </w:t>
      </w:r>
      <w:r w:rsidRPr="005006BF">
        <w:rPr>
          <w:sz w:val="20"/>
          <w:szCs w:val="20"/>
        </w:rPr>
        <w:t xml:space="preserve">de performance </w:t>
      </w:r>
      <w:r w:rsidR="00117EB0">
        <w:rPr>
          <w:sz w:val="20"/>
          <w:szCs w:val="20"/>
        </w:rPr>
        <w:t>2023</w:t>
      </w:r>
      <w:r w:rsidR="00287D1E">
        <w:rPr>
          <w:sz w:val="20"/>
          <w:szCs w:val="20"/>
        </w:rPr>
        <w:t xml:space="preserve"> du CSD-</w:t>
      </w:r>
      <w:r w:rsidRPr="005006BF">
        <w:rPr>
          <w:sz w:val="20"/>
          <w:szCs w:val="20"/>
        </w:rPr>
        <w:t>EEA, Février 2024</w:t>
      </w:r>
    </w:p>
    <w:p w14:paraId="45C1B5C9" w14:textId="62F84204"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Au terme de l’année 2023, trois (03) produits du volet eau potable ont enregistré des niveaux d’exécution de plus de 100%. Les autres produits n’ont pas atteint leur cible. La non</w:t>
      </w:r>
      <w:r w:rsidR="000C47BD">
        <w:rPr>
          <w:rFonts w:eastAsia="Calibri"/>
          <w:szCs w:val="24"/>
        </w:rPr>
        <w:t>-</w:t>
      </w:r>
      <w:r w:rsidRPr="00901D23">
        <w:rPr>
          <w:rFonts w:eastAsia="Calibri"/>
          <w:szCs w:val="24"/>
        </w:rPr>
        <w:t>atteinte des cibles s’explique entre autres, par l’inaccessibilité de certaines zones pour cause d’insécurité, la suspension des financements de certains partenaires et la suspension des travaux du Programme d’</w:t>
      </w:r>
      <w:r w:rsidR="000C47BD">
        <w:rPr>
          <w:rFonts w:eastAsia="Calibri"/>
          <w:szCs w:val="24"/>
        </w:rPr>
        <w:t>a</w:t>
      </w:r>
      <w:r w:rsidRPr="00901D23">
        <w:rPr>
          <w:rFonts w:eastAsia="Calibri"/>
          <w:szCs w:val="24"/>
        </w:rPr>
        <w:t xml:space="preserve">pprovisionnement en </w:t>
      </w:r>
      <w:r w:rsidR="000C47BD">
        <w:rPr>
          <w:rFonts w:eastAsia="Calibri"/>
          <w:szCs w:val="24"/>
        </w:rPr>
        <w:t>e</w:t>
      </w:r>
      <w:r w:rsidRPr="00901D23">
        <w:rPr>
          <w:rFonts w:eastAsia="Calibri"/>
          <w:szCs w:val="24"/>
        </w:rPr>
        <w:t>au et d’</w:t>
      </w:r>
      <w:r w:rsidR="000C47BD">
        <w:rPr>
          <w:rFonts w:eastAsia="Calibri"/>
          <w:szCs w:val="24"/>
        </w:rPr>
        <w:t>a</w:t>
      </w:r>
      <w:r w:rsidRPr="00901D23">
        <w:rPr>
          <w:rFonts w:eastAsia="Calibri"/>
          <w:szCs w:val="24"/>
        </w:rPr>
        <w:t>ssainissement (PAEA).</w:t>
      </w:r>
    </w:p>
    <w:p w14:paraId="3367C002" w14:textId="77777777"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Concernant le volet assainissement de l’action 03068, les huit (08) produits programmés en 2023 ont connu des évolutions diverses. Le bilan de ces évolutions ressort dans le tableau ci-après.</w:t>
      </w:r>
    </w:p>
    <w:p w14:paraId="2E3DCAFE" w14:textId="03C93DC8" w:rsidR="00901D23" w:rsidRPr="0042784A" w:rsidRDefault="00FD3B9B" w:rsidP="008139E1">
      <w:pPr>
        <w:pStyle w:val="Lgende"/>
        <w:rPr>
          <w:color w:val="auto"/>
          <w:sz w:val="22"/>
        </w:rPr>
      </w:pPr>
      <w:bookmarkStart w:id="132" w:name="_Toc164503650"/>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63</w:t>
      </w:r>
      <w:r w:rsidRPr="0042784A">
        <w:rPr>
          <w:b/>
          <w:i w:val="0"/>
          <w:color w:val="auto"/>
          <w:sz w:val="22"/>
          <w:szCs w:val="22"/>
          <w:u w:val="single"/>
        </w:rPr>
        <w:fldChar w:fldCharType="end"/>
      </w:r>
      <w:r w:rsidRPr="0042784A">
        <w:rPr>
          <w:i w:val="0"/>
          <w:color w:val="auto"/>
          <w:sz w:val="24"/>
          <w:szCs w:val="24"/>
        </w:rPr>
        <w:t>: situation des indicateurs de produits en lien avec l’assainissement au 31 décembre 2023</w:t>
      </w:r>
      <w:bookmarkEnd w:id="132"/>
    </w:p>
    <w:tbl>
      <w:tblPr>
        <w:tblStyle w:val="TableauGrille4-Accentuation119"/>
        <w:tblW w:w="5000" w:type="pct"/>
        <w:tblLook w:val="04A0" w:firstRow="1" w:lastRow="0" w:firstColumn="1" w:lastColumn="0" w:noHBand="0" w:noVBand="1"/>
      </w:tblPr>
      <w:tblGrid>
        <w:gridCol w:w="4957"/>
        <w:gridCol w:w="1338"/>
        <w:gridCol w:w="1351"/>
        <w:gridCol w:w="1370"/>
      </w:tblGrid>
      <w:tr w:rsidR="00901D23" w:rsidRPr="00F175A7" w14:paraId="168AB7AD" w14:textId="77777777" w:rsidTr="00F17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9" w:type="pct"/>
          </w:tcPr>
          <w:p w14:paraId="13A149F1" w14:textId="0FD6D58B" w:rsidR="00901D23" w:rsidRPr="00117EB0" w:rsidRDefault="00901D23" w:rsidP="00F175A7">
            <w:pPr>
              <w:spacing w:after="0" w:line="240" w:lineRule="auto"/>
              <w:ind w:firstLine="0"/>
            </w:pPr>
            <w:r w:rsidRPr="00F175A7">
              <w:t>Indicateur</w:t>
            </w:r>
            <w:r w:rsidR="00117EB0" w:rsidRPr="00F175A7">
              <w:t>s</w:t>
            </w:r>
          </w:p>
        </w:tc>
        <w:tc>
          <w:tcPr>
            <w:tcW w:w="742" w:type="pct"/>
          </w:tcPr>
          <w:p w14:paraId="2D9E69F5" w14:textId="77777777" w:rsidR="00901D23" w:rsidRPr="00117EB0" w:rsidRDefault="00901D23"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t>Réal 2022</w:t>
            </w:r>
          </w:p>
        </w:tc>
        <w:tc>
          <w:tcPr>
            <w:tcW w:w="749" w:type="pct"/>
          </w:tcPr>
          <w:p w14:paraId="3153B9D1" w14:textId="77777777" w:rsidR="00901D23" w:rsidRPr="00117EB0" w:rsidRDefault="00901D23"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t>Réal 2023</w:t>
            </w:r>
          </w:p>
        </w:tc>
        <w:tc>
          <w:tcPr>
            <w:tcW w:w="760" w:type="pct"/>
          </w:tcPr>
          <w:p w14:paraId="740C4A49" w14:textId="77777777" w:rsidR="00901D23" w:rsidRPr="00117EB0" w:rsidRDefault="00901D23" w:rsidP="00F175A7">
            <w:pPr>
              <w:spacing w:after="0" w:line="240" w:lineRule="auto"/>
              <w:cnfStyle w:val="100000000000" w:firstRow="1" w:lastRow="0" w:firstColumn="0" w:lastColumn="0" w:oddVBand="0" w:evenVBand="0" w:oddHBand="0" w:evenHBand="0" w:firstRowFirstColumn="0" w:firstRowLastColumn="0" w:lastRowFirstColumn="0" w:lastRowLastColumn="0"/>
            </w:pPr>
            <w:r w:rsidRPr="00F175A7">
              <w:t>Cible 2023</w:t>
            </w:r>
          </w:p>
        </w:tc>
      </w:tr>
      <w:tr w:rsidR="00901D23" w:rsidRPr="00F175A7" w14:paraId="566C3BC9" w14:textId="77777777" w:rsidTr="00F1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14:paraId="62B523B7" w14:textId="77777777" w:rsidR="00901D23" w:rsidRPr="00117EB0" w:rsidRDefault="00901D23" w:rsidP="00F175A7">
            <w:pPr>
              <w:spacing w:after="0" w:line="240" w:lineRule="auto"/>
              <w:ind w:firstLine="0"/>
            </w:pPr>
            <w:r w:rsidRPr="00F175A7">
              <w:t>Linéaire de caniveaux réalisé (m)</w:t>
            </w:r>
          </w:p>
        </w:tc>
        <w:tc>
          <w:tcPr>
            <w:tcW w:w="742" w:type="pct"/>
          </w:tcPr>
          <w:p w14:paraId="5A280257"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18 330</w:t>
            </w:r>
          </w:p>
        </w:tc>
        <w:tc>
          <w:tcPr>
            <w:tcW w:w="749" w:type="pct"/>
          </w:tcPr>
          <w:p w14:paraId="4BEE9BCC"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18 753</w:t>
            </w:r>
          </w:p>
        </w:tc>
        <w:tc>
          <w:tcPr>
            <w:tcW w:w="760" w:type="pct"/>
          </w:tcPr>
          <w:p w14:paraId="1BDBB2EF"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24 835</w:t>
            </w:r>
          </w:p>
        </w:tc>
      </w:tr>
      <w:tr w:rsidR="00901D23" w:rsidRPr="00F175A7" w14:paraId="3EC06973" w14:textId="77777777" w:rsidTr="00F175A7">
        <w:tc>
          <w:tcPr>
            <w:cnfStyle w:val="001000000000" w:firstRow="0" w:lastRow="0" w:firstColumn="1" w:lastColumn="0" w:oddVBand="0" w:evenVBand="0" w:oddHBand="0" w:evenHBand="0" w:firstRowFirstColumn="0" w:firstRowLastColumn="0" w:lastRowFirstColumn="0" w:lastRowLastColumn="0"/>
            <w:tcW w:w="2749" w:type="pct"/>
          </w:tcPr>
          <w:p w14:paraId="113E7A5E" w14:textId="77777777" w:rsidR="00901D23" w:rsidRPr="00117EB0" w:rsidRDefault="00901D23" w:rsidP="00F175A7">
            <w:pPr>
              <w:spacing w:after="0" w:line="240" w:lineRule="auto"/>
              <w:ind w:firstLine="0"/>
            </w:pPr>
            <w:r w:rsidRPr="00F175A7">
              <w:t>Nombre de STBV construites</w:t>
            </w:r>
          </w:p>
        </w:tc>
        <w:tc>
          <w:tcPr>
            <w:tcW w:w="742" w:type="pct"/>
          </w:tcPr>
          <w:p w14:paraId="24E934A7"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0</w:t>
            </w:r>
          </w:p>
        </w:tc>
        <w:tc>
          <w:tcPr>
            <w:tcW w:w="749" w:type="pct"/>
          </w:tcPr>
          <w:p w14:paraId="2195AF9B"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0</w:t>
            </w:r>
          </w:p>
        </w:tc>
        <w:tc>
          <w:tcPr>
            <w:tcW w:w="760" w:type="pct"/>
          </w:tcPr>
          <w:p w14:paraId="067E84FC"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r>
      <w:tr w:rsidR="00901D23" w:rsidRPr="00F175A7" w14:paraId="17C7F487" w14:textId="77777777" w:rsidTr="00F1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14:paraId="769A3990" w14:textId="77777777" w:rsidR="00901D23" w:rsidRPr="00117EB0" w:rsidRDefault="00901D23" w:rsidP="00F175A7">
            <w:pPr>
              <w:spacing w:after="0" w:line="240" w:lineRule="auto"/>
              <w:ind w:firstLine="0"/>
            </w:pPr>
            <w:r w:rsidRPr="00F175A7">
              <w:t>Nombre de latrines communautaires et institutionnelles réalisées</w:t>
            </w:r>
          </w:p>
        </w:tc>
        <w:tc>
          <w:tcPr>
            <w:tcW w:w="742" w:type="pct"/>
          </w:tcPr>
          <w:p w14:paraId="159F52E2"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1109</w:t>
            </w:r>
          </w:p>
        </w:tc>
        <w:tc>
          <w:tcPr>
            <w:tcW w:w="749" w:type="pct"/>
          </w:tcPr>
          <w:p w14:paraId="1C3B6E76" w14:textId="5B3313A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r w:rsidR="00FE6ADA">
              <w:t xml:space="preserve"> 262</w:t>
            </w:r>
          </w:p>
        </w:tc>
        <w:tc>
          <w:tcPr>
            <w:tcW w:w="760" w:type="pct"/>
          </w:tcPr>
          <w:p w14:paraId="2F096DD9"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700</w:t>
            </w:r>
          </w:p>
        </w:tc>
      </w:tr>
      <w:tr w:rsidR="00901D23" w:rsidRPr="00F175A7" w14:paraId="4BC5FF0F" w14:textId="77777777" w:rsidTr="00F175A7">
        <w:tc>
          <w:tcPr>
            <w:cnfStyle w:val="001000000000" w:firstRow="0" w:lastRow="0" w:firstColumn="1" w:lastColumn="0" w:oddVBand="0" w:evenVBand="0" w:oddHBand="0" w:evenHBand="0" w:firstRowFirstColumn="0" w:firstRowLastColumn="0" w:lastRowFirstColumn="0" w:lastRowLastColumn="0"/>
            <w:tcW w:w="2749" w:type="pct"/>
          </w:tcPr>
          <w:p w14:paraId="6CFC9896" w14:textId="77777777" w:rsidR="00901D23" w:rsidRPr="00117EB0" w:rsidRDefault="00901D23" w:rsidP="00F175A7">
            <w:pPr>
              <w:spacing w:after="0" w:line="240" w:lineRule="auto"/>
              <w:ind w:firstLine="0"/>
            </w:pPr>
            <w:r w:rsidRPr="00F175A7">
              <w:t>Nombre de schémas simplifiés de gestion des déchets solides élaborés au profit des centres urbains</w:t>
            </w:r>
          </w:p>
        </w:tc>
        <w:tc>
          <w:tcPr>
            <w:tcW w:w="742" w:type="pct"/>
          </w:tcPr>
          <w:p w14:paraId="31769F84"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0</w:t>
            </w:r>
          </w:p>
        </w:tc>
        <w:tc>
          <w:tcPr>
            <w:tcW w:w="749" w:type="pct"/>
          </w:tcPr>
          <w:p w14:paraId="2ED24985"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0</w:t>
            </w:r>
          </w:p>
        </w:tc>
        <w:tc>
          <w:tcPr>
            <w:tcW w:w="760" w:type="pct"/>
          </w:tcPr>
          <w:p w14:paraId="545B407E"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r>
      <w:tr w:rsidR="00901D23" w:rsidRPr="00F175A7" w14:paraId="4C83370C" w14:textId="77777777" w:rsidTr="00F1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14:paraId="05D6C1C3" w14:textId="77777777" w:rsidR="00901D23" w:rsidRPr="00117EB0" w:rsidRDefault="00901D23" w:rsidP="00F175A7">
            <w:pPr>
              <w:spacing w:after="0" w:line="240" w:lineRule="auto"/>
              <w:ind w:firstLine="0"/>
            </w:pPr>
            <w:r w:rsidRPr="00F175A7">
              <w:t>Existence d'une loi portant interdiction totale des emballages et sachets plastiques au Burkina Faso adoptée et diffusée</w:t>
            </w:r>
          </w:p>
        </w:tc>
        <w:tc>
          <w:tcPr>
            <w:tcW w:w="742" w:type="pct"/>
          </w:tcPr>
          <w:p w14:paraId="1AD40B1E"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w:t>
            </w:r>
          </w:p>
        </w:tc>
        <w:tc>
          <w:tcPr>
            <w:tcW w:w="749" w:type="pct"/>
          </w:tcPr>
          <w:p w14:paraId="53BB36FE"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0</w:t>
            </w:r>
          </w:p>
        </w:tc>
        <w:tc>
          <w:tcPr>
            <w:tcW w:w="760" w:type="pct"/>
          </w:tcPr>
          <w:p w14:paraId="503997D9"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r>
      <w:tr w:rsidR="00901D23" w:rsidRPr="00F175A7" w14:paraId="0A1F8384" w14:textId="77777777" w:rsidTr="00F175A7">
        <w:tc>
          <w:tcPr>
            <w:cnfStyle w:val="001000000000" w:firstRow="0" w:lastRow="0" w:firstColumn="1" w:lastColumn="0" w:oddVBand="0" w:evenVBand="0" w:oddHBand="0" w:evenHBand="0" w:firstRowFirstColumn="0" w:firstRowLastColumn="0" w:lastRowFirstColumn="0" w:lastRowLastColumn="0"/>
            <w:tcW w:w="2749" w:type="pct"/>
          </w:tcPr>
          <w:p w14:paraId="60E3B1AE" w14:textId="77777777" w:rsidR="00901D23" w:rsidRPr="00117EB0" w:rsidRDefault="00901D23" w:rsidP="00F175A7">
            <w:pPr>
              <w:spacing w:after="0" w:line="240" w:lineRule="auto"/>
              <w:ind w:firstLine="0"/>
            </w:pPr>
            <w:r w:rsidRPr="00F175A7">
              <w:t>Existence de textes sur les conditions de gestion des produits chimiques et des déchets dangereux adoptés et diffusés</w:t>
            </w:r>
          </w:p>
        </w:tc>
        <w:tc>
          <w:tcPr>
            <w:tcW w:w="742" w:type="pct"/>
          </w:tcPr>
          <w:p w14:paraId="1A2456C0"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w:t>
            </w:r>
          </w:p>
        </w:tc>
        <w:tc>
          <w:tcPr>
            <w:tcW w:w="749" w:type="pct"/>
          </w:tcPr>
          <w:p w14:paraId="7F20C4DC"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2</w:t>
            </w:r>
          </w:p>
        </w:tc>
        <w:tc>
          <w:tcPr>
            <w:tcW w:w="760" w:type="pct"/>
          </w:tcPr>
          <w:p w14:paraId="272D2635"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3</w:t>
            </w:r>
          </w:p>
        </w:tc>
      </w:tr>
      <w:tr w:rsidR="00901D23" w:rsidRPr="00F175A7" w14:paraId="12957510" w14:textId="77777777" w:rsidTr="00F1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14:paraId="760524A2" w14:textId="77777777" w:rsidR="00901D23" w:rsidRPr="00117EB0" w:rsidRDefault="00901D23" w:rsidP="00F175A7">
            <w:pPr>
              <w:spacing w:after="0" w:line="240" w:lineRule="auto"/>
              <w:ind w:firstLine="0"/>
            </w:pPr>
            <w:r w:rsidRPr="00F175A7">
              <w:t>Superficie d'espaces verts reboisée (ha)</w:t>
            </w:r>
          </w:p>
        </w:tc>
        <w:tc>
          <w:tcPr>
            <w:tcW w:w="742" w:type="pct"/>
          </w:tcPr>
          <w:p w14:paraId="3E5B5835"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27</w:t>
            </w:r>
          </w:p>
        </w:tc>
        <w:tc>
          <w:tcPr>
            <w:tcW w:w="749" w:type="pct"/>
          </w:tcPr>
          <w:p w14:paraId="5153BEBF"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26,7</w:t>
            </w:r>
          </w:p>
        </w:tc>
        <w:tc>
          <w:tcPr>
            <w:tcW w:w="760" w:type="pct"/>
          </w:tcPr>
          <w:p w14:paraId="14C988E5" w14:textId="77777777" w:rsidR="00901D23" w:rsidRPr="00117EB0"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F175A7">
              <w:t>15</w:t>
            </w:r>
          </w:p>
        </w:tc>
      </w:tr>
      <w:tr w:rsidR="00901D23" w:rsidRPr="00F175A7" w14:paraId="417668E9" w14:textId="77777777" w:rsidTr="00F175A7">
        <w:tc>
          <w:tcPr>
            <w:cnfStyle w:val="001000000000" w:firstRow="0" w:lastRow="0" w:firstColumn="1" w:lastColumn="0" w:oddVBand="0" w:evenVBand="0" w:oddHBand="0" w:evenHBand="0" w:firstRowFirstColumn="0" w:firstRowLastColumn="0" w:lastRowFirstColumn="0" w:lastRowLastColumn="0"/>
            <w:tcW w:w="2749" w:type="pct"/>
          </w:tcPr>
          <w:p w14:paraId="0AB89F50" w14:textId="77777777" w:rsidR="00901D23" w:rsidRPr="00117EB0" w:rsidRDefault="00901D23" w:rsidP="00F175A7">
            <w:pPr>
              <w:spacing w:after="0" w:line="240" w:lineRule="auto"/>
              <w:ind w:firstLine="0"/>
            </w:pPr>
            <w:r w:rsidRPr="00F175A7">
              <w:t xml:space="preserve">Nombre de plans de gestion environnementale et sociale suivis </w:t>
            </w:r>
          </w:p>
        </w:tc>
        <w:tc>
          <w:tcPr>
            <w:tcW w:w="742" w:type="pct"/>
          </w:tcPr>
          <w:p w14:paraId="67C471E3"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90</w:t>
            </w:r>
          </w:p>
        </w:tc>
        <w:tc>
          <w:tcPr>
            <w:tcW w:w="749" w:type="pct"/>
          </w:tcPr>
          <w:p w14:paraId="765209A6"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109</w:t>
            </w:r>
          </w:p>
        </w:tc>
        <w:tc>
          <w:tcPr>
            <w:tcW w:w="760" w:type="pct"/>
          </w:tcPr>
          <w:p w14:paraId="44490CA2" w14:textId="77777777" w:rsidR="00901D23" w:rsidRPr="00117EB0"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F175A7">
              <w:t>100</w:t>
            </w:r>
          </w:p>
        </w:tc>
      </w:tr>
    </w:tbl>
    <w:p w14:paraId="7A5CEDB5" w14:textId="69097D53" w:rsidR="00901D23" w:rsidRPr="005006BF" w:rsidRDefault="00901D23" w:rsidP="00901D23">
      <w:pPr>
        <w:shd w:val="clear" w:color="auto" w:fill="FFFFFF"/>
        <w:spacing w:before="120" w:after="120" w:line="276" w:lineRule="auto"/>
        <w:rPr>
          <w:sz w:val="20"/>
          <w:szCs w:val="20"/>
        </w:rPr>
      </w:pPr>
      <w:r w:rsidRPr="005006BF">
        <w:rPr>
          <w:b/>
          <w:sz w:val="20"/>
          <w:szCs w:val="20"/>
          <w:u w:val="single"/>
        </w:rPr>
        <w:t>Source</w:t>
      </w:r>
      <w:r w:rsidR="00287D1E">
        <w:rPr>
          <w:sz w:val="20"/>
          <w:szCs w:val="20"/>
        </w:rPr>
        <w:t xml:space="preserve"> : r</w:t>
      </w:r>
      <w:r w:rsidRPr="005006BF">
        <w:rPr>
          <w:sz w:val="20"/>
          <w:szCs w:val="20"/>
        </w:rPr>
        <w:t xml:space="preserve">apport </w:t>
      </w:r>
      <w:r w:rsidR="00287D1E">
        <w:rPr>
          <w:sz w:val="20"/>
          <w:szCs w:val="20"/>
        </w:rPr>
        <w:t xml:space="preserve">annuel </w:t>
      </w:r>
      <w:r w:rsidRPr="005006BF">
        <w:rPr>
          <w:sz w:val="20"/>
          <w:szCs w:val="20"/>
        </w:rPr>
        <w:t xml:space="preserve">de performance </w:t>
      </w:r>
      <w:r w:rsidR="002A619B">
        <w:rPr>
          <w:sz w:val="20"/>
          <w:szCs w:val="20"/>
        </w:rPr>
        <w:t>202</w:t>
      </w:r>
      <w:r w:rsidRPr="005006BF">
        <w:rPr>
          <w:sz w:val="20"/>
          <w:szCs w:val="20"/>
        </w:rPr>
        <w:t>3 du CSD</w:t>
      </w:r>
      <w:r w:rsidR="00287D1E">
        <w:rPr>
          <w:sz w:val="20"/>
          <w:szCs w:val="20"/>
        </w:rPr>
        <w:t>-</w:t>
      </w:r>
      <w:r w:rsidRPr="005006BF">
        <w:rPr>
          <w:sz w:val="20"/>
          <w:szCs w:val="20"/>
        </w:rPr>
        <w:t xml:space="preserve">EEA, </w:t>
      </w:r>
      <w:r w:rsidR="000C47BD">
        <w:rPr>
          <w:sz w:val="20"/>
          <w:szCs w:val="20"/>
        </w:rPr>
        <w:t>f</w:t>
      </w:r>
      <w:r w:rsidRPr="005006BF">
        <w:rPr>
          <w:sz w:val="20"/>
          <w:szCs w:val="20"/>
        </w:rPr>
        <w:t>évrier 2024</w:t>
      </w:r>
    </w:p>
    <w:p w14:paraId="5A183D9A" w14:textId="77777777"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Sur les huit (08) produits, trois (03) ont enregistré une belle performance avec des niveaux d’exécution de plus de 100% en 2023.</w:t>
      </w:r>
    </w:p>
    <w:p w14:paraId="6F0018BB" w14:textId="2C19CC3E"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lastRenderedPageBreak/>
        <w:t xml:space="preserve"> La </w:t>
      </w:r>
      <w:r w:rsidR="000C47BD">
        <w:rPr>
          <w:rFonts w:eastAsia="Calibri"/>
          <w:szCs w:val="24"/>
        </w:rPr>
        <w:t>S</w:t>
      </w:r>
      <w:r w:rsidRPr="00901D23">
        <w:rPr>
          <w:rFonts w:eastAsia="Calibri"/>
          <w:szCs w:val="24"/>
        </w:rPr>
        <w:t>tation de traitement des boues de vidange (STBV) de Dano n’est pas disponible. Mais le niveau de réalisation (75%) et celui des linéaires de caniveaux (75,51%) sont appréciables.</w:t>
      </w:r>
    </w:p>
    <w:p w14:paraId="71C1AB54" w14:textId="74BD405C"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En revanche, l’élaboration du schéma simplifié de gestion des déchets solides et l’adoption des textes portant interdiction totale des emballages et sachets plastiques sont en souffrance.  Le non</w:t>
      </w:r>
      <w:r w:rsidR="000C47BD">
        <w:rPr>
          <w:rFonts w:eastAsia="Calibri"/>
          <w:szCs w:val="24"/>
        </w:rPr>
        <w:t>-</w:t>
      </w:r>
      <w:r w:rsidRPr="00901D23">
        <w:rPr>
          <w:rFonts w:eastAsia="Calibri"/>
          <w:szCs w:val="24"/>
        </w:rPr>
        <w:t>démarrage des activités d’élaboration du schéma simplifié est lié à la régulation budgétaire. Quant à la loi sur les emballages et les sachets plastiques, un projet est disponible et doit davantage faire l’objet de concertation.</w:t>
      </w:r>
    </w:p>
    <w:p w14:paraId="2DD696D9" w14:textId="789FADD8"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Le coût global des produits se rapportant à l’assainissement ressort à 8</w:t>
      </w:r>
      <w:r w:rsidR="000C47BD">
        <w:rPr>
          <w:rFonts w:eastAsia="Calibri"/>
          <w:szCs w:val="24"/>
        </w:rPr>
        <w:t>,</w:t>
      </w:r>
      <w:r w:rsidRPr="00901D23">
        <w:rPr>
          <w:rFonts w:eastAsia="Calibri"/>
          <w:szCs w:val="24"/>
        </w:rPr>
        <w:t>39 milli</w:t>
      </w:r>
      <w:r w:rsidR="000C47BD">
        <w:rPr>
          <w:rFonts w:eastAsia="Calibri"/>
          <w:szCs w:val="24"/>
        </w:rPr>
        <w:t>ards</w:t>
      </w:r>
      <w:r w:rsidRPr="00901D23">
        <w:rPr>
          <w:rFonts w:eastAsia="Calibri"/>
          <w:szCs w:val="24"/>
        </w:rPr>
        <w:t xml:space="preserve"> FCFA sur une prévision de 18</w:t>
      </w:r>
      <w:r w:rsidR="000C47BD">
        <w:rPr>
          <w:rFonts w:eastAsia="Calibri"/>
          <w:szCs w:val="24"/>
        </w:rPr>
        <w:t>,</w:t>
      </w:r>
      <w:r w:rsidRPr="00901D23">
        <w:rPr>
          <w:rFonts w:eastAsia="Calibri"/>
          <w:szCs w:val="24"/>
        </w:rPr>
        <w:t>66 milli</w:t>
      </w:r>
      <w:r w:rsidR="000C47BD">
        <w:rPr>
          <w:rFonts w:eastAsia="Calibri"/>
          <w:szCs w:val="24"/>
        </w:rPr>
        <w:t xml:space="preserve">ards </w:t>
      </w:r>
      <w:r w:rsidRPr="00901D23">
        <w:rPr>
          <w:rFonts w:eastAsia="Calibri"/>
          <w:szCs w:val="24"/>
        </w:rPr>
        <w:t>FCFA</w:t>
      </w:r>
      <w:r w:rsidR="000C47BD">
        <w:rPr>
          <w:rFonts w:eastAsia="Calibri"/>
          <w:szCs w:val="24"/>
        </w:rPr>
        <w:t>,</w:t>
      </w:r>
      <w:r w:rsidRPr="00901D23">
        <w:rPr>
          <w:rFonts w:eastAsia="Calibri"/>
          <w:szCs w:val="24"/>
        </w:rPr>
        <w:t xml:space="preserve"> soit un taux d’exécution financière de 45%.</w:t>
      </w:r>
    </w:p>
    <w:p w14:paraId="1C65DAE0" w14:textId="060D883B"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 xml:space="preserve">Pour ce qui est de l’action en lien avec </w:t>
      </w:r>
      <w:r w:rsidRPr="008139E1">
        <w:rPr>
          <w:rFonts w:eastAsia="Calibri"/>
          <w:b/>
          <w:szCs w:val="24"/>
        </w:rPr>
        <w:t>l'accès des populations à l'énergie de qualité (03069)</w:t>
      </w:r>
      <w:r w:rsidRPr="00901D23">
        <w:rPr>
          <w:rFonts w:eastAsia="Calibri"/>
          <w:szCs w:val="24"/>
        </w:rPr>
        <w:t>, son appréciation est faite à travers trois (03) indicateurs d’action relatifs à l'électrification rural</w:t>
      </w:r>
      <w:r w:rsidR="000C47BD">
        <w:rPr>
          <w:rFonts w:eastAsia="Calibri"/>
          <w:szCs w:val="24"/>
        </w:rPr>
        <w:t>e</w:t>
      </w:r>
      <w:r w:rsidRPr="00901D23">
        <w:rPr>
          <w:rFonts w:eastAsia="Calibri"/>
          <w:szCs w:val="24"/>
        </w:rPr>
        <w:t>, à la couverture électrique national</w:t>
      </w:r>
      <w:r w:rsidR="000C47BD">
        <w:rPr>
          <w:rFonts w:eastAsia="Calibri"/>
          <w:szCs w:val="24"/>
        </w:rPr>
        <w:t>e</w:t>
      </w:r>
      <w:r w:rsidRPr="00901D23">
        <w:rPr>
          <w:rFonts w:eastAsia="Calibri"/>
          <w:szCs w:val="24"/>
        </w:rPr>
        <w:t xml:space="preserve"> et la proportion de la population ayant accès à l'électricité. Au terme de l’année 2023, les niveaux de réalisation desdits indicateurs sont non disponibles au regard de leurs modes de calcul qui nécessitent la collecte d’une large gamme d’informations.</w:t>
      </w:r>
    </w:p>
    <w:p w14:paraId="0A8A8743" w14:textId="77777777"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Les quatre (04) extrants planifiés pour améliorer l’accès des populations à l’énergie sont consignés dans le tableau ci-dessous.</w:t>
      </w:r>
    </w:p>
    <w:p w14:paraId="7F73DE8B" w14:textId="1576291A" w:rsidR="00901D23" w:rsidRPr="0042784A" w:rsidRDefault="00FD3B9B" w:rsidP="008139E1">
      <w:pPr>
        <w:pStyle w:val="Lgende"/>
        <w:rPr>
          <w:color w:val="auto"/>
        </w:rPr>
      </w:pPr>
      <w:bookmarkStart w:id="133" w:name="_Toc164503651"/>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64</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en lien avec l’accès des populations à l’énergie de qualité</w:t>
      </w:r>
      <w:bookmarkEnd w:id="133"/>
    </w:p>
    <w:tbl>
      <w:tblPr>
        <w:tblStyle w:val="TableauGrille4-Accentuation119"/>
        <w:tblW w:w="5000" w:type="pct"/>
        <w:tblLook w:val="04A0" w:firstRow="1" w:lastRow="0" w:firstColumn="1" w:lastColumn="0" w:noHBand="0" w:noVBand="1"/>
      </w:tblPr>
      <w:tblGrid>
        <w:gridCol w:w="4586"/>
        <w:gridCol w:w="1619"/>
        <w:gridCol w:w="1441"/>
        <w:gridCol w:w="1370"/>
      </w:tblGrid>
      <w:tr w:rsidR="00901D23" w14:paraId="75EC255C" w14:textId="77777777" w:rsidTr="00F1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shd w:val="clear" w:color="auto" w:fill="4472C4" w:themeFill="accent1"/>
          </w:tcPr>
          <w:p w14:paraId="1B2D6618" w14:textId="57A0B4C6" w:rsidR="00901D23" w:rsidRDefault="00901D23" w:rsidP="00F175A7">
            <w:pPr>
              <w:spacing w:after="0" w:line="240" w:lineRule="auto"/>
              <w:ind w:firstLine="0"/>
            </w:pPr>
            <w:r w:rsidRPr="00E31E23">
              <w:t xml:space="preserve">Indicateurs </w:t>
            </w:r>
          </w:p>
        </w:tc>
        <w:tc>
          <w:tcPr>
            <w:tcW w:w="898" w:type="pct"/>
            <w:shd w:val="clear" w:color="auto" w:fill="4472C4" w:themeFill="accent1"/>
          </w:tcPr>
          <w:p w14:paraId="37B27A44" w14:textId="77777777" w:rsidR="00901D23" w:rsidRDefault="00901D2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2022</w:t>
            </w:r>
          </w:p>
        </w:tc>
        <w:tc>
          <w:tcPr>
            <w:tcW w:w="799" w:type="pct"/>
            <w:shd w:val="clear" w:color="auto" w:fill="4472C4" w:themeFill="accent1"/>
          </w:tcPr>
          <w:p w14:paraId="55094A7C" w14:textId="77777777" w:rsidR="00901D23" w:rsidRDefault="00901D2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Réal. 2023</w:t>
            </w:r>
          </w:p>
        </w:tc>
        <w:tc>
          <w:tcPr>
            <w:tcW w:w="760" w:type="pct"/>
            <w:shd w:val="clear" w:color="auto" w:fill="4472C4" w:themeFill="accent1"/>
          </w:tcPr>
          <w:p w14:paraId="607B5155" w14:textId="77777777" w:rsidR="00901D23" w:rsidRDefault="00901D23"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E31E23">
              <w:t>Cible. 2023</w:t>
            </w:r>
          </w:p>
        </w:tc>
      </w:tr>
      <w:tr w:rsidR="00901D23" w14:paraId="0797794F"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tcPr>
          <w:p w14:paraId="7F622172" w14:textId="77777777" w:rsidR="00901D23" w:rsidRDefault="00901D23" w:rsidP="00F175A7">
            <w:pPr>
              <w:spacing w:after="0" w:line="240" w:lineRule="auto"/>
              <w:ind w:firstLine="0"/>
            </w:pPr>
            <w:r w:rsidRPr="00E31E23">
              <w:t>Nombre de km de lignes construites</w:t>
            </w:r>
          </w:p>
        </w:tc>
        <w:tc>
          <w:tcPr>
            <w:tcW w:w="898" w:type="pct"/>
          </w:tcPr>
          <w:p w14:paraId="72AA0953"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1 616</w:t>
            </w:r>
          </w:p>
        </w:tc>
        <w:tc>
          <w:tcPr>
            <w:tcW w:w="799" w:type="pct"/>
          </w:tcPr>
          <w:p w14:paraId="00349930"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1 435,6</w:t>
            </w:r>
          </w:p>
        </w:tc>
        <w:tc>
          <w:tcPr>
            <w:tcW w:w="760" w:type="pct"/>
          </w:tcPr>
          <w:p w14:paraId="7CE5666E"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6 733</w:t>
            </w:r>
          </w:p>
        </w:tc>
      </w:tr>
      <w:tr w:rsidR="00901D23" w14:paraId="176A6ECA" w14:textId="77777777" w:rsidTr="00E52836">
        <w:tc>
          <w:tcPr>
            <w:cnfStyle w:val="001000000000" w:firstRow="0" w:lastRow="0" w:firstColumn="1" w:lastColumn="0" w:oddVBand="0" w:evenVBand="0" w:oddHBand="0" w:evenHBand="0" w:firstRowFirstColumn="0" w:firstRowLastColumn="0" w:lastRowFirstColumn="0" w:lastRowLastColumn="0"/>
            <w:tcW w:w="2543" w:type="pct"/>
          </w:tcPr>
          <w:p w14:paraId="59158A6A" w14:textId="460AD56E" w:rsidR="00901D23" w:rsidRDefault="00901D23" w:rsidP="00030819">
            <w:pPr>
              <w:spacing w:after="0" w:line="240" w:lineRule="auto"/>
              <w:ind w:firstLine="0"/>
            </w:pPr>
            <w:r w:rsidRPr="00E31E23">
              <w:t xml:space="preserve">Nombre de </w:t>
            </w:r>
            <w:r w:rsidR="00030819">
              <w:t xml:space="preserve">nouvelles </w:t>
            </w:r>
            <w:r w:rsidRPr="00E31E23">
              <w:t>localités électrifiées</w:t>
            </w:r>
          </w:p>
        </w:tc>
        <w:tc>
          <w:tcPr>
            <w:tcW w:w="898" w:type="pct"/>
          </w:tcPr>
          <w:p w14:paraId="2A6BDF9F"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472</w:t>
            </w:r>
          </w:p>
        </w:tc>
        <w:tc>
          <w:tcPr>
            <w:tcW w:w="799" w:type="pct"/>
          </w:tcPr>
          <w:p w14:paraId="076EABCF"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131</w:t>
            </w:r>
          </w:p>
        </w:tc>
        <w:tc>
          <w:tcPr>
            <w:tcW w:w="760" w:type="pct"/>
          </w:tcPr>
          <w:p w14:paraId="3BC1DDE5"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488</w:t>
            </w:r>
          </w:p>
        </w:tc>
      </w:tr>
      <w:tr w:rsidR="00901D23" w14:paraId="5198F4F6"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tcPr>
          <w:p w14:paraId="6928F1A1" w14:textId="77777777" w:rsidR="00901D23" w:rsidRDefault="00901D23" w:rsidP="00F175A7">
            <w:pPr>
              <w:spacing w:after="0" w:line="240" w:lineRule="auto"/>
              <w:ind w:firstLine="0"/>
            </w:pPr>
            <w:r w:rsidRPr="00E31E23">
              <w:t>Nombre de ménages raccordés à l'électricité</w:t>
            </w:r>
          </w:p>
        </w:tc>
        <w:tc>
          <w:tcPr>
            <w:tcW w:w="898" w:type="pct"/>
          </w:tcPr>
          <w:p w14:paraId="62CA9ACF"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1 052 869</w:t>
            </w:r>
          </w:p>
        </w:tc>
        <w:tc>
          <w:tcPr>
            <w:tcW w:w="799" w:type="pct"/>
          </w:tcPr>
          <w:p w14:paraId="11A1D191"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1 200 547</w:t>
            </w:r>
          </w:p>
        </w:tc>
        <w:tc>
          <w:tcPr>
            <w:tcW w:w="760" w:type="pct"/>
          </w:tcPr>
          <w:p w14:paraId="07F15D67" w14:textId="77777777" w:rsidR="00901D23" w:rsidRDefault="00901D23" w:rsidP="00F175A7">
            <w:pPr>
              <w:spacing w:after="0" w:line="240" w:lineRule="auto"/>
              <w:cnfStyle w:val="000000100000" w:firstRow="0" w:lastRow="0" w:firstColumn="0" w:lastColumn="0" w:oddVBand="0" w:evenVBand="0" w:oddHBand="1" w:evenHBand="0" w:firstRowFirstColumn="0" w:firstRowLastColumn="0" w:lastRowFirstColumn="0" w:lastRowLastColumn="0"/>
            </w:pPr>
            <w:r w:rsidRPr="00E31E23">
              <w:t>1 335 073</w:t>
            </w:r>
          </w:p>
        </w:tc>
      </w:tr>
      <w:tr w:rsidR="00901D23" w14:paraId="44B2F778" w14:textId="77777777" w:rsidTr="00E52836">
        <w:tc>
          <w:tcPr>
            <w:cnfStyle w:val="001000000000" w:firstRow="0" w:lastRow="0" w:firstColumn="1" w:lastColumn="0" w:oddVBand="0" w:evenVBand="0" w:oddHBand="0" w:evenHBand="0" w:firstRowFirstColumn="0" w:firstRowLastColumn="0" w:lastRowFirstColumn="0" w:lastRowLastColumn="0"/>
            <w:tcW w:w="2543" w:type="pct"/>
          </w:tcPr>
          <w:p w14:paraId="73FA5236" w14:textId="77777777" w:rsidR="00901D23" w:rsidRDefault="00901D23" w:rsidP="00F175A7">
            <w:pPr>
              <w:spacing w:after="0" w:line="240" w:lineRule="auto"/>
              <w:ind w:firstLine="0"/>
            </w:pPr>
            <w:r w:rsidRPr="00E31E23">
              <w:t>Nombre de lampadaires déployés pour l’éclairage public</w:t>
            </w:r>
          </w:p>
        </w:tc>
        <w:tc>
          <w:tcPr>
            <w:tcW w:w="898" w:type="pct"/>
          </w:tcPr>
          <w:p w14:paraId="6530E171"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2 158</w:t>
            </w:r>
          </w:p>
        </w:tc>
        <w:tc>
          <w:tcPr>
            <w:tcW w:w="799" w:type="pct"/>
          </w:tcPr>
          <w:p w14:paraId="1F45A7C2"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1 509</w:t>
            </w:r>
          </w:p>
        </w:tc>
        <w:tc>
          <w:tcPr>
            <w:tcW w:w="760" w:type="pct"/>
          </w:tcPr>
          <w:p w14:paraId="4E41930B" w14:textId="77777777" w:rsidR="00901D23" w:rsidRDefault="00901D23" w:rsidP="00F175A7">
            <w:pPr>
              <w:spacing w:after="0" w:line="240" w:lineRule="auto"/>
              <w:cnfStyle w:val="000000000000" w:firstRow="0" w:lastRow="0" w:firstColumn="0" w:lastColumn="0" w:oddVBand="0" w:evenVBand="0" w:oddHBand="0" w:evenHBand="0" w:firstRowFirstColumn="0" w:firstRowLastColumn="0" w:lastRowFirstColumn="0" w:lastRowLastColumn="0"/>
            </w:pPr>
            <w:r w:rsidRPr="00E31E23">
              <w:t>2 700</w:t>
            </w:r>
          </w:p>
        </w:tc>
      </w:tr>
    </w:tbl>
    <w:p w14:paraId="20CC94B5" w14:textId="2C46EF80" w:rsidR="00901D23" w:rsidRPr="008A182C" w:rsidRDefault="00901D23" w:rsidP="00901D23">
      <w:pPr>
        <w:shd w:val="clear" w:color="auto" w:fill="FFFFFF"/>
        <w:spacing w:before="120" w:after="120" w:line="276" w:lineRule="auto"/>
        <w:rPr>
          <w:sz w:val="20"/>
          <w:szCs w:val="20"/>
        </w:rPr>
      </w:pPr>
      <w:r w:rsidRPr="005006BF">
        <w:rPr>
          <w:b/>
          <w:bCs/>
          <w:sz w:val="20"/>
          <w:szCs w:val="20"/>
          <w:u w:val="single"/>
        </w:rPr>
        <w:t>Source</w:t>
      </w:r>
      <w:r w:rsidR="00287D1E">
        <w:rPr>
          <w:sz w:val="20"/>
          <w:szCs w:val="20"/>
        </w:rPr>
        <w:t xml:space="preserve"> : r</w:t>
      </w:r>
      <w:r w:rsidRPr="008A182C">
        <w:rPr>
          <w:sz w:val="20"/>
          <w:szCs w:val="20"/>
        </w:rPr>
        <w:t xml:space="preserve">apport </w:t>
      </w:r>
      <w:r w:rsidR="00287D1E">
        <w:rPr>
          <w:sz w:val="20"/>
          <w:szCs w:val="20"/>
        </w:rPr>
        <w:t xml:space="preserve">annuel </w:t>
      </w:r>
      <w:r w:rsidRPr="008A182C">
        <w:rPr>
          <w:sz w:val="20"/>
          <w:szCs w:val="20"/>
        </w:rPr>
        <w:t>de performance 2023 du CSD</w:t>
      </w:r>
      <w:r w:rsidR="002A619B">
        <w:rPr>
          <w:sz w:val="20"/>
          <w:szCs w:val="20"/>
        </w:rPr>
        <w:t>-</w:t>
      </w:r>
      <w:r w:rsidRPr="008A182C">
        <w:rPr>
          <w:sz w:val="20"/>
          <w:szCs w:val="20"/>
        </w:rPr>
        <w:t>TIA, février 2024</w:t>
      </w:r>
    </w:p>
    <w:p w14:paraId="63719C9F" w14:textId="4D74135D"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A la date du 31 décembre 2023, les quatre (04) indicateurs de produits n’ont pas atteint leur cible. En termes d’exécution financière, le montant engagé pour la mise en œuvre des produits de l’action (03069) est de 37</w:t>
      </w:r>
      <w:r w:rsidR="000C47BD" w:rsidRPr="00056445">
        <w:rPr>
          <w:rFonts w:eastAsia="Calibri"/>
          <w:szCs w:val="24"/>
        </w:rPr>
        <w:t>°</w:t>
      </w:r>
      <w:r w:rsidRPr="00901D23">
        <w:rPr>
          <w:rFonts w:eastAsia="Calibri"/>
          <w:szCs w:val="24"/>
        </w:rPr>
        <w:t>804</w:t>
      </w:r>
      <w:r w:rsidR="000C47BD">
        <w:rPr>
          <w:rFonts w:eastAsia="Calibri"/>
          <w:szCs w:val="24"/>
        </w:rPr>
        <w:t> </w:t>
      </w:r>
      <w:r w:rsidRPr="00901D23">
        <w:rPr>
          <w:rFonts w:eastAsia="Calibri"/>
          <w:szCs w:val="24"/>
        </w:rPr>
        <w:t>242</w:t>
      </w:r>
      <w:r w:rsidR="000C47BD" w:rsidRPr="00056445">
        <w:rPr>
          <w:rFonts w:eastAsia="Calibri"/>
          <w:szCs w:val="24"/>
        </w:rPr>
        <w:t>°</w:t>
      </w:r>
      <w:r w:rsidRPr="00901D23">
        <w:rPr>
          <w:rFonts w:eastAsia="Calibri"/>
          <w:szCs w:val="24"/>
        </w:rPr>
        <w:t>335 FCFA sur une prévision initiale de 178</w:t>
      </w:r>
      <w:r w:rsidR="000C47BD" w:rsidRPr="00056445">
        <w:rPr>
          <w:rFonts w:eastAsia="Calibri"/>
          <w:szCs w:val="24"/>
        </w:rPr>
        <w:t>°</w:t>
      </w:r>
      <w:r w:rsidRPr="00901D23">
        <w:rPr>
          <w:rFonts w:eastAsia="Calibri"/>
          <w:szCs w:val="24"/>
        </w:rPr>
        <w:t>780</w:t>
      </w:r>
      <w:r w:rsidR="000C47BD">
        <w:rPr>
          <w:rFonts w:eastAsia="Calibri"/>
          <w:szCs w:val="24"/>
        </w:rPr>
        <w:t> </w:t>
      </w:r>
      <w:r w:rsidRPr="00901D23">
        <w:rPr>
          <w:rFonts w:eastAsia="Calibri"/>
          <w:szCs w:val="24"/>
        </w:rPr>
        <w:t>988</w:t>
      </w:r>
      <w:r w:rsidR="000C47BD" w:rsidRPr="00056445">
        <w:rPr>
          <w:rFonts w:eastAsia="Calibri"/>
          <w:szCs w:val="24"/>
        </w:rPr>
        <w:t>°</w:t>
      </w:r>
      <w:r w:rsidRPr="00901D23">
        <w:rPr>
          <w:rFonts w:eastAsia="Calibri"/>
          <w:szCs w:val="24"/>
        </w:rPr>
        <w:t>000 FCFA.</w:t>
      </w:r>
    </w:p>
    <w:p w14:paraId="18927ACC" w14:textId="7917AE26"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 xml:space="preserve">De façon générale, les difficultés liées à la mise en œuvre des produits de l’action sont, entre autres, l’inaccessibilité de certaines localités du fait de la situation sécuritaire, la suspension de l’appui financier et la complexité des conditions de décaissement de certains </w:t>
      </w:r>
      <w:r w:rsidR="000C47BD">
        <w:rPr>
          <w:rFonts w:eastAsia="Calibri"/>
          <w:szCs w:val="24"/>
        </w:rPr>
        <w:t>P</w:t>
      </w:r>
      <w:r w:rsidRPr="00901D23">
        <w:rPr>
          <w:rFonts w:eastAsia="Calibri"/>
          <w:szCs w:val="24"/>
        </w:rPr>
        <w:t>artenaires techniques et financiers (PTF).</w:t>
      </w:r>
    </w:p>
    <w:p w14:paraId="467DA153" w14:textId="1C80E011" w:rsidR="00901D2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 xml:space="preserve">S’agissant de l’action portant sur </w:t>
      </w:r>
      <w:r w:rsidRPr="008139E1">
        <w:rPr>
          <w:rFonts w:eastAsia="Calibri"/>
          <w:b/>
          <w:szCs w:val="24"/>
        </w:rPr>
        <w:t>l’amélioration de l'accès des ménages aux logements décents (03070)</w:t>
      </w:r>
      <w:r w:rsidRPr="00901D23">
        <w:rPr>
          <w:rFonts w:eastAsia="Calibri"/>
          <w:szCs w:val="24"/>
        </w:rPr>
        <w:t>, l’ambition qui était de porter au terme de l’année 2023, le nombre de logements décents à 9</w:t>
      </w:r>
      <w:r w:rsidR="000C47BD" w:rsidRPr="00056445">
        <w:rPr>
          <w:rFonts w:eastAsia="Calibri"/>
          <w:szCs w:val="24"/>
        </w:rPr>
        <w:t>°</w:t>
      </w:r>
      <w:r w:rsidRPr="00901D23">
        <w:rPr>
          <w:rFonts w:eastAsia="Calibri"/>
          <w:szCs w:val="24"/>
        </w:rPr>
        <w:t>783 n’a pas été atteint</w:t>
      </w:r>
      <w:r w:rsidR="000C47BD">
        <w:rPr>
          <w:rFonts w:eastAsia="Calibri"/>
          <w:szCs w:val="24"/>
        </w:rPr>
        <w:t>e</w:t>
      </w:r>
      <w:r w:rsidRPr="00901D23">
        <w:rPr>
          <w:rFonts w:eastAsia="Calibri"/>
          <w:szCs w:val="24"/>
        </w:rPr>
        <w:t>. En effet, 904 logements décents ont été réalisés au cours de l’année 2023 portant à 7</w:t>
      </w:r>
      <w:r w:rsidR="009277D9">
        <w:rPr>
          <w:rFonts w:eastAsia="Calibri"/>
          <w:szCs w:val="24"/>
        </w:rPr>
        <w:t xml:space="preserve"> </w:t>
      </w:r>
      <w:r w:rsidRPr="00901D23">
        <w:rPr>
          <w:rFonts w:eastAsia="Calibri"/>
          <w:szCs w:val="24"/>
        </w:rPr>
        <w:t xml:space="preserve">987 le cumul des logements réalisés. Cette </w:t>
      </w:r>
      <w:r w:rsidRPr="00901D23">
        <w:rPr>
          <w:rFonts w:eastAsia="Calibri"/>
          <w:szCs w:val="24"/>
        </w:rPr>
        <w:lastRenderedPageBreak/>
        <w:t>situation est imputable à la contreperformance enregistrée dans la réalisation des nouveaux logements comme l’indique le tableau ci-dessous.</w:t>
      </w:r>
    </w:p>
    <w:p w14:paraId="5CA2D65A" w14:textId="0CEF5F8E" w:rsidR="00901D23" w:rsidRPr="000C47BD" w:rsidRDefault="00FD3B9B" w:rsidP="005006BF">
      <w:pPr>
        <w:keepNext/>
        <w:keepLines/>
        <w:shd w:val="clear" w:color="auto" w:fill="FFFFFF"/>
        <w:spacing w:before="240" w:after="240" w:line="240" w:lineRule="auto"/>
      </w:pPr>
      <w:bookmarkStart w:id="134" w:name="_Toc164503652"/>
      <w:r w:rsidRPr="000C47BD">
        <w:rPr>
          <w:b/>
          <w:sz w:val="22"/>
          <w:u w:val="single"/>
        </w:rPr>
        <w:t xml:space="preserve">Tableau </w:t>
      </w:r>
      <w:r w:rsidRPr="000C47BD">
        <w:rPr>
          <w:b/>
          <w:sz w:val="22"/>
          <w:u w:val="single"/>
        </w:rPr>
        <w:fldChar w:fldCharType="begin"/>
      </w:r>
      <w:r w:rsidRPr="000C47BD">
        <w:rPr>
          <w:b/>
          <w:sz w:val="22"/>
          <w:u w:val="single"/>
        </w:rPr>
        <w:instrText xml:space="preserve"> SEQ Tableau \* ARABIC </w:instrText>
      </w:r>
      <w:r w:rsidRPr="000C47BD">
        <w:rPr>
          <w:b/>
          <w:sz w:val="22"/>
          <w:u w:val="single"/>
        </w:rPr>
        <w:fldChar w:fldCharType="separate"/>
      </w:r>
      <w:r w:rsidR="007C2E4E">
        <w:rPr>
          <w:b/>
          <w:noProof/>
          <w:sz w:val="22"/>
          <w:u w:val="single"/>
        </w:rPr>
        <w:t>65</w:t>
      </w:r>
      <w:r w:rsidRPr="000C47BD">
        <w:rPr>
          <w:b/>
          <w:sz w:val="22"/>
          <w:u w:val="single"/>
        </w:rPr>
        <w:fldChar w:fldCharType="end"/>
      </w:r>
      <w:r w:rsidRPr="000C47BD">
        <w:rPr>
          <w:sz w:val="22"/>
        </w:rPr>
        <w:t xml:space="preserve">: </w:t>
      </w:r>
      <w:r w:rsidRPr="000C47BD">
        <w:rPr>
          <w:szCs w:val="24"/>
        </w:rPr>
        <w:t>situation des indicateurs de produits relatifs à l’accès des ménages aux logements décents</w:t>
      </w:r>
      <w:bookmarkEnd w:id="134"/>
    </w:p>
    <w:tbl>
      <w:tblPr>
        <w:tblStyle w:val="TableauGrille4-Accentuation119"/>
        <w:tblW w:w="5000" w:type="pct"/>
        <w:tblLook w:val="04A0" w:firstRow="1" w:lastRow="0" w:firstColumn="1" w:lastColumn="0" w:noHBand="0" w:noVBand="1"/>
      </w:tblPr>
      <w:tblGrid>
        <w:gridCol w:w="4944"/>
        <w:gridCol w:w="1351"/>
        <w:gridCol w:w="1351"/>
        <w:gridCol w:w="1370"/>
      </w:tblGrid>
      <w:tr w:rsidR="00901D23" w:rsidRPr="00F175A7" w14:paraId="3F47FDA0" w14:textId="77777777" w:rsidTr="00500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6E06156E" w14:textId="43D59C27" w:rsidR="00901D23" w:rsidRPr="002A619B" w:rsidRDefault="00901D23" w:rsidP="00F175A7">
            <w:pPr>
              <w:keepNext/>
              <w:keepLines/>
              <w:spacing w:after="0" w:line="240" w:lineRule="auto"/>
              <w:ind w:firstLine="0"/>
            </w:pPr>
            <w:r w:rsidRPr="00F175A7">
              <w:t xml:space="preserve">Indicateurs </w:t>
            </w:r>
          </w:p>
        </w:tc>
        <w:tc>
          <w:tcPr>
            <w:tcW w:w="749" w:type="pct"/>
          </w:tcPr>
          <w:p w14:paraId="7A711BE3" w14:textId="77777777" w:rsidR="00901D23" w:rsidRPr="002A619B" w:rsidRDefault="00901D23" w:rsidP="00F175A7">
            <w:pPr>
              <w:keepNext/>
              <w:keepLines/>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175A7">
              <w:t>Réal 2022</w:t>
            </w:r>
          </w:p>
        </w:tc>
        <w:tc>
          <w:tcPr>
            <w:tcW w:w="749" w:type="pct"/>
          </w:tcPr>
          <w:p w14:paraId="6047C847" w14:textId="77777777" w:rsidR="00901D23" w:rsidRPr="002A619B" w:rsidRDefault="00901D23" w:rsidP="00F175A7">
            <w:pPr>
              <w:keepNext/>
              <w:keepLines/>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175A7">
              <w:t>Réal 2023</w:t>
            </w:r>
          </w:p>
        </w:tc>
        <w:tc>
          <w:tcPr>
            <w:tcW w:w="760" w:type="pct"/>
          </w:tcPr>
          <w:p w14:paraId="3CDB2C87" w14:textId="77777777" w:rsidR="00901D23" w:rsidRPr="002A619B" w:rsidRDefault="00901D23" w:rsidP="00F175A7">
            <w:pPr>
              <w:keepNext/>
              <w:keepLines/>
              <w:spacing w:after="0" w:line="240" w:lineRule="auto"/>
              <w:ind w:firstLine="0"/>
              <w:cnfStyle w:val="100000000000" w:firstRow="1" w:lastRow="0" w:firstColumn="0" w:lastColumn="0" w:oddVBand="0" w:evenVBand="0" w:oddHBand="0" w:evenHBand="0" w:firstRowFirstColumn="0" w:firstRowLastColumn="0" w:lastRowFirstColumn="0" w:lastRowLastColumn="0"/>
            </w:pPr>
            <w:r w:rsidRPr="00F175A7">
              <w:t>Cible 2023</w:t>
            </w:r>
          </w:p>
        </w:tc>
      </w:tr>
      <w:tr w:rsidR="00901D23" w:rsidRPr="00F175A7" w14:paraId="0C6C6348" w14:textId="77777777" w:rsidTr="0050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47D9C103" w14:textId="77777777" w:rsidR="00901D23" w:rsidRPr="002A619B" w:rsidRDefault="00901D23" w:rsidP="00F175A7">
            <w:pPr>
              <w:keepNext/>
              <w:keepLines/>
              <w:spacing w:after="0" w:line="240" w:lineRule="auto"/>
              <w:ind w:firstLine="0"/>
            </w:pPr>
            <w:r w:rsidRPr="00F175A7">
              <w:t>Nombre de nouveaux logements construits</w:t>
            </w:r>
          </w:p>
        </w:tc>
        <w:tc>
          <w:tcPr>
            <w:tcW w:w="749" w:type="pct"/>
          </w:tcPr>
          <w:p w14:paraId="07CE5A6C" w14:textId="77777777" w:rsidR="00901D23" w:rsidRPr="002A619B" w:rsidRDefault="00901D2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652</w:t>
            </w:r>
          </w:p>
        </w:tc>
        <w:tc>
          <w:tcPr>
            <w:tcW w:w="749" w:type="pct"/>
          </w:tcPr>
          <w:p w14:paraId="126F9BE8" w14:textId="77777777" w:rsidR="00901D23" w:rsidRPr="002A619B" w:rsidRDefault="00901D2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260</w:t>
            </w:r>
          </w:p>
        </w:tc>
        <w:tc>
          <w:tcPr>
            <w:tcW w:w="760" w:type="pct"/>
          </w:tcPr>
          <w:p w14:paraId="5EBCCF5F" w14:textId="77777777" w:rsidR="00901D23" w:rsidRPr="002A619B" w:rsidRDefault="00901D2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1 500</w:t>
            </w:r>
          </w:p>
        </w:tc>
      </w:tr>
      <w:tr w:rsidR="00901D23" w:rsidRPr="00F175A7" w14:paraId="72DC62F3" w14:textId="77777777" w:rsidTr="005006BF">
        <w:tc>
          <w:tcPr>
            <w:cnfStyle w:val="001000000000" w:firstRow="0" w:lastRow="0" w:firstColumn="1" w:lastColumn="0" w:oddVBand="0" w:evenVBand="0" w:oddHBand="0" w:evenHBand="0" w:firstRowFirstColumn="0" w:firstRowLastColumn="0" w:lastRowFirstColumn="0" w:lastRowLastColumn="0"/>
            <w:tcW w:w="2742" w:type="pct"/>
          </w:tcPr>
          <w:p w14:paraId="3529669F" w14:textId="77777777" w:rsidR="00901D23" w:rsidRPr="002A619B" w:rsidRDefault="00901D23" w:rsidP="00F175A7">
            <w:pPr>
              <w:keepNext/>
              <w:keepLines/>
              <w:spacing w:after="0" w:line="240" w:lineRule="auto"/>
              <w:ind w:firstLine="0"/>
            </w:pPr>
            <w:r w:rsidRPr="00F175A7">
              <w:t>Nombre de logements sociaux construits en faveur des PDI</w:t>
            </w:r>
          </w:p>
        </w:tc>
        <w:tc>
          <w:tcPr>
            <w:tcW w:w="749" w:type="pct"/>
          </w:tcPr>
          <w:p w14:paraId="1052B4B6" w14:textId="77777777" w:rsidR="00901D23" w:rsidRPr="002A619B" w:rsidRDefault="00901D2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F175A7">
              <w:t>0</w:t>
            </w:r>
          </w:p>
        </w:tc>
        <w:tc>
          <w:tcPr>
            <w:tcW w:w="749" w:type="pct"/>
          </w:tcPr>
          <w:p w14:paraId="4FEB6084" w14:textId="77777777" w:rsidR="00901D23" w:rsidRPr="002A619B" w:rsidRDefault="00901D2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F175A7">
              <w:t>312</w:t>
            </w:r>
          </w:p>
        </w:tc>
        <w:tc>
          <w:tcPr>
            <w:tcW w:w="760" w:type="pct"/>
          </w:tcPr>
          <w:p w14:paraId="13E27CDA" w14:textId="77777777" w:rsidR="00901D23" w:rsidRPr="002A619B" w:rsidRDefault="00901D23" w:rsidP="00F175A7">
            <w:pPr>
              <w:keepNext/>
              <w:keepLines/>
              <w:spacing w:after="0" w:line="240" w:lineRule="auto"/>
              <w:cnfStyle w:val="000000000000" w:firstRow="0" w:lastRow="0" w:firstColumn="0" w:lastColumn="0" w:oddVBand="0" w:evenVBand="0" w:oddHBand="0" w:evenHBand="0" w:firstRowFirstColumn="0" w:firstRowLastColumn="0" w:lastRowFirstColumn="0" w:lastRowLastColumn="0"/>
            </w:pPr>
            <w:r w:rsidRPr="00F175A7">
              <w:t>322</w:t>
            </w:r>
          </w:p>
        </w:tc>
      </w:tr>
      <w:tr w:rsidR="00901D23" w:rsidRPr="00F175A7" w14:paraId="20D06B28" w14:textId="77777777" w:rsidTr="0050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14:paraId="0BCD077B" w14:textId="77777777" w:rsidR="00901D23" w:rsidRPr="002A619B" w:rsidRDefault="00901D23" w:rsidP="00F175A7">
            <w:pPr>
              <w:keepNext/>
              <w:keepLines/>
              <w:spacing w:after="0" w:line="240" w:lineRule="auto"/>
              <w:ind w:firstLine="0"/>
            </w:pPr>
            <w:r w:rsidRPr="00F175A7">
              <w:t>Nombre de logements économiques construits</w:t>
            </w:r>
          </w:p>
        </w:tc>
        <w:tc>
          <w:tcPr>
            <w:tcW w:w="749" w:type="pct"/>
          </w:tcPr>
          <w:p w14:paraId="53A4AF42" w14:textId="77777777" w:rsidR="00901D23" w:rsidRPr="002A619B" w:rsidRDefault="00901D2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180</w:t>
            </w:r>
          </w:p>
        </w:tc>
        <w:tc>
          <w:tcPr>
            <w:tcW w:w="749" w:type="pct"/>
          </w:tcPr>
          <w:p w14:paraId="6FE44BF1" w14:textId="77777777" w:rsidR="00901D23" w:rsidRPr="002A619B" w:rsidRDefault="00901D2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332</w:t>
            </w:r>
          </w:p>
        </w:tc>
        <w:tc>
          <w:tcPr>
            <w:tcW w:w="760" w:type="pct"/>
          </w:tcPr>
          <w:p w14:paraId="24425C01" w14:textId="77777777" w:rsidR="00901D23" w:rsidRPr="002A619B" w:rsidRDefault="00901D23" w:rsidP="00F175A7">
            <w:pPr>
              <w:keepNext/>
              <w:keepLines/>
              <w:spacing w:after="0" w:line="240" w:lineRule="auto"/>
              <w:cnfStyle w:val="000000100000" w:firstRow="0" w:lastRow="0" w:firstColumn="0" w:lastColumn="0" w:oddVBand="0" w:evenVBand="0" w:oddHBand="1" w:evenHBand="0" w:firstRowFirstColumn="0" w:firstRowLastColumn="0" w:lastRowFirstColumn="0" w:lastRowLastColumn="0"/>
            </w:pPr>
            <w:r w:rsidRPr="00F175A7">
              <w:t>300</w:t>
            </w:r>
          </w:p>
        </w:tc>
      </w:tr>
    </w:tbl>
    <w:p w14:paraId="76AB9A5F" w14:textId="23D05DC4" w:rsidR="00901D23" w:rsidRPr="00F175A7" w:rsidRDefault="00901D23" w:rsidP="005006BF">
      <w:pPr>
        <w:keepNext/>
        <w:keepLines/>
        <w:shd w:val="clear" w:color="auto" w:fill="FFFFFF"/>
        <w:spacing w:before="120" w:after="120" w:line="276" w:lineRule="auto"/>
        <w:rPr>
          <w:sz w:val="20"/>
          <w:szCs w:val="20"/>
        </w:rPr>
      </w:pPr>
      <w:r w:rsidRPr="00F175A7">
        <w:rPr>
          <w:b/>
          <w:sz w:val="20"/>
          <w:szCs w:val="20"/>
          <w:u w:val="single"/>
        </w:rPr>
        <w:t>Source</w:t>
      </w:r>
      <w:r w:rsidR="00287D1E">
        <w:rPr>
          <w:sz w:val="20"/>
          <w:szCs w:val="20"/>
        </w:rPr>
        <w:t xml:space="preserve"> : r</w:t>
      </w:r>
      <w:r w:rsidRPr="00F175A7">
        <w:rPr>
          <w:sz w:val="20"/>
          <w:szCs w:val="20"/>
        </w:rPr>
        <w:t xml:space="preserve">apport </w:t>
      </w:r>
      <w:r w:rsidR="00287D1E">
        <w:rPr>
          <w:sz w:val="20"/>
          <w:szCs w:val="20"/>
        </w:rPr>
        <w:t xml:space="preserve">annuel </w:t>
      </w:r>
      <w:r w:rsidRPr="00F175A7">
        <w:rPr>
          <w:sz w:val="20"/>
          <w:szCs w:val="20"/>
        </w:rPr>
        <w:t>de performance</w:t>
      </w:r>
      <w:r w:rsidR="002A619B">
        <w:rPr>
          <w:sz w:val="20"/>
          <w:szCs w:val="20"/>
        </w:rPr>
        <w:t xml:space="preserve"> 2023</w:t>
      </w:r>
      <w:r w:rsidR="00287D1E">
        <w:rPr>
          <w:sz w:val="20"/>
          <w:szCs w:val="20"/>
        </w:rPr>
        <w:t xml:space="preserve"> du CSD-</w:t>
      </w:r>
      <w:r w:rsidRPr="00F175A7">
        <w:rPr>
          <w:sz w:val="20"/>
          <w:szCs w:val="20"/>
        </w:rPr>
        <w:t>ITCH, février 2024</w:t>
      </w:r>
    </w:p>
    <w:p w14:paraId="3982AC08" w14:textId="5CAD37E7" w:rsidR="00264573" w:rsidRPr="00901D23" w:rsidRDefault="00901D23" w:rsidP="00F175A7">
      <w:pPr>
        <w:numPr>
          <w:ilvl w:val="0"/>
          <w:numId w:val="8"/>
        </w:numPr>
        <w:shd w:val="clear" w:color="auto" w:fill="FFFFFF"/>
        <w:spacing w:before="120" w:after="120" w:line="240" w:lineRule="auto"/>
        <w:ind w:left="0"/>
        <w:rPr>
          <w:rFonts w:eastAsia="Calibri"/>
          <w:szCs w:val="24"/>
        </w:rPr>
      </w:pPr>
      <w:r w:rsidRPr="00901D23">
        <w:rPr>
          <w:rFonts w:eastAsia="Calibri"/>
          <w:szCs w:val="24"/>
        </w:rPr>
        <w:t xml:space="preserve"> Au terme de l’année 2023, 904 logements ont été construits sur une prévision de 2 122 logements</w:t>
      </w:r>
      <w:r w:rsidR="009277D9">
        <w:rPr>
          <w:rFonts w:eastAsia="Calibri"/>
          <w:szCs w:val="24"/>
        </w:rPr>
        <w:t>,</w:t>
      </w:r>
      <w:r w:rsidRPr="00901D23">
        <w:rPr>
          <w:rFonts w:eastAsia="Calibri"/>
          <w:szCs w:val="24"/>
        </w:rPr>
        <w:t xml:space="preserve"> soit un taux de réalisation de 42,60%. Au niveau des trois (03) indicateurs, </w:t>
      </w:r>
      <w:r w:rsidR="009277D9">
        <w:rPr>
          <w:rFonts w:eastAsia="Calibri"/>
          <w:szCs w:val="24"/>
        </w:rPr>
        <w:t xml:space="preserve">le </w:t>
      </w:r>
      <w:r w:rsidR="009277D9">
        <w:t>n</w:t>
      </w:r>
      <w:r w:rsidR="009277D9" w:rsidRPr="00F175A7">
        <w:t>ombre de logements économiques construits</w:t>
      </w:r>
      <w:r w:rsidR="009277D9" w:rsidRPr="00901D23">
        <w:rPr>
          <w:rFonts w:eastAsia="Calibri"/>
          <w:szCs w:val="24"/>
        </w:rPr>
        <w:t xml:space="preserve"> </w:t>
      </w:r>
      <w:r w:rsidRPr="00901D23">
        <w:rPr>
          <w:rFonts w:eastAsia="Calibri"/>
          <w:szCs w:val="24"/>
        </w:rPr>
        <w:t xml:space="preserve">a enregistré une performance de plus de 100% grâce aux réalisations du Centre de </w:t>
      </w:r>
      <w:r w:rsidR="000C47BD">
        <w:rPr>
          <w:rFonts w:eastAsia="Calibri"/>
          <w:szCs w:val="24"/>
        </w:rPr>
        <w:t>g</w:t>
      </w:r>
      <w:r w:rsidRPr="00901D23">
        <w:rPr>
          <w:rFonts w:eastAsia="Calibri"/>
          <w:szCs w:val="24"/>
        </w:rPr>
        <w:t xml:space="preserve">estion des </w:t>
      </w:r>
      <w:r w:rsidR="000C47BD">
        <w:rPr>
          <w:rFonts w:eastAsia="Calibri"/>
          <w:szCs w:val="24"/>
        </w:rPr>
        <w:t>c</w:t>
      </w:r>
      <w:r w:rsidRPr="00901D23">
        <w:rPr>
          <w:rFonts w:eastAsia="Calibri"/>
          <w:szCs w:val="24"/>
        </w:rPr>
        <w:t xml:space="preserve">ités (CEGECI) et des promoteurs immobiliers sous convention, </w:t>
      </w:r>
      <w:r w:rsidR="009277D9">
        <w:rPr>
          <w:rFonts w:eastAsia="Calibri"/>
          <w:szCs w:val="24"/>
        </w:rPr>
        <w:t>le n</w:t>
      </w:r>
      <w:r w:rsidR="009277D9" w:rsidRPr="00F175A7">
        <w:t>ombre de logements sociaux construits en faveur des PDI</w:t>
      </w:r>
      <w:r w:rsidR="009277D9" w:rsidRPr="00901D23">
        <w:rPr>
          <w:rFonts w:eastAsia="Calibri"/>
          <w:szCs w:val="24"/>
        </w:rPr>
        <w:t xml:space="preserve"> </w:t>
      </w:r>
      <w:r w:rsidRPr="00901D23">
        <w:rPr>
          <w:rFonts w:eastAsia="Calibri"/>
          <w:szCs w:val="24"/>
        </w:rPr>
        <w:t xml:space="preserve">a connu un niveau de réalisation satisfaisant de 96,9%, et </w:t>
      </w:r>
      <w:r w:rsidR="00E57C7E">
        <w:rPr>
          <w:rFonts w:eastAsia="Calibri"/>
          <w:szCs w:val="24"/>
        </w:rPr>
        <w:t>enfin le n</w:t>
      </w:r>
      <w:r w:rsidR="00E57C7E" w:rsidRPr="00F175A7">
        <w:t>ombre de nouveaux logements construits</w:t>
      </w:r>
      <w:r w:rsidR="00E57C7E" w:rsidRPr="00901D23">
        <w:rPr>
          <w:rFonts w:eastAsia="Calibri"/>
          <w:szCs w:val="24"/>
        </w:rPr>
        <w:t xml:space="preserve"> </w:t>
      </w:r>
      <w:r w:rsidRPr="00901D23">
        <w:rPr>
          <w:rFonts w:eastAsia="Calibri"/>
          <w:szCs w:val="24"/>
        </w:rPr>
        <w:t>a enregistré un faible taux de réalisation de 17,33% expliqué par l’achèvement du Programme national de construction de logements (PNCL) au 31 décembre 2022</w:t>
      </w:r>
      <w:r w:rsidR="00E57C7E">
        <w:rPr>
          <w:rFonts w:eastAsia="Calibri"/>
          <w:szCs w:val="24"/>
        </w:rPr>
        <w:t>.</w:t>
      </w:r>
    </w:p>
    <w:p w14:paraId="64D6793E" w14:textId="77777777" w:rsidR="00264573" w:rsidRPr="008D2129" w:rsidRDefault="00264573" w:rsidP="003F1127">
      <w:pPr>
        <w:shd w:val="clear" w:color="auto" w:fill="FFFFFF"/>
        <w:spacing w:before="120" w:after="120" w:line="240" w:lineRule="auto"/>
      </w:pPr>
    </w:p>
    <w:p w14:paraId="4ED73F18" w14:textId="1033EA2D" w:rsidR="005C4B32" w:rsidRPr="005C4B32" w:rsidRDefault="00EA252D" w:rsidP="005C4B32">
      <w:pPr>
        <w:pStyle w:val="PAT4"/>
      </w:pPr>
      <w:bookmarkStart w:id="135" w:name="_Toc163141235"/>
      <w:r w:rsidRPr="008D2129">
        <w:t>Synthèse de la consolidation du développement du capital humain et de la solidarité nationale</w:t>
      </w:r>
      <w:bookmarkEnd w:id="135"/>
    </w:p>
    <w:p w14:paraId="6AF82B1F" w14:textId="77777777" w:rsidR="00D930A9" w:rsidRPr="00C135AD" w:rsidRDefault="00D930A9" w:rsidP="00D930A9">
      <w:pPr>
        <w:numPr>
          <w:ilvl w:val="0"/>
          <w:numId w:val="8"/>
        </w:numPr>
        <w:shd w:val="clear" w:color="auto" w:fill="FFFFFF"/>
        <w:spacing w:before="120" w:after="120" w:line="240" w:lineRule="auto"/>
        <w:ind w:left="0"/>
        <w:rPr>
          <w:rFonts w:eastAsia="Calibri"/>
          <w:szCs w:val="24"/>
        </w:rPr>
      </w:pPr>
      <w:r w:rsidRPr="00551C0C">
        <w:rPr>
          <w:rFonts w:eastAsia="Calibri"/>
          <w:szCs w:val="24"/>
        </w:rPr>
        <w:t xml:space="preserve">Le bilan de l’exécution de l’axe </w:t>
      </w:r>
      <w:r>
        <w:rPr>
          <w:rFonts w:eastAsia="Calibri"/>
          <w:szCs w:val="24"/>
        </w:rPr>
        <w:t>3</w:t>
      </w:r>
      <w:r w:rsidRPr="00551C0C">
        <w:rPr>
          <w:rFonts w:eastAsia="Calibri"/>
          <w:szCs w:val="24"/>
        </w:rPr>
        <w:t xml:space="preserve"> du </w:t>
      </w:r>
      <w:r>
        <w:rPr>
          <w:rFonts w:eastAsia="Calibri"/>
          <w:szCs w:val="24"/>
        </w:rPr>
        <w:t>P</w:t>
      </w:r>
      <w:r w:rsidRPr="00551C0C">
        <w:rPr>
          <w:rFonts w:eastAsia="Calibri"/>
          <w:szCs w:val="24"/>
        </w:rPr>
        <w:t>ilier</w:t>
      </w:r>
      <w:r>
        <w:rPr>
          <w:rFonts w:eastAsia="Calibri"/>
          <w:szCs w:val="24"/>
        </w:rPr>
        <w:t xml:space="preserve"> 3</w:t>
      </w:r>
      <w:r w:rsidRPr="00551C0C">
        <w:rPr>
          <w:rFonts w:eastAsia="Calibri"/>
          <w:szCs w:val="24"/>
        </w:rPr>
        <w:t xml:space="preserve"> par objectif stratégique se présente comme suit.</w:t>
      </w:r>
    </w:p>
    <w:p w14:paraId="4D9B2345" w14:textId="77777777" w:rsidR="00D930A9" w:rsidRPr="00D930A9" w:rsidRDefault="00D930A9" w:rsidP="00D930A9">
      <w:pPr>
        <w:numPr>
          <w:ilvl w:val="0"/>
          <w:numId w:val="8"/>
        </w:numPr>
        <w:shd w:val="clear" w:color="auto" w:fill="FFFFFF"/>
        <w:spacing w:before="120" w:after="120" w:line="240" w:lineRule="auto"/>
        <w:ind w:left="0"/>
        <w:rPr>
          <w:rFonts w:eastAsia="Calibri"/>
          <w:szCs w:val="24"/>
        </w:rPr>
      </w:pPr>
      <w:r w:rsidRPr="0042784A">
        <w:rPr>
          <w:rFonts w:eastAsia="Calibri"/>
          <w:bCs/>
          <w:szCs w:val="24"/>
        </w:rPr>
        <w:t>Au titre de l’objectif stratégique 3.1 : promouvoir la santé de la population et accélérer la transition démographique,</w:t>
      </w:r>
      <w:r w:rsidRPr="00D930A9">
        <w:rPr>
          <w:rFonts w:eastAsia="Calibri"/>
          <w:szCs w:val="24"/>
        </w:rPr>
        <w:t xml:space="preserve"> les principales avancées concernent : (i) la poursuite des réformes en matière de santé (03049</w:t>
      </w:r>
      <w:r w:rsidRPr="00345EBE">
        <w:rPr>
          <w:rFonts w:eastAsia="Calibri"/>
          <w:szCs w:val="24"/>
        </w:rPr>
        <w:t>), avec l’octroi de prestations gratuites de santé à 10 306 739 enfants de moins de 05 ans et à 9 228 233 femmes, l’administration à 95,18% des enfant</w:t>
      </w:r>
      <w:r>
        <w:rPr>
          <w:rFonts w:eastAsia="Calibri"/>
          <w:szCs w:val="24"/>
        </w:rPr>
        <w:t>s</w:t>
      </w:r>
      <w:r w:rsidRPr="00345EBE">
        <w:rPr>
          <w:rFonts w:eastAsia="Calibri"/>
          <w:szCs w:val="24"/>
        </w:rPr>
        <w:t xml:space="preserve"> de doses de vaccin contre l’hépatite B et à 95,6% des enfants de doses contre le </w:t>
      </w:r>
      <w:proofErr w:type="spellStart"/>
      <w:r w:rsidRPr="00345EBE">
        <w:rPr>
          <w:rFonts w:eastAsia="Calibri"/>
          <w:szCs w:val="24"/>
        </w:rPr>
        <w:t>Human</w:t>
      </w:r>
      <w:proofErr w:type="spellEnd"/>
      <w:r w:rsidRPr="00345EBE">
        <w:rPr>
          <w:rFonts w:eastAsia="Calibri"/>
          <w:szCs w:val="24"/>
        </w:rPr>
        <w:t xml:space="preserve"> papillomavirus (HPV) et l’organisation de 33 395 séances de sport pour tous ; (ii) la poursuite de la mise en œuvre de la stratégie de santé communautaire (03050) avec la disponibilité des ressources humaines en santé communautaire et l’offre d’interventions de service de santé de qualité à la population ; (iii) la poursuite des investissements en matière de santé (</w:t>
      </w:r>
      <w:r>
        <w:rPr>
          <w:rFonts w:eastAsia="Calibri"/>
          <w:szCs w:val="24"/>
        </w:rPr>
        <w:t>0</w:t>
      </w:r>
      <w:r w:rsidRPr="00345EBE">
        <w:rPr>
          <w:rFonts w:eastAsia="Calibri"/>
          <w:szCs w:val="24"/>
        </w:rPr>
        <w:t>3051) avec la construction de 50 nouveaux CSPS</w:t>
      </w:r>
      <w:r>
        <w:rPr>
          <w:rFonts w:eastAsia="Calibri"/>
          <w:szCs w:val="24"/>
        </w:rPr>
        <w:t xml:space="preserve"> et</w:t>
      </w:r>
      <w:r w:rsidRPr="00345EBE">
        <w:rPr>
          <w:rFonts w:eastAsia="Calibri"/>
          <w:szCs w:val="24"/>
        </w:rPr>
        <w:t xml:space="preserve"> </w:t>
      </w:r>
      <w:r>
        <w:rPr>
          <w:rFonts w:eastAsia="Calibri"/>
          <w:szCs w:val="24"/>
        </w:rPr>
        <w:t>l</w:t>
      </w:r>
      <w:r w:rsidRPr="00345EBE">
        <w:rPr>
          <w:rFonts w:eastAsia="Calibri"/>
          <w:szCs w:val="24"/>
        </w:rPr>
        <w:t xml:space="preserve">es avancées </w:t>
      </w:r>
      <w:r>
        <w:rPr>
          <w:rFonts w:eastAsia="Calibri"/>
          <w:szCs w:val="24"/>
        </w:rPr>
        <w:t xml:space="preserve">enregistrées </w:t>
      </w:r>
      <w:r w:rsidRPr="00345EBE">
        <w:rPr>
          <w:rFonts w:eastAsia="Calibri"/>
          <w:szCs w:val="24"/>
        </w:rPr>
        <w:t>dans la construction d</w:t>
      </w:r>
      <w:r>
        <w:rPr>
          <w:rFonts w:eastAsia="Calibri"/>
          <w:szCs w:val="24"/>
        </w:rPr>
        <w:t xml:space="preserve">u </w:t>
      </w:r>
      <w:r w:rsidRPr="00345EBE">
        <w:rPr>
          <w:rFonts w:eastAsia="Calibri"/>
          <w:szCs w:val="24"/>
        </w:rPr>
        <w:t xml:space="preserve">centre de cancérologie de </w:t>
      </w:r>
      <w:proofErr w:type="spellStart"/>
      <w:r w:rsidRPr="00345EBE">
        <w:rPr>
          <w:rFonts w:eastAsia="Calibri"/>
          <w:szCs w:val="24"/>
        </w:rPr>
        <w:t>Tengandogo</w:t>
      </w:r>
      <w:proofErr w:type="spellEnd"/>
      <w:r w:rsidRPr="00345EBE">
        <w:rPr>
          <w:rFonts w:eastAsia="Calibri"/>
          <w:szCs w:val="24"/>
        </w:rPr>
        <w:t xml:space="preserve"> </w:t>
      </w:r>
      <w:r>
        <w:rPr>
          <w:rFonts w:eastAsia="Calibri"/>
          <w:szCs w:val="24"/>
        </w:rPr>
        <w:t>avec un taux de réalisation physique de la première phase de</w:t>
      </w:r>
      <w:r w:rsidRPr="00345EBE">
        <w:rPr>
          <w:rFonts w:eastAsia="Calibri"/>
          <w:szCs w:val="24"/>
        </w:rPr>
        <w:t xml:space="preserve"> 98 %</w:t>
      </w:r>
      <w:r>
        <w:rPr>
          <w:rFonts w:eastAsia="Calibri"/>
          <w:szCs w:val="24"/>
        </w:rPr>
        <w:t>,</w:t>
      </w:r>
      <w:r w:rsidRPr="00345EBE">
        <w:rPr>
          <w:rFonts w:eastAsia="Calibri"/>
          <w:szCs w:val="24"/>
        </w:rPr>
        <w:t xml:space="preserve"> du centre de radiothérapie de bobo </w:t>
      </w:r>
      <w:r>
        <w:rPr>
          <w:rFonts w:eastAsia="Calibri"/>
          <w:szCs w:val="24"/>
        </w:rPr>
        <w:t>avec un taux de</w:t>
      </w:r>
      <w:r w:rsidRPr="00345EBE">
        <w:rPr>
          <w:rFonts w:eastAsia="Calibri"/>
          <w:szCs w:val="24"/>
        </w:rPr>
        <w:t xml:space="preserve"> </w:t>
      </w:r>
      <w:r w:rsidRPr="00D930A9">
        <w:rPr>
          <w:rFonts w:eastAsia="Calibri"/>
          <w:szCs w:val="24"/>
        </w:rPr>
        <w:t xml:space="preserve">65 % et </w:t>
      </w:r>
      <w:r w:rsidRPr="00770276">
        <w:rPr>
          <w:rFonts w:eastAsia="Calibri"/>
          <w:szCs w:val="24"/>
        </w:rPr>
        <w:t xml:space="preserve">du CHR de </w:t>
      </w:r>
      <w:r w:rsidRPr="00970155">
        <w:rPr>
          <w:rFonts w:eastAsia="Calibri"/>
          <w:szCs w:val="24"/>
        </w:rPr>
        <w:t xml:space="preserve">Manga avec un </w:t>
      </w:r>
      <w:r w:rsidRPr="0046758C">
        <w:rPr>
          <w:rFonts w:eastAsia="Calibri"/>
          <w:szCs w:val="24"/>
        </w:rPr>
        <w:t xml:space="preserve">taux </w:t>
      </w:r>
      <w:r w:rsidRPr="00D930A9">
        <w:rPr>
          <w:rFonts w:eastAsia="Calibri"/>
          <w:szCs w:val="24"/>
        </w:rPr>
        <w:t>de 95,54%.</w:t>
      </w:r>
    </w:p>
    <w:p w14:paraId="53A4F431" w14:textId="77777777" w:rsidR="00D930A9" w:rsidRPr="00D930A9" w:rsidRDefault="00D930A9" w:rsidP="00D930A9">
      <w:pPr>
        <w:numPr>
          <w:ilvl w:val="0"/>
          <w:numId w:val="8"/>
        </w:numPr>
        <w:shd w:val="clear" w:color="auto" w:fill="FFFFFF"/>
        <w:spacing w:before="120" w:after="120" w:line="240" w:lineRule="auto"/>
        <w:ind w:left="0"/>
        <w:rPr>
          <w:rFonts w:eastAsia="Calibri"/>
          <w:szCs w:val="24"/>
        </w:rPr>
      </w:pPr>
      <w:r w:rsidRPr="0042784A">
        <w:rPr>
          <w:rFonts w:eastAsia="Calibri"/>
          <w:bCs/>
          <w:szCs w:val="24"/>
        </w:rPr>
        <w:t xml:space="preserve">Au titre de l’objectif stratégique 3.2 : accroître l’offre et améliorer la qualité de l’éducation, de l’enseignement supérieur et de la formation en adéquation avec les besoins de </w:t>
      </w:r>
      <w:r w:rsidRPr="0042784A">
        <w:rPr>
          <w:rFonts w:eastAsia="Calibri"/>
          <w:bCs/>
          <w:szCs w:val="24"/>
        </w:rPr>
        <w:lastRenderedPageBreak/>
        <w:t>l’économie</w:t>
      </w:r>
      <w:r w:rsidRPr="00D930A9">
        <w:rPr>
          <w:rFonts w:eastAsia="Calibri"/>
          <w:szCs w:val="24"/>
        </w:rPr>
        <w:t xml:space="preserve">, les principales avancées portent sur (i) l’amélioration de la qualité et l'accès au système éducatif (03053) avec la formation de 5 847 dont 1 573 femmes dans les </w:t>
      </w:r>
      <w:r w:rsidRPr="00770276">
        <w:rPr>
          <w:rFonts w:eastAsia="Calibri"/>
          <w:szCs w:val="24"/>
        </w:rPr>
        <w:t>c</w:t>
      </w:r>
      <w:r w:rsidRPr="00970155">
        <w:rPr>
          <w:rFonts w:eastAsia="Calibri"/>
          <w:szCs w:val="24"/>
        </w:rPr>
        <w:t>entres de formation professionnelle</w:t>
      </w:r>
      <w:r w:rsidRPr="0046758C">
        <w:rPr>
          <w:rFonts w:eastAsia="Calibri"/>
          <w:szCs w:val="24"/>
        </w:rPr>
        <w:t xml:space="preserve"> ;</w:t>
      </w:r>
      <w:r w:rsidRPr="00D930A9">
        <w:rPr>
          <w:rFonts w:eastAsia="Calibri"/>
          <w:szCs w:val="24"/>
        </w:rPr>
        <w:t xml:space="preserve"> la mise en œuvre du fichier national des élèves, l’inscription en ligne des élèves et la production des cartes d’identité scolaires au Burkina Faso dans deux (02) provinces pilotes (Boulgou et </w:t>
      </w:r>
      <w:proofErr w:type="spellStart"/>
      <w:r w:rsidRPr="00D930A9">
        <w:rPr>
          <w:rFonts w:eastAsia="Calibri"/>
          <w:szCs w:val="24"/>
        </w:rPr>
        <w:t>Kourwéogo</w:t>
      </w:r>
      <w:proofErr w:type="spellEnd"/>
      <w:r w:rsidRPr="00D930A9">
        <w:rPr>
          <w:rFonts w:eastAsia="Calibri"/>
          <w:szCs w:val="24"/>
        </w:rPr>
        <w:t xml:space="preserve">); (ii) le renforcement de la gouvernance de l'enseignement supérieur (03055) avec le recrutement de 187 assistants, assistants hospitalo-universitaires et attachés de recherche ; (iii) l’amélioration de l’offre et de la qualité de l’enseignement supérieur (03056) avec l’accord des aides et des prêts à 98 467 étudiants, des bourses à 8 630 étudiants, l’hébergement de 7 812 étudiants, la fourniture de 12 139 668 de plats par les restaurants universitaires et la subvention de 10 294 ordinateurs au profit des étudiants. </w:t>
      </w:r>
    </w:p>
    <w:p w14:paraId="7A38EBBE" w14:textId="5185D6CB" w:rsidR="00D930A9" w:rsidRPr="00D930A9" w:rsidRDefault="00D930A9" w:rsidP="00D930A9">
      <w:pPr>
        <w:numPr>
          <w:ilvl w:val="0"/>
          <w:numId w:val="8"/>
        </w:numPr>
        <w:shd w:val="clear" w:color="auto" w:fill="FFFFFF"/>
        <w:spacing w:before="120" w:after="120" w:line="240" w:lineRule="auto"/>
        <w:ind w:left="0"/>
        <w:rPr>
          <w:rFonts w:eastAsia="Calibri"/>
          <w:szCs w:val="24"/>
        </w:rPr>
      </w:pPr>
      <w:r w:rsidRPr="0042784A">
        <w:rPr>
          <w:rFonts w:eastAsia="Calibri"/>
          <w:bCs/>
          <w:szCs w:val="24"/>
        </w:rPr>
        <w:t>S’agissant de l’objectif stratégique 3.3 : promouvoir la recherche et l’innovation et renforcer leur utilisation en faveur de la transformation de l’économie</w:t>
      </w:r>
      <w:r w:rsidRPr="00D930A9">
        <w:rPr>
          <w:rFonts w:eastAsia="Calibri"/>
          <w:szCs w:val="24"/>
        </w:rPr>
        <w:t>, les principaux résultats portent, entre autres</w:t>
      </w:r>
      <w:r w:rsidRPr="00770276">
        <w:rPr>
          <w:rFonts w:eastAsia="Calibri"/>
          <w:szCs w:val="24"/>
        </w:rPr>
        <w:t xml:space="preserve"> sur</w:t>
      </w:r>
      <w:r w:rsidRPr="00970155">
        <w:rPr>
          <w:rFonts w:eastAsia="Calibri"/>
          <w:szCs w:val="24"/>
        </w:rPr>
        <w:t xml:space="preserve"> la génération de 5</w:t>
      </w:r>
      <w:r w:rsidR="00FE6ADA">
        <w:rPr>
          <w:rFonts w:eastAsia="Calibri"/>
          <w:szCs w:val="24"/>
        </w:rPr>
        <w:t>9</w:t>
      </w:r>
      <w:r w:rsidRPr="00970155">
        <w:rPr>
          <w:rFonts w:eastAsia="Calibri"/>
          <w:szCs w:val="24"/>
        </w:rPr>
        <w:t xml:space="preserve"> technologies, procédés, méthodes et innovations, l’opérationnalisation de la station spatiale Burkina </w:t>
      </w:r>
      <w:r w:rsidRPr="0046758C">
        <w:rPr>
          <w:rFonts w:eastAsia="Calibri"/>
          <w:szCs w:val="24"/>
        </w:rPr>
        <w:t>SAT</w:t>
      </w:r>
      <w:r w:rsidRPr="00D930A9">
        <w:rPr>
          <w:rFonts w:eastAsia="Calibri"/>
          <w:szCs w:val="24"/>
        </w:rPr>
        <w:t>, l’incubation de 10 technologies, innovations et inventions et la construction d’une vitrine d’exposition de technologies, inventions et innovations.</w:t>
      </w:r>
    </w:p>
    <w:p w14:paraId="74B8C019" w14:textId="77777777" w:rsidR="00D930A9" w:rsidRPr="00D930A9" w:rsidRDefault="00D930A9" w:rsidP="00D930A9">
      <w:pPr>
        <w:numPr>
          <w:ilvl w:val="0"/>
          <w:numId w:val="8"/>
        </w:numPr>
        <w:shd w:val="clear" w:color="auto" w:fill="FFFFFF"/>
        <w:spacing w:before="120" w:after="120" w:line="240" w:lineRule="auto"/>
        <w:ind w:left="0"/>
        <w:rPr>
          <w:rFonts w:eastAsia="Calibri"/>
          <w:szCs w:val="24"/>
        </w:rPr>
      </w:pPr>
      <w:r w:rsidRPr="0042784A">
        <w:rPr>
          <w:rFonts w:eastAsia="Calibri"/>
          <w:bCs/>
          <w:szCs w:val="24"/>
        </w:rPr>
        <w:t>Pour ce qui est de l’objectif stratégique 3.4 : promouvoir l’emploi décent et la protection sociale pour tous, particulièrement pour les jeunes et les femmes</w:t>
      </w:r>
      <w:r w:rsidRPr="00D930A9">
        <w:rPr>
          <w:rFonts w:eastAsia="Calibri"/>
          <w:szCs w:val="24"/>
        </w:rPr>
        <w:t xml:space="preserve">, les résultats notables portent sur la (i) promotion du dialogue social en milieu de travail avec 72,7% </w:t>
      </w:r>
      <w:r w:rsidRPr="00770276">
        <w:rPr>
          <w:rFonts w:eastAsia="Calibri"/>
          <w:szCs w:val="24"/>
        </w:rPr>
        <w:t>de la</w:t>
      </w:r>
      <w:r w:rsidRPr="00970155">
        <w:rPr>
          <w:rFonts w:eastAsia="Calibri"/>
          <w:szCs w:val="24"/>
        </w:rPr>
        <w:t xml:space="preserve"> proportion des cadres de concertation tenus</w:t>
      </w:r>
      <w:r w:rsidRPr="0046758C">
        <w:rPr>
          <w:rFonts w:eastAsia="Calibri"/>
          <w:szCs w:val="24"/>
        </w:rPr>
        <w:t xml:space="preserve"> </w:t>
      </w:r>
      <w:r w:rsidRPr="00D930A9">
        <w:rPr>
          <w:rFonts w:eastAsia="Calibri"/>
          <w:szCs w:val="24"/>
        </w:rPr>
        <w:t>; (ii) le renforcement de la protection des enfants en difficulté avec 8 857 enfants victimes de violences pris en charge dont 5 187 filles, la prise en charge de 21 073 enfants victimes de violences et d'abus divers dont 8 256 filles et l’octroi de bourses a 1 215 orphelins des pensionnés de la CARFO et CNSS ; (iii) l’adoption de 5 des 6 décrets d’application de la loi portant sur le RAMU.</w:t>
      </w:r>
    </w:p>
    <w:p w14:paraId="6EAE6475" w14:textId="77777777" w:rsidR="00D930A9" w:rsidRPr="00D930A9" w:rsidRDefault="00D930A9" w:rsidP="00D930A9">
      <w:pPr>
        <w:numPr>
          <w:ilvl w:val="0"/>
          <w:numId w:val="8"/>
        </w:numPr>
        <w:shd w:val="clear" w:color="auto" w:fill="FFFFFF"/>
        <w:spacing w:before="120" w:after="120" w:line="240" w:lineRule="auto"/>
        <w:ind w:left="0"/>
        <w:rPr>
          <w:rFonts w:eastAsia="Calibri"/>
          <w:szCs w:val="24"/>
        </w:rPr>
      </w:pPr>
      <w:r w:rsidRPr="0042784A">
        <w:rPr>
          <w:rFonts w:eastAsia="Calibri"/>
          <w:bCs/>
          <w:szCs w:val="24"/>
        </w:rPr>
        <w:t>Concernant l’objectif stratégique 3.5 : promouvoir l’égalité des sexes et l’autonomisation des femmes et des filles, le</w:t>
      </w:r>
      <w:r w:rsidRPr="00D930A9">
        <w:rPr>
          <w:rFonts w:eastAsia="Calibri"/>
          <w:szCs w:val="24"/>
        </w:rPr>
        <w:t xml:space="preserve"> taux de réalisation physique est de 86,4% pour une réalisation financière de </w:t>
      </w:r>
      <w:r w:rsidRPr="00770276">
        <w:rPr>
          <w:rFonts w:eastAsia="Calibri"/>
          <w:szCs w:val="24"/>
        </w:rPr>
        <w:t>94</w:t>
      </w:r>
      <w:r w:rsidRPr="00970155">
        <w:rPr>
          <w:rFonts w:eastAsia="Calibri"/>
          <w:szCs w:val="24"/>
        </w:rPr>
        <w:t xml:space="preserve">,6%. Les </w:t>
      </w:r>
      <w:r w:rsidRPr="0046758C">
        <w:rPr>
          <w:rFonts w:eastAsia="Calibri"/>
          <w:szCs w:val="24"/>
        </w:rPr>
        <w:t>principales avancées concernent la mise à disposition de technologies de production, de transformation et de conservation à 211 femmes, l’octroi de crédits par les fonds nationaux de financement à 100 457 femmes et la formation de 4</w:t>
      </w:r>
      <w:r w:rsidRPr="00D930A9">
        <w:rPr>
          <w:rFonts w:eastAsia="Calibri"/>
          <w:szCs w:val="24"/>
        </w:rPr>
        <w:t xml:space="preserve"> 800 femmes bénéficiaires de crédits.</w:t>
      </w:r>
    </w:p>
    <w:p w14:paraId="76568194" w14:textId="62927145" w:rsidR="00D930A9" w:rsidRDefault="00D930A9" w:rsidP="00D930A9">
      <w:pPr>
        <w:numPr>
          <w:ilvl w:val="0"/>
          <w:numId w:val="8"/>
        </w:numPr>
        <w:shd w:val="clear" w:color="auto" w:fill="FFFFFF"/>
        <w:spacing w:before="120" w:after="120" w:line="240" w:lineRule="auto"/>
        <w:ind w:left="0"/>
        <w:rPr>
          <w:rFonts w:eastAsia="Calibri"/>
          <w:szCs w:val="24"/>
        </w:rPr>
      </w:pPr>
      <w:r w:rsidRPr="0042784A">
        <w:rPr>
          <w:rFonts w:eastAsia="Calibri"/>
          <w:bCs/>
          <w:szCs w:val="24"/>
        </w:rPr>
        <w:t>Pour ce qui est de l’objectif stratégique 3.6 : améliorer le cadre de vie, l’accès à l’eau potable, à l’assainissement et aux services énergétiques de qualité,</w:t>
      </w:r>
      <w:r w:rsidRPr="00D930A9">
        <w:rPr>
          <w:rFonts w:eastAsia="Calibri"/>
          <w:szCs w:val="24"/>
        </w:rPr>
        <w:t xml:space="preserve"> le taux de réalisations physique se chiffre à </w:t>
      </w:r>
      <w:r w:rsidRPr="00770276">
        <w:rPr>
          <w:rFonts w:eastAsia="Calibri"/>
          <w:szCs w:val="24"/>
        </w:rPr>
        <w:t>59</w:t>
      </w:r>
      <w:r w:rsidRPr="00970155">
        <w:rPr>
          <w:rFonts w:eastAsia="Calibri"/>
          <w:szCs w:val="24"/>
        </w:rPr>
        <w:t xml:space="preserve">,2% pour une réalisation financière de </w:t>
      </w:r>
      <w:r w:rsidRPr="0046758C">
        <w:rPr>
          <w:rFonts w:eastAsia="Calibri"/>
          <w:szCs w:val="24"/>
        </w:rPr>
        <w:t>38</w:t>
      </w:r>
      <w:r w:rsidRPr="00D930A9">
        <w:rPr>
          <w:rFonts w:eastAsia="Calibri"/>
          <w:szCs w:val="24"/>
        </w:rPr>
        <w:t xml:space="preserve">,9%. Les principaux résultats obtenus concernent : (i) l’accès des populations à l’eau potable et à l’assainissement avec la réalisation de 1 </w:t>
      </w:r>
      <w:r w:rsidR="00FE6ADA">
        <w:rPr>
          <w:rFonts w:eastAsia="Calibri"/>
          <w:szCs w:val="24"/>
        </w:rPr>
        <w:t>566</w:t>
      </w:r>
      <w:r w:rsidRPr="00D930A9">
        <w:rPr>
          <w:rFonts w:eastAsia="Calibri"/>
          <w:szCs w:val="24"/>
        </w:rPr>
        <w:t xml:space="preserve"> forages équipés de PMH et 1</w:t>
      </w:r>
      <w:r w:rsidR="00FE6ADA">
        <w:rPr>
          <w:rFonts w:eastAsia="Calibri"/>
          <w:szCs w:val="24"/>
        </w:rPr>
        <w:t>81</w:t>
      </w:r>
      <w:r w:rsidRPr="00D930A9">
        <w:rPr>
          <w:rFonts w:eastAsia="Calibri"/>
          <w:szCs w:val="24"/>
        </w:rPr>
        <w:t xml:space="preserve"> PEA, la réalisation de </w:t>
      </w:r>
      <w:r w:rsidR="00FE6ADA">
        <w:rPr>
          <w:rFonts w:eastAsia="Calibri"/>
          <w:szCs w:val="24"/>
        </w:rPr>
        <w:t>389</w:t>
      </w:r>
      <w:r w:rsidRPr="00D930A9">
        <w:rPr>
          <w:rFonts w:eastAsia="Calibri"/>
          <w:szCs w:val="24"/>
        </w:rPr>
        <w:t xml:space="preserve"> AEPS, 1 </w:t>
      </w:r>
      <w:r w:rsidR="00FE6ADA">
        <w:rPr>
          <w:rFonts w:eastAsia="Calibri"/>
          <w:szCs w:val="24"/>
        </w:rPr>
        <w:t>262</w:t>
      </w:r>
      <w:r w:rsidRPr="00D930A9">
        <w:rPr>
          <w:rFonts w:eastAsia="Calibri"/>
          <w:szCs w:val="24"/>
        </w:rPr>
        <w:t xml:space="preserve"> latrines communautaires et institutionnelles ainsi que 26,7 hectares de superficie reboisée,  le suivi de 109 plans de gestion environnementale et sociale ; (ii) l'accès des populations à l'énergie de qualité avec le raccordement à l’électricité de 1</w:t>
      </w:r>
      <w:r w:rsidR="00FE6ADA">
        <w:rPr>
          <w:rFonts w:eastAsia="Calibri"/>
          <w:szCs w:val="24"/>
        </w:rPr>
        <w:t xml:space="preserve"> </w:t>
      </w:r>
      <w:r w:rsidRPr="00D930A9">
        <w:rPr>
          <w:rFonts w:eastAsia="Calibri"/>
          <w:szCs w:val="24"/>
        </w:rPr>
        <w:t>200 547ménages ; (ii) l’amélioration de l'accès des ménages aux logements décents avec la construction de 904 logements tout type confondus</w:t>
      </w:r>
      <w:r w:rsidR="00E57C5B">
        <w:rPr>
          <w:rFonts w:eastAsia="Calibri"/>
          <w:szCs w:val="24"/>
        </w:rPr>
        <w:t>.</w:t>
      </w:r>
    </w:p>
    <w:p w14:paraId="67ED08B4" w14:textId="77777777" w:rsidR="00C06C5D" w:rsidRPr="00F95D4F" w:rsidRDefault="00C06C5D" w:rsidP="00C06C5D">
      <w:pPr>
        <w:numPr>
          <w:ilvl w:val="0"/>
          <w:numId w:val="8"/>
        </w:numPr>
        <w:shd w:val="clear" w:color="auto" w:fill="FFFFFF"/>
        <w:spacing w:before="120" w:after="120" w:line="240" w:lineRule="auto"/>
        <w:ind w:left="0"/>
        <w:rPr>
          <w:rFonts w:eastAsia="Calibri"/>
          <w:szCs w:val="24"/>
        </w:rPr>
      </w:pPr>
      <w:r>
        <w:rPr>
          <w:rFonts w:eastAsia="Calibri"/>
          <w:szCs w:val="24"/>
        </w:rPr>
        <w:lastRenderedPageBreak/>
        <w:t xml:space="preserve">En revanche, </w:t>
      </w:r>
      <w:r w:rsidRPr="00CB58E8">
        <w:rPr>
          <w:rFonts w:eastAsia="Calibri"/>
          <w:szCs w:val="24"/>
        </w:rPr>
        <w:t xml:space="preserve">les progrès sont moins nets dans certaines actions notamment : (i) la poursuite des investissements en matière de santé (03051), avec une faible avancée dans la quasi-totalité des investissements en santé et (ii) l’amélioration de la qualité et l'accès au système éducatif, avec de faibles avancées dans la construction et l’équipement de nouvelles salles </w:t>
      </w:r>
      <w:r w:rsidRPr="00F95D4F">
        <w:rPr>
          <w:rFonts w:eastAsia="Calibri"/>
          <w:szCs w:val="24"/>
        </w:rPr>
        <w:t xml:space="preserve">de classes. </w:t>
      </w:r>
    </w:p>
    <w:p w14:paraId="55BA5E99" w14:textId="1CE7707B" w:rsidR="004B1A9B" w:rsidRPr="00F95D4F" w:rsidRDefault="00F95D4F" w:rsidP="00F175A7">
      <w:pPr>
        <w:numPr>
          <w:ilvl w:val="0"/>
          <w:numId w:val="8"/>
        </w:numPr>
        <w:shd w:val="clear" w:color="auto" w:fill="FFFFFF"/>
        <w:spacing w:before="120" w:after="120" w:line="240" w:lineRule="auto"/>
        <w:ind w:left="0"/>
        <w:rPr>
          <w:rFonts w:eastAsia="Calibri"/>
          <w:szCs w:val="24"/>
        </w:rPr>
      </w:pPr>
      <w:r w:rsidRPr="00F95D4F">
        <w:rPr>
          <w:rFonts w:eastAsia="Calibri"/>
          <w:szCs w:val="24"/>
        </w:rPr>
        <w:t>L</w:t>
      </w:r>
      <w:r>
        <w:rPr>
          <w:rFonts w:eastAsia="Calibri"/>
          <w:szCs w:val="24"/>
        </w:rPr>
        <w:t>es</w:t>
      </w:r>
      <w:r w:rsidR="00C06C5D" w:rsidRPr="00F95D4F">
        <w:rPr>
          <w:rFonts w:eastAsia="Calibri"/>
          <w:szCs w:val="24"/>
        </w:rPr>
        <w:t xml:space="preserve"> principale</w:t>
      </w:r>
      <w:r>
        <w:rPr>
          <w:rFonts w:eastAsia="Calibri"/>
          <w:szCs w:val="24"/>
        </w:rPr>
        <w:t>s</w:t>
      </w:r>
      <w:r w:rsidR="00C06C5D" w:rsidRPr="00F95D4F">
        <w:rPr>
          <w:rFonts w:eastAsia="Calibri"/>
          <w:szCs w:val="24"/>
        </w:rPr>
        <w:t xml:space="preserve"> difficulté</w:t>
      </w:r>
      <w:r>
        <w:rPr>
          <w:rFonts w:eastAsia="Calibri"/>
          <w:szCs w:val="24"/>
        </w:rPr>
        <w:t>s</w:t>
      </w:r>
      <w:r w:rsidR="00C06C5D" w:rsidRPr="00F95D4F">
        <w:rPr>
          <w:rFonts w:eastAsia="Calibri"/>
          <w:szCs w:val="24"/>
        </w:rPr>
        <w:t xml:space="preserve"> </w:t>
      </w:r>
      <w:r>
        <w:rPr>
          <w:rFonts w:eastAsia="Calibri"/>
          <w:szCs w:val="24"/>
        </w:rPr>
        <w:t>ont</w:t>
      </w:r>
      <w:r w:rsidR="00C06C5D" w:rsidRPr="00F95D4F">
        <w:rPr>
          <w:rFonts w:eastAsia="Calibri"/>
          <w:szCs w:val="24"/>
        </w:rPr>
        <w:t xml:space="preserve"> trait notamment à l’insuffisance des ressources financières et à la persistance de</w:t>
      </w:r>
      <w:r>
        <w:rPr>
          <w:rFonts w:eastAsia="Calibri"/>
          <w:szCs w:val="24"/>
        </w:rPr>
        <w:t xml:space="preserve"> l’insécurité</w:t>
      </w:r>
      <w:r w:rsidR="005763ED" w:rsidRPr="00F95D4F">
        <w:rPr>
          <w:rFonts w:eastAsia="Calibri"/>
          <w:szCs w:val="24"/>
        </w:rPr>
        <w:t>.</w:t>
      </w:r>
    </w:p>
    <w:p w14:paraId="4C4484FB" w14:textId="77777777" w:rsidR="005C4B32" w:rsidRPr="009768E9" w:rsidRDefault="005C4B32" w:rsidP="005C4B32">
      <w:pPr>
        <w:shd w:val="clear" w:color="auto" w:fill="FFFFFF"/>
        <w:spacing w:before="120" w:after="120" w:line="240" w:lineRule="auto"/>
        <w:rPr>
          <w:rFonts w:eastAsia="Calibri"/>
          <w:szCs w:val="24"/>
        </w:rPr>
      </w:pPr>
    </w:p>
    <w:p w14:paraId="5054AF12" w14:textId="49C5153E" w:rsidR="004303FE" w:rsidRPr="000C37D3" w:rsidRDefault="0072154E" w:rsidP="000C37D3">
      <w:pPr>
        <w:pStyle w:val="PAT3"/>
        <w:keepNext/>
        <w:keepLines/>
      </w:pPr>
      <w:bookmarkStart w:id="136" w:name="_Toc163141236"/>
      <w:r w:rsidRPr="008D2129">
        <w:t xml:space="preserve">Axe 4 : </w:t>
      </w:r>
      <w:r w:rsidR="009D4F79" w:rsidRPr="008D2129">
        <w:t>D</w:t>
      </w:r>
      <w:r w:rsidR="00EE73D2" w:rsidRPr="008D2129">
        <w:t>ynamiser les secteurs porteurs pour l'économie et les emplois</w:t>
      </w:r>
      <w:bookmarkEnd w:id="136"/>
    </w:p>
    <w:p w14:paraId="0B7FFC4D" w14:textId="75D2CFE9" w:rsidR="00745FBC"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 travers le Pilier 3, le PA-SD opérationnalise les cinq (05) objectifs stratégiques de l’axe 4 de la PND. Les performances atteintes dans la mise en œuvre des actions concourant à la réalisation de chacun de ces objectifs stratégiques se présentent comme suit.</w:t>
      </w:r>
    </w:p>
    <w:p w14:paraId="7D669228" w14:textId="77777777" w:rsidR="00745FBC" w:rsidRPr="008D2129" w:rsidRDefault="00745FBC" w:rsidP="00745FBC"/>
    <w:p w14:paraId="05D71263" w14:textId="4AF42E1A" w:rsidR="00FC75FE" w:rsidRPr="000C37D3" w:rsidRDefault="00EA252D" w:rsidP="000C37D3">
      <w:pPr>
        <w:pStyle w:val="PAT4"/>
        <w:keepNext/>
        <w:keepLines/>
      </w:pPr>
      <w:bookmarkStart w:id="137" w:name="_Toc163141237"/>
      <w:r w:rsidRPr="008D2129">
        <w:t>Objectif stratégique 4.1 : Développer durablement un secteur agro-</w:t>
      </w:r>
      <w:proofErr w:type="spellStart"/>
      <w:r w:rsidRPr="008D2129">
        <w:t>sylvo</w:t>
      </w:r>
      <w:proofErr w:type="spellEnd"/>
      <w:r w:rsidRPr="008D2129">
        <w:t>-pastoral, faunique et halieutique productif et résilient, davantage orienté vers le marché</w:t>
      </w:r>
      <w:bookmarkEnd w:id="137"/>
    </w:p>
    <w:p w14:paraId="55673C16" w14:textId="7777777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Neuf (09) actions portées par le CSD-PASP concourent à l’atteinte de l’OS 4.1. Ces actions sont par ailleurs distribuées dans les domaines de la production végétale, de la production animale, de la production forestière, de la sécurisation foncière et de l’accès aux marchés.</w:t>
      </w:r>
    </w:p>
    <w:p w14:paraId="74790A68" w14:textId="5B2CC6B5"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Ainsi, en matière de production végétale, les actions à mener concernent: (i) le développement de la production agricole sous maitrise d'eau (03071) où la cible de l'action était d’aménager 2 617,9 ha de </w:t>
      </w:r>
      <w:r w:rsidR="00480638">
        <w:rPr>
          <w:rFonts w:eastAsia="Calibri"/>
          <w:szCs w:val="24"/>
        </w:rPr>
        <w:t>s</w:t>
      </w:r>
      <w:r w:rsidRPr="000C37D3">
        <w:rPr>
          <w:rFonts w:eastAsia="Calibri"/>
          <w:szCs w:val="24"/>
        </w:rPr>
        <w:t>uperficie de bas-fonds et plaines en 2023 ; (ii) l’amélioration de l'accès des ménages aux intrants et équipements de qualité (03072), avec comme ambition de porter à 25%, la proportion des ménages utilisant les intrants (semences améliorées, NPK, Urée) et à 3,5%, le taux d’utilisation des équipements agricoles motorisés ; (iii) l’opérationnalisation des réformes du secteur agro-</w:t>
      </w:r>
      <w:proofErr w:type="spellStart"/>
      <w:r w:rsidRPr="000C37D3">
        <w:rPr>
          <w:rFonts w:eastAsia="Calibri"/>
          <w:szCs w:val="24"/>
        </w:rPr>
        <w:t>sylvo</w:t>
      </w:r>
      <w:proofErr w:type="spellEnd"/>
      <w:r w:rsidRPr="000C37D3">
        <w:rPr>
          <w:rFonts w:eastAsia="Calibri"/>
          <w:szCs w:val="24"/>
        </w:rPr>
        <w:t>-pastoral (03075) qui participe de l’accroissement de la production végétale, avec comme cibles annuelles d’action, la mise en place de cinq (5) nouvelles unités de production de compost et l’installation d’au moins un (01) promoteur privé rizicole.</w:t>
      </w:r>
    </w:p>
    <w:p w14:paraId="62911FA1" w14:textId="14C88FFC" w:rsidR="008008C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Au terme de l’année 2023, la situation de la réalisation des produits attendus relatifs aux actions d’amélioration de la production végétale se présente comme suit. </w:t>
      </w:r>
    </w:p>
    <w:p w14:paraId="6D487748" w14:textId="77777777" w:rsidR="008008C3" w:rsidRDefault="008008C3">
      <w:pPr>
        <w:spacing w:after="0" w:line="240" w:lineRule="auto"/>
        <w:jc w:val="left"/>
        <w:rPr>
          <w:rFonts w:eastAsia="Calibri"/>
          <w:szCs w:val="24"/>
        </w:rPr>
      </w:pPr>
      <w:r>
        <w:rPr>
          <w:rFonts w:eastAsia="Calibri"/>
          <w:szCs w:val="24"/>
        </w:rPr>
        <w:br w:type="page"/>
      </w:r>
    </w:p>
    <w:p w14:paraId="74775A66" w14:textId="139A7E0B" w:rsidR="000C37D3" w:rsidRPr="0042784A" w:rsidRDefault="00C65EC0" w:rsidP="008139E1">
      <w:pPr>
        <w:pStyle w:val="Lgende"/>
        <w:rPr>
          <w:color w:val="auto"/>
        </w:rPr>
      </w:pPr>
      <w:bookmarkStart w:id="138" w:name="_Toc164503653"/>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66</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du domaine de la production végétale au 31 décembre 2023</w:t>
      </w:r>
      <w:bookmarkEnd w:id="138"/>
    </w:p>
    <w:tbl>
      <w:tblPr>
        <w:tblStyle w:val="GridTable4-Accent1113"/>
        <w:tblW w:w="5000" w:type="pct"/>
        <w:tblLook w:val="04A0" w:firstRow="1" w:lastRow="0" w:firstColumn="1" w:lastColumn="0" w:noHBand="0" w:noVBand="1"/>
      </w:tblPr>
      <w:tblGrid>
        <w:gridCol w:w="4912"/>
        <w:gridCol w:w="1437"/>
        <w:gridCol w:w="1228"/>
        <w:gridCol w:w="1439"/>
      </w:tblGrid>
      <w:tr w:rsidR="000C37D3" w:rsidRPr="00F175A7" w14:paraId="057773E1"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shd w:val="clear" w:color="auto" w:fill="4472C4" w:themeFill="accent1"/>
          </w:tcPr>
          <w:p w14:paraId="21D3DF03" w14:textId="77777777" w:rsidR="000C37D3" w:rsidRPr="00F175A7" w:rsidRDefault="000C37D3" w:rsidP="00F175A7">
            <w:pPr>
              <w:spacing w:after="0" w:line="240" w:lineRule="auto"/>
              <w:rPr>
                <w:sz w:val="22"/>
              </w:rPr>
            </w:pPr>
            <w:r w:rsidRPr="00F175A7">
              <w:rPr>
                <w:sz w:val="22"/>
              </w:rPr>
              <w:t>Indicateurs</w:t>
            </w:r>
          </w:p>
        </w:tc>
        <w:tc>
          <w:tcPr>
            <w:tcW w:w="797" w:type="pct"/>
            <w:shd w:val="clear" w:color="auto" w:fill="4472C4" w:themeFill="accent1"/>
          </w:tcPr>
          <w:p w14:paraId="581F358E"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Réf. 2022</w:t>
            </w:r>
          </w:p>
        </w:tc>
        <w:tc>
          <w:tcPr>
            <w:tcW w:w="681" w:type="pct"/>
            <w:shd w:val="clear" w:color="auto" w:fill="4472C4" w:themeFill="accent1"/>
          </w:tcPr>
          <w:p w14:paraId="40565CA8"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Réal. 2023</w:t>
            </w:r>
          </w:p>
        </w:tc>
        <w:tc>
          <w:tcPr>
            <w:tcW w:w="798" w:type="pct"/>
            <w:shd w:val="clear" w:color="auto" w:fill="4472C4" w:themeFill="accent1"/>
          </w:tcPr>
          <w:p w14:paraId="4C2D6B3A"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Cible 2023</w:t>
            </w:r>
          </w:p>
        </w:tc>
      </w:tr>
      <w:tr w:rsidR="000C37D3" w:rsidRPr="00F175A7" w14:paraId="2633BD46"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52A5301D" w14:textId="77777777" w:rsidR="000C37D3" w:rsidRPr="00F175A7" w:rsidRDefault="000C37D3" w:rsidP="00F175A7">
            <w:pPr>
              <w:spacing w:after="0" w:line="240" w:lineRule="auto"/>
              <w:rPr>
                <w:sz w:val="22"/>
              </w:rPr>
            </w:pPr>
            <w:r w:rsidRPr="00F175A7">
              <w:rPr>
                <w:sz w:val="22"/>
              </w:rPr>
              <w:t>Action 03071 : Développement de la production agricole sous maitrise d'eau</w:t>
            </w:r>
          </w:p>
        </w:tc>
      </w:tr>
      <w:tr w:rsidR="000C37D3" w:rsidRPr="00F175A7" w14:paraId="6B0F9B4A"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24" w:type="pct"/>
          </w:tcPr>
          <w:p w14:paraId="29F1001F" w14:textId="77777777" w:rsidR="000C37D3" w:rsidRPr="00F175A7" w:rsidRDefault="000C37D3" w:rsidP="00F175A7">
            <w:pPr>
              <w:spacing w:after="0" w:line="240" w:lineRule="auto"/>
              <w:rPr>
                <w:sz w:val="22"/>
              </w:rPr>
            </w:pPr>
            <w:r w:rsidRPr="00F175A7">
              <w:rPr>
                <w:sz w:val="22"/>
              </w:rPr>
              <w:t>Nombre de modèles AIRP réalisés</w:t>
            </w:r>
          </w:p>
        </w:tc>
        <w:tc>
          <w:tcPr>
            <w:tcW w:w="797" w:type="pct"/>
          </w:tcPr>
          <w:p w14:paraId="1D9E6900"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82</w:t>
            </w:r>
          </w:p>
        </w:tc>
        <w:tc>
          <w:tcPr>
            <w:tcW w:w="681" w:type="pct"/>
          </w:tcPr>
          <w:p w14:paraId="612EE044"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F175A7">
              <w:rPr>
                <w:sz w:val="22"/>
              </w:rPr>
              <w:t>24</w:t>
            </w:r>
          </w:p>
        </w:tc>
        <w:tc>
          <w:tcPr>
            <w:tcW w:w="798" w:type="pct"/>
          </w:tcPr>
          <w:p w14:paraId="5E5E848A"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79</w:t>
            </w:r>
          </w:p>
        </w:tc>
      </w:tr>
      <w:tr w:rsidR="000C37D3" w:rsidRPr="00F175A7" w14:paraId="0CF3D56B"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tcPr>
          <w:p w14:paraId="50C55B12" w14:textId="77777777" w:rsidR="000C37D3" w:rsidRPr="00F175A7" w:rsidRDefault="000C37D3" w:rsidP="00F175A7">
            <w:pPr>
              <w:spacing w:after="0" w:line="240" w:lineRule="auto"/>
              <w:rPr>
                <w:sz w:val="22"/>
              </w:rPr>
            </w:pPr>
            <w:r w:rsidRPr="00F175A7">
              <w:rPr>
                <w:sz w:val="22"/>
              </w:rPr>
              <w:t>Superficie de bas-fonds aménagés (Ha)</w:t>
            </w:r>
          </w:p>
        </w:tc>
        <w:tc>
          <w:tcPr>
            <w:tcW w:w="797" w:type="pct"/>
          </w:tcPr>
          <w:p w14:paraId="3E439EAD"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2 476,1</w:t>
            </w:r>
          </w:p>
        </w:tc>
        <w:tc>
          <w:tcPr>
            <w:tcW w:w="681" w:type="pct"/>
          </w:tcPr>
          <w:p w14:paraId="432B2438"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F175A7">
              <w:rPr>
                <w:sz w:val="22"/>
              </w:rPr>
              <w:t>1 624,5</w:t>
            </w:r>
          </w:p>
        </w:tc>
        <w:tc>
          <w:tcPr>
            <w:tcW w:w="798" w:type="pct"/>
          </w:tcPr>
          <w:p w14:paraId="69195C39"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1 965,4</w:t>
            </w:r>
          </w:p>
        </w:tc>
      </w:tr>
      <w:tr w:rsidR="00E57C7E" w:rsidRPr="00F175A7" w14:paraId="17119FC0"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24" w:type="pct"/>
          </w:tcPr>
          <w:p w14:paraId="014F3421" w14:textId="77777777" w:rsidR="00E57C7E" w:rsidRPr="00F175A7" w:rsidRDefault="00E57C7E" w:rsidP="00E57C7E">
            <w:pPr>
              <w:spacing w:after="0" w:line="240" w:lineRule="auto"/>
              <w:rPr>
                <w:sz w:val="22"/>
              </w:rPr>
            </w:pPr>
            <w:r w:rsidRPr="00F175A7">
              <w:rPr>
                <w:sz w:val="22"/>
              </w:rPr>
              <w:t>Superficie de périmètres irrigués aménagés (Ha)</w:t>
            </w:r>
          </w:p>
        </w:tc>
        <w:tc>
          <w:tcPr>
            <w:tcW w:w="797" w:type="pct"/>
          </w:tcPr>
          <w:p w14:paraId="568F89B0" w14:textId="77777777" w:rsidR="00E57C7E" w:rsidRPr="00F175A7" w:rsidRDefault="00E57C7E" w:rsidP="00E57C7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490</w:t>
            </w:r>
          </w:p>
        </w:tc>
        <w:tc>
          <w:tcPr>
            <w:tcW w:w="681" w:type="pct"/>
          </w:tcPr>
          <w:p w14:paraId="5BA20B84" w14:textId="220364A4" w:rsidR="00E57C7E" w:rsidRPr="00F175A7" w:rsidRDefault="00E57C7E" w:rsidP="00E57C7E">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345EBE">
              <w:rPr>
                <w:sz w:val="22"/>
              </w:rPr>
              <w:t>374,6</w:t>
            </w:r>
          </w:p>
        </w:tc>
        <w:tc>
          <w:tcPr>
            <w:tcW w:w="798" w:type="pct"/>
          </w:tcPr>
          <w:p w14:paraId="72A09F71" w14:textId="77777777" w:rsidR="00E57C7E" w:rsidRPr="00F175A7" w:rsidRDefault="00E57C7E" w:rsidP="00E57C7E">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652,50</w:t>
            </w:r>
          </w:p>
        </w:tc>
      </w:tr>
      <w:tr w:rsidR="00E57C7E" w:rsidRPr="00F175A7" w14:paraId="0629294B"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tcPr>
          <w:p w14:paraId="1A2A393B" w14:textId="77777777" w:rsidR="00E57C7E" w:rsidRPr="00F175A7" w:rsidRDefault="00E57C7E" w:rsidP="00E57C7E">
            <w:pPr>
              <w:spacing w:after="0" w:line="240" w:lineRule="auto"/>
              <w:rPr>
                <w:sz w:val="22"/>
              </w:rPr>
            </w:pPr>
            <w:r w:rsidRPr="00F175A7">
              <w:rPr>
                <w:sz w:val="22"/>
              </w:rPr>
              <w:t>Nombre d’équipements d’irrigation mis à la disposition des producteurs</w:t>
            </w:r>
          </w:p>
        </w:tc>
        <w:tc>
          <w:tcPr>
            <w:tcW w:w="797" w:type="pct"/>
          </w:tcPr>
          <w:p w14:paraId="60E253EA" w14:textId="77777777" w:rsidR="00E57C7E" w:rsidRPr="00F175A7" w:rsidRDefault="00E57C7E" w:rsidP="00E57C7E">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4379</w:t>
            </w:r>
          </w:p>
        </w:tc>
        <w:tc>
          <w:tcPr>
            <w:tcW w:w="681" w:type="pct"/>
          </w:tcPr>
          <w:p w14:paraId="65BA1CC9" w14:textId="7738B98C" w:rsidR="00E57C7E" w:rsidRPr="008139E1" w:rsidRDefault="00E57C7E" w:rsidP="00E57C7E">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345EBE">
              <w:rPr>
                <w:sz w:val="22"/>
              </w:rPr>
              <w:t>710</w:t>
            </w:r>
          </w:p>
        </w:tc>
        <w:tc>
          <w:tcPr>
            <w:tcW w:w="798" w:type="pct"/>
          </w:tcPr>
          <w:p w14:paraId="2FEF30A0" w14:textId="77777777" w:rsidR="00E57C7E" w:rsidRPr="00F175A7" w:rsidRDefault="00E57C7E" w:rsidP="00E57C7E">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555</w:t>
            </w:r>
          </w:p>
        </w:tc>
      </w:tr>
      <w:tr w:rsidR="000C37D3" w:rsidRPr="00F175A7" w14:paraId="51C603BB"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7421DA71" w14:textId="77777777" w:rsidR="000C37D3" w:rsidRPr="00F175A7" w:rsidRDefault="000C37D3" w:rsidP="00F175A7">
            <w:pPr>
              <w:spacing w:after="0" w:line="240" w:lineRule="auto"/>
              <w:rPr>
                <w:sz w:val="22"/>
              </w:rPr>
            </w:pPr>
            <w:r w:rsidRPr="00F175A7">
              <w:rPr>
                <w:sz w:val="22"/>
              </w:rPr>
              <w:t>Action 03072 : Amélioration de l'accès des ménages aux intrants et équipements de qualité</w:t>
            </w:r>
          </w:p>
        </w:tc>
      </w:tr>
      <w:tr w:rsidR="000C37D3" w:rsidRPr="00F175A7" w14:paraId="46A05869"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shd w:val="clear" w:color="auto" w:fill="FFFFFF" w:themeFill="background1"/>
          </w:tcPr>
          <w:p w14:paraId="3489FF51" w14:textId="77777777" w:rsidR="000C37D3" w:rsidRPr="00F175A7" w:rsidRDefault="000C37D3" w:rsidP="00F175A7">
            <w:pPr>
              <w:spacing w:after="0" w:line="240" w:lineRule="auto"/>
              <w:rPr>
                <w:sz w:val="22"/>
              </w:rPr>
            </w:pPr>
            <w:r w:rsidRPr="00F175A7">
              <w:rPr>
                <w:sz w:val="22"/>
              </w:rPr>
              <w:t>Quantité d’engrais mise à la disposition des producteurs à prix subventionné (Tonnes)</w:t>
            </w:r>
          </w:p>
        </w:tc>
        <w:tc>
          <w:tcPr>
            <w:tcW w:w="797" w:type="pct"/>
            <w:shd w:val="clear" w:color="auto" w:fill="FFFFFF" w:themeFill="background1"/>
          </w:tcPr>
          <w:p w14:paraId="2D148CDC"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30 772,9</w:t>
            </w:r>
          </w:p>
        </w:tc>
        <w:tc>
          <w:tcPr>
            <w:tcW w:w="681" w:type="pct"/>
            <w:shd w:val="clear" w:color="auto" w:fill="FFFFFF" w:themeFill="background1"/>
          </w:tcPr>
          <w:p w14:paraId="086CA3E0" w14:textId="04DD36A1"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F175A7">
              <w:rPr>
                <w:sz w:val="22"/>
              </w:rPr>
              <w:t>32</w:t>
            </w:r>
            <w:r w:rsidR="00E57C7E">
              <w:rPr>
                <w:sz w:val="22"/>
              </w:rPr>
              <w:t> 687,6</w:t>
            </w:r>
          </w:p>
        </w:tc>
        <w:tc>
          <w:tcPr>
            <w:tcW w:w="798" w:type="pct"/>
            <w:shd w:val="clear" w:color="auto" w:fill="FFFFFF" w:themeFill="background1"/>
          </w:tcPr>
          <w:p w14:paraId="4AD77495"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39 851</w:t>
            </w:r>
          </w:p>
        </w:tc>
      </w:tr>
      <w:tr w:rsidR="000C37D3" w:rsidRPr="00F175A7" w14:paraId="7CE4718D"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724" w:type="pct"/>
            <w:shd w:val="clear" w:color="auto" w:fill="DEEAF6" w:themeFill="accent5" w:themeFillTint="33"/>
          </w:tcPr>
          <w:p w14:paraId="106C9DA6" w14:textId="77777777" w:rsidR="000C37D3" w:rsidRPr="00F175A7" w:rsidRDefault="000C37D3" w:rsidP="00F175A7">
            <w:pPr>
              <w:spacing w:after="0" w:line="240" w:lineRule="auto"/>
              <w:rPr>
                <w:sz w:val="22"/>
              </w:rPr>
            </w:pPr>
            <w:r w:rsidRPr="00F175A7">
              <w:rPr>
                <w:sz w:val="22"/>
              </w:rPr>
              <w:t>Quantité de semences mise à la disposition des producteurs à prix subventionné (Tonnes)</w:t>
            </w:r>
          </w:p>
        </w:tc>
        <w:tc>
          <w:tcPr>
            <w:tcW w:w="797" w:type="pct"/>
            <w:shd w:val="clear" w:color="auto" w:fill="DEEAF6" w:themeFill="accent5" w:themeFillTint="33"/>
          </w:tcPr>
          <w:p w14:paraId="31E89331"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3 998,84</w:t>
            </w:r>
          </w:p>
        </w:tc>
        <w:tc>
          <w:tcPr>
            <w:tcW w:w="681" w:type="pct"/>
            <w:shd w:val="clear" w:color="auto" w:fill="DEEAF6" w:themeFill="accent5" w:themeFillTint="33"/>
          </w:tcPr>
          <w:p w14:paraId="426386E2" w14:textId="3585836C" w:rsidR="000C37D3" w:rsidRPr="00F175A7" w:rsidRDefault="00E57C7E"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345EBE">
              <w:rPr>
                <w:sz w:val="22"/>
              </w:rPr>
              <w:t>7 078,57</w:t>
            </w:r>
          </w:p>
        </w:tc>
        <w:tc>
          <w:tcPr>
            <w:tcW w:w="798" w:type="pct"/>
            <w:shd w:val="clear" w:color="auto" w:fill="DEEAF6" w:themeFill="accent5" w:themeFillTint="33"/>
          </w:tcPr>
          <w:p w14:paraId="7F3A5BE6"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6 451</w:t>
            </w:r>
          </w:p>
        </w:tc>
      </w:tr>
      <w:tr w:rsidR="000C37D3" w:rsidRPr="00F175A7" w14:paraId="23FF884A"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shd w:val="clear" w:color="auto" w:fill="FFFFFF" w:themeFill="background1"/>
          </w:tcPr>
          <w:p w14:paraId="62E516BF" w14:textId="0A6AF47B" w:rsidR="000C37D3" w:rsidRPr="00F175A7" w:rsidRDefault="000C37D3" w:rsidP="00F175A7">
            <w:pPr>
              <w:spacing w:after="0" w:line="240" w:lineRule="auto"/>
              <w:rPr>
                <w:sz w:val="22"/>
              </w:rPr>
            </w:pPr>
            <w:r w:rsidRPr="00F175A7">
              <w:rPr>
                <w:sz w:val="22"/>
              </w:rPr>
              <w:t>Nombre d’équipements (motorisé</w:t>
            </w:r>
            <w:r w:rsidR="00262775">
              <w:rPr>
                <w:sz w:val="22"/>
              </w:rPr>
              <w:t>s</w:t>
            </w:r>
            <w:r w:rsidRPr="00F175A7">
              <w:rPr>
                <w:sz w:val="22"/>
              </w:rPr>
              <w:t xml:space="preserve"> ou à traction animale) mis à la disposition des producteurs</w:t>
            </w:r>
          </w:p>
        </w:tc>
        <w:tc>
          <w:tcPr>
            <w:tcW w:w="797" w:type="pct"/>
            <w:shd w:val="clear" w:color="auto" w:fill="FFFFFF" w:themeFill="background1"/>
          </w:tcPr>
          <w:p w14:paraId="09A68637"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2 395</w:t>
            </w:r>
          </w:p>
        </w:tc>
        <w:tc>
          <w:tcPr>
            <w:tcW w:w="681" w:type="pct"/>
            <w:shd w:val="clear" w:color="auto" w:fill="FFFFFF" w:themeFill="background1"/>
          </w:tcPr>
          <w:p w14:paraId="5477A3E0" w14:textId="5E0FA445" w:rsidR="000C37D3" w:rsidRPr="00F175A7" w:rsidRDefault="00E57C7E"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139</w:t>
            </w:r>
          </w:p>
        </w:tc>
        <w:tc>
          <w:tcPr>
            <w:tcW w:w="798" w:type="pct"/>
            <w:shd w:val="clear" w:color="auto" w:fill="FFFFFF" w:themeFill="background1"/>
          </w:tcPr>
          <w:p w14:paraId="0CD6B58D"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1 613,00</w:t>
            </w:r>
          </w:p>
        </w:tc>
      </w:tr>
      <w:tr w:rsidR="000C37D3" w:rsidRPr="00F175A7" w14:paraId="5F5732FD"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1D1C3CDA" w14:textId="77777777" w:rsidR="000C37D3" w:rsidRPr="00F175A7" w:rsidRDefault="000C37D3" w:rsidP="00F175A7">
            <w:pPr>
              <w:spacing w:after="0" w:line="240" w:lineRule="auto"/>
              <w:rPr>
                <w:sz w:val="22"/>
              </w:rPr>
            </w:pPr>
            <w:r w:rsidRPr="00F175A7">
              <w:rPr>
                <w:sz w:val="22"/>
              </w:rPr>
              <w:t>Action 03075 : Opérationnalisation des réformes du secteur agro-</w:t>
            </w:r>
            <w:proofErr w:type="spellStart"/>
            <w:r w:rsidRPr="00F175A7">
              <w:rPr>
                <w:sz w:val="22"/>
              </w:rPr>
              <w:t>sylvo</w:t>
            </w:r>
            <w:proofErr w:type="spellEnd"/>
            <w:r w:rsidRPr="00F175A7">
              <w:rPr>
                <w:sz w:val="22"/>
              </w:rPr>
              <w:t>-pastoral</w:t>
            </w:r>
          </w:p>
        </w:tc>
      </w:tr>
      <w:tr w:rsidR="000C37D3" w:rsidRPr="00F175A7" w14:paraId="35A3C901"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tcPr>
          <w:p w14:paraId="2F4BEBCD" w14:textId="77777777" w:rsidR="000C37D3" w:rsidRPr="00F175A7" w:rsidRDefault="000C37D3" w:rsidP="00F175A7">
            <w:pPr>
              <w:spacing w:after="0" w:line="240" w:lineRule="auto"/>
              <w:rPr>
                <w:sz w:val="22"/>
              </w:rPr>
            </w:pPr>
            <w:r w:rsidRPr="00F175A7">
              <w:rPr>
                <w:sz w:val="22"/>
              </w:rPr>
              <w:t>Superficie couverte par l’assurance agricole (Ha)</w:t>
            </w:r>
          </w:p>
        </w:tc>
        <w:tc>
          <w:tcPr>
            <w:tcW w:w="797" w:type="pct"/>
          </w:tcPr>
          <w:p w14:paraId="0EA1F3CA"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17 920</w:t>
            </w:r>
          </w:p>
        </w:tc>
        <w:tc>
          <w:tcPr>
            <w:tcW w:w="681" w:type="pct"/>
          </w:tcPr>
          <w:p w14:paraId="76123777" w14:textId="191DC356" w:rsidR="000C37D3" w:rsidRPr="00F175A7" w:rsidRDefault="00E57C7E"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4</w:t>
            </w:r>
            <w:r w:rsidR="000C37D3" w:rsidRPr="00F175A7">
              <w:rPr>
                <w:sz w:val="22"/>
              </w:rPr>
              <w:t>2 000</w:t>
            </w:r>
          </w:p>
        </w:tc>
        <w:tc>
          <w:tcPr>
            <w:tcW w:w="798" w:type="pct"/>
          </w:tcPr>
          <w:p w14:paraId="33E6BB14"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32 000</w:t>
            </w:r>
          </w:p>
        </w:tc>
      </w:tr>
      <w:tr w:rsidR="000C37D3" w:rsidRPr="00F175A7" w14:paraId="0F152CE2"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724" w:type="pct"/>
          </w:tcPr>
          <w:p w14:paraId="676303ED" w14:textId="77777777" w:rsidR="000C37D3" w:rsidRPr="00F175A7" w:rsidRDefault="000C37D3" w:rsidP="00F175A7">
            <w:pPr>
              <w:spacing w:after="0" w:line="240" w:lineRule="auto"/>
              <w:rPr>
                <w:sz w:val="22"/>
              </w:rPr>
            </w:pPr>
            <w:r w:rsidRPr="00F175A7">
              <w:rPr>
                <w:sz w:val="22"/>
              </w:rPr>
              <w:t>Nombre de promoteurs privés installés</w:t>
            </w:r>
          </w:p>
        </w:tc>
        <w:tc>
          <w:tcPr>
            <w:tcW w:w="797" w:type="pct"/>
          </w:tcPr>
          <w:p w14:paraId="5C9A8FC2"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NA</w:t>
            </w:r>
          </w:p>
        </w:tc>
        <w:tc>
          <w:tcPr>
            <w:tcW w:w="681" w:type="pct"/>
          </w:tcPr>
          <w:p w14:paraId="3089FE90" w14:textId="25DB6CAC" w:rsidR="000C37D3" w:rsidRPr="00F175A7" w:rsidRDefault="00E57C7E"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sz w:val="22"/>
              </w:rPr>
              <w:t>1</w:t>
            </w:r>
          </w:p>
        </w:tc>
        <w:tc>
          <w:tcPr>
            <w:tcW w:w="798" w:type="pct"/>
          </w:tcPr>
          <w:p w14:paraId="38F7A22B"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5</w:t>
            </w:r>
          </w:p>
        </w:tc>
      </w:tr>
      <w:tr w:rsidR="000C37D3" w:rsidRPr="00F175A7" w14:paraId="47322AFC"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4" w:type="pct"/>
          </w:tcPr>
          <w:p w14:paraId="3A6784BD" w14:textId="77777777" w:rsidR="000C37D3" w:rsidRPr="00F175A7" w:rsidRDefault="000C37D3" w:rsidP="00F175A7">
            <w:pPr>
              <w:spacing w:after="0" w:line="240" w:lineRule="auto"/>
              <w:rPr>
                <w:sz w:val="22"/>
              </w:rPr>
            </w:pPr>
            <w:r w:rsidRPr="00F175A7">
              <w:rPr>
                <w:sz w:val="22"/>
              </w:rPr>
              <w:t>Nombre de promoteurs privés rizicoles installés</w:t>
            </w:r>
          </w:p>
        </w:tc>
        <w:tc>
          <w:tcPr>
            <w:tcW w:w="797" w:type="pct"/>
          </w:tcPr>
          <w:p w14:paraId="305C07B3"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NA</w:t>
            </w:r>
          </w:p>
        </w:tc>
        <w:tc>
          <w:tcPr>
            <w:tcW w:w="681" w:type="pct"/>
          </w:tcPr>
          <w:p w14:paraId="55A02AFA"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F175A7">
              <w:rPr>
                <w:sz w:val="22"/>
              </w:rPr>
              <w:t>0</w:t>
            </w:r>
          </w:p>
        </w:tc>
        <w:tc>
          <w:tcPr>
            <w:tcW w:w="798" w:type="pct"/>
          </w:tcPr>
          <w:p w14:paraId="7C9DA790"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w:t>
            </w:r>
          </w:p>
        </w:tc>
      </w:tr>
    </w:tbl>
    <w:p w14:paraId="6AA7E022" w14:textId="7AE69252" w:rsidR="000C37D3" w:rsidRPr="008A182C" w:rsidRDefault="000C37D3" w:rsidP="000C37D3">
      <w:pPr>
        <w:shd w:val="clear" w:color="auto" w:fill="FFFFFF"/>
        <w:spacing w:before="120" w:after="120" w:line="240" w:lineRule="auto"/>
        <w:rPr>
          <w:sz w:val="20"/>
          <w:szCs w:val="20"/>
        </w:rPr>
      </w:pPr>
      <w:r w:rsidRPr="008A182C">
        <w:rPr>
          <w:b/>
          <w:bCs/>
          <w:sz w:val="20"/>
          <w:szCs w:val="20"/>
          <w:u w:val="single"/>
        </w:rPr>
        <w:t>Source</w:t>
      </w:r>
      <w:r w:rsidRPr="008A182C">
        <w:rPr>
          <w:sz w:val="20"/>
          <w:szCs w:val="20"/>
        </w:rPr>
        <w:t xml:space="preserve"> : rapport </w:t>
      </w:r>
      <w:r w:rsidR="00287D1E">
        <w:rPr>
          <w:sz w:val="20"/>
          <w:szCs w:val="20"/>
        </w:rPr>
        <w:t xml:space="preserve">annuel </w:t>
      </w:r>
      <w:r w:rsidRPr="008A182C">
        <w:rPr>
          <w:sz w:val="20"/>
          <w:szCs w:val="20"/>
        </w:rPr>
        <w:t xml:space="preserve">de performance 2023 du </w:t>
      </w:r>
      <w:r w:rsidR="002A619B">
        <w:rPr>
          <w:sz w:val="20"/>
          <w:szCs w:val="20"/>
        </w:rPr>
        <w:t>CSD-</w:t>
      </w:r>
      <w:r w:rsidRPr="008A182C">
        <w:rPr>
          <w:sz w:val="20"/>
          <w:szCs w:val="20"/>
        </w:rPr>
        <w:t>PASP, février 2024</w:t>
      </w:r>
    </w:p>
    <w:p w14:paraId="454E6958" w14:textId="17A827B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Concernant </w:t>
      </w:r>
      <w:r w:rsidRPr="00F175A7">
        <w:rPr>
          <w:rFonts w:eastAsia="Calibri"/>
          <w:b/>
          <w:szCs w:val="24"/>
        </w:rPr>
        <w:t>l’action 03071 relative au développement de la production agricole sous maîtrise d'eau,</w:t>
      </w:r>
      <w:r w:rsidRPr="000C37D3">
        <w:rPr>
          <w:rFonts w:eastAsia="Calibri"/>
          <w:szCs w:val="24"/>
        </w:rPr>
        <w:t xml:space="preserve"> </w:t>
      </w:r>
      <w:r w:rsidR="00E57C7E" w:rsidRPr="000C37D3">
        <w:rPr>
          <w:rFonts w:eastAsia="Calibri"/>
          <w:szCs w:val="24"/>
        </w:rPr>
        <w:t xml:space="preserve">les cibles des produits attendus en termes d’aménagements </w:t>
      </w:r>
      <w:r w:rsidR="00E57C7E" w:rsidRPr="006060A1">
        <w:rPr>
          <w:rFonts w:eastAsia="Calibri"/>
          <w:szCs w:val="24"/>
        </w:rPr>
        <w:t>de bas-fonds</w:t>
      </w:r>
      <w:r w:rsidR="00E57C7E" w:rsidRPr="000C37D3">
        <w:rPr>
          <w:rFonts w:eastAsia="Calibri"/>
          <w:szCs w:val="24"/>
        </w:rPr>
        <w:t xml:space="preserve"> et de mise à disposition d’équipements d’irrigation ont été amplement atteintes.</w:t>
      </w:r>
      <w:r w:rsidR="00E57C7E">
        <w:rPr>
          <w:rFonts w:eastAsia="Calibri"/>
          <w:szCs w:val="24"/>
        </w:rPr>
        <w:t xml:space="preserve"> En revanche celles des produits relatifs au modèle AIRP et à l’aménagement des périmètres irrigués n’ont pas été atteintes </w:t>
      </w:r>
      <w:r w:rsidR="00E57C7E">
        <w:t xml:space="preserve">en raison principalement de </w:t>
      </w:r>
      <w:r w:rsidR="00E57C7E" w:rsidRPr="0051030A">
        <w:rPr>
          <w:lang w:val="fr-CI"/>
        </w:rPr>
        <w:t>la défaillance de certaines entreprises prestataires</w:t>
      </w:r>
      <w:r w:rsidR="00E57C7E">
        <w:rPr>
          <w:lang w:val="fr-CI"/>
        </w:rPr>
        <w:t xml:space="preserve">, </w:t>
      </w:r>
      <w:r w:rsidR="00E57C7E" w:rsidRPr="0051030A">
        <w:rPr>
          <w:lang w:val="fr-CI"/>
        </w:rPr>
        <w:t>du retard accusé dans la passation des marchés</w:t>
      </w:r>
      <w:r w:rsidR="00E57C7E">
        <w:rPr>
          <w:lang w:val="fr-CI"/>
        </w:rPr>
        <w:t xml:space="preserve"> et des difficultés d’accès aux sites du fait de l’insécurité</w:t>
      </w:r>
      <w:r w:rsidRPr="000C37D3">
        <w:rPr>
          <w:rFonts w:eastAsia="Calibri"/>
          <w:szCs w:val="24"/>
        </w:rPr>
        <w:t xml:space="preserve">.  </w:t>
      </w:r>
    </w:p>
    <w:p w14:paraId="6C2C2B82" w14:textId="00FE13E2"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S’agissant </w:t>
      </w:r>
      <w:r w:rsidRPr="00F175A7">
        <w:rPr>
          <w:rFonts w:eastAsia="Calibri"/>
          <w:b/>
          <w:szCs w:val="24"/>
        </w:rPr>
        <w:t>de l’action 03072 portant sur l’amélioration de l'accès des ménages aux intrants et équipements de qualité</w:t>
      </w:r>
      <w:r w:rsidRPr="000C37D3">
        <w:rPr>
          <w:rFonts w:eastAsia="Calibri"/>
          <w:szCs w:val="24"/>
        </w:rPr>
        <w:t>, au regard des niveaux d’atteinte des cibles des produits attendus, l’acquis le plus net concerne la mise à disposition des producteurs, des semences améliorées à prix subventionné. Il est suivi de la mise à disposition des mêmes acteurs, d’engrais à prix subventionné, notamment dans le cadre l’initiative présidentielle et de l’offensive agro-pastorale et halieutique qui appuie les producteurs dans les filières ciblées. En revanche</w:t>
      </w:r>
      <w:r w:rsidR="00A77074">
        <w:rPr>
          <w:rFonts w:eastAsia="Calibri"/>
          <w:szCs w:val="24"/>
        </w:rPr>
        <w:t>,</w:t>
      </w:r>
      <w:r w:rsidRPr="000C37D3">
        <w:rPr>
          <w:rFonts w:eastAsia="Calibri"/>
          <w:szCs w:val="24"/>
        </w:rPr>
        <w:t xml:space="preserve"> dû à la faible capacité financière de la SONATER et aux difficultés des recouvrements auxquelles elle fait face, le nombre d’équipements (motorisé</w:t>
      </w:r>
      <w:r w:rsidR="00262775">
        <w:rPr>
          <w:rFonts w:eastAsia="Calibri"/>
          <w:szCs w:val="24"/>
        </w:rPr>
        <w:t>s</w:t>
      </w:r>
      <w:r w:rsidRPr="000C37D3">
        <w:rPr>
          <w:rFonts w:eastAsia="Calibri"/>
          <w:szCs w:val="24"/>
        </w:rPr>
        <w:t xml:space="preserve"> ou à traction animale) mis à la disposition des producteurs a été en retrait par rapport à sa cible 2023. </w:t>
      </w:r>
    </w:p>
    <w:p w14:paraId="758E128F" w14:textId="337F0472"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Quant </w:t>
      </w:r>
      <w:r w:rsidRPr="00F175A7">
        <w:rPr>
          <w:rFonts w:eastAsia="Calibri"/>
          <w:b/>
          <w:szCs w:val="24"/>
        </w:rPr>
        <w:t>à l’action 03075</w:t>
      </w:r>
      <w:r w:rsidRPr="000C37D3">
        <w:rPr>
          <w:rFonts w:eastAsia="Calibri"/>
          <w:szCs w:val="24"/>
        </w:rPr>
        <w:t>, à l’exception de l’assurance agricole qui est effective depuis 2022 et où la superficie couverte se hisse au niveau de la cible annuelle, les autres produits peinent à livrer des résultats du fait de la non</w:t>
      </w:r>
      <w:r w:rsidR="00262775">
        <w:rPr>
          <w:rFonts w:eastAsia="Calibri"/>
          <w:szCs w:val="24"/>
        </w:rPr>
        <w:t>-</w:t>
      </w:r>
      <w:r w:rsidRPr="000C37D3">
        <w:rPr>
          <w:rFonts w:eastAsia="Calibri"/>
          <w:szCs w:val="24"/>
        </w:rPr>
        <w:t xml:space="preserve">effectivité des projets qui devraient accompagner leurs mises en œuvre. Toutefois, dans le cadre de l’offensive agro-pastorale et halieutique, des échanges ont eu lieu avec des investisseurs nationaux et l’installation des promoteurs </w:t>
      </w:r>
      <w:r w:rsidRPr="000C37D3">
        <w:rPr>
          <w:rFonts w:eastAsia="Calibri"/>
          <w:szCs w:val="24"/>
        </w:rPr>
        <w:lastRenderedPageBreak/>
        <w:t xml:space="preserve">privés rizicoles devra connaître un début de concrétisation avec les aménagements et la mise en valeur de la plaine de </w:t>
      </w:r>
      <w:proofErr w:type="spellStart"/>
      <w:r w:rsidRPr="000C37D3">
        <w:rPr>
          <w:rFonts w:eastAsia="Calibri"/>
          <w:szCs w:val="24"/>
        </w:rPr>
        <w:t>Samendéni</w:t>
      </w:r>
      <w:proofErr w:type="spellEnd"/>
      <w:r w:rsidRPr="000C37D3">
        <w:rPr>
          <w:rFonts w:eastAsia="Calibri"/>
          <w:szCs w:val="24"/>
        </w:rPr>
        <w:t xml:space="preserve">. </w:t>
      </w:r>
    </w:p>
    <w:p w14:paraId="666AED5C" w14:textId="023B10A7" w:rsidR="000C37D3" w:rsidRPr="009112FE"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Sur le plan financier, au 31 décembre 2023, les ressources ont été exécutées à hauteur de</w:t>
      </w:r>
      <w:r w:rsidR="009112FE">
        <w:rPr>
          <w:rFonts w:eastAsia="Calibri"/>
          <w:szCs w:val="24"/>
        </w:rPr>
        <w:t xml:space="preserve"> </w:t>
      </w:r>
      <w:r w:rsidR="009112FE">
        <w:t>10</w:t>
      </w:r>
      <w:r w:rsidR="00262775">
        <w:t>,</w:t>
      </w:r>
      <w:r w:rsidR="009112FE">
        <w:t> 86</w:t>
      </w:r>
      <w:r w:rsidR="009112FE" w:rsidRPr="00640B23">
        <w:t xml:space="preserve"> milli</w:t>
      </w:r>
      <w:r w:rsidR="00262775">
        <w:t xml:space="preserve">ards </w:t>
      </w:r>
      <w:r w:rsidR="009112FE" w:rsidRPr="00640B23">
        <w:t>FCFA</w:t>
      </w:r>
      <w:r w:rsidR="009112FE">
        <w:t xml:space="preserve"> (49,3</w:t>
      </w:r>
      <w:r w:rsidR="009112FE" w:rsidRPr="00640B23">
        <w:t>%</w:t>
      </w:r>
      <w:r w:rsidR="009112FE">
        <w:t>)</w:t>
      </w:r>
      <w:r w:rsidR="009112FE" w:rsidRPr="00640B23">
        <w:t xml:space="preserve"> </w:t>
      </w:r>
      <w:r w:rsidR="009112FE" w:rsidRPr="003C6E2F">
        <w:t>pour le développement de la production agricole sous maitrise d'eau</w:t>
      </w:r>
      <w:r w:rsidR="009112FE" w:rsidRPr="003C6E2F" w:rsidDel="00EA1B28">
        <w:t xml:space="preserve"> </w:t>
      </w:r>
      <w:r w:rsidR="009112FE" w:rsidRPr="00640B23">
        <w:t xml:space="preserve">(03071), </w:t>
      </w:r>
      <w:r w:rsidR="009112FE">
        <w:t xml:space="preserve">de </w:t>
      </w:r>
      <w:r w:rsidR="009112FE" w:rsidRPr="009D765E">
        <w:t>2</w:t>
      </w:r>
      <w:r w:rsidR="009112FE">
        <w:t>9</w:t>
      </w:r>
      <w:r w:rsidR="00262775">
        <w:t>,</w:t>
      </w:r>
      <w:r w:rsidR="009112FE">
        <w:t>39</w:t>
      </w:r>
      <w:r w:rsidR="009112FE" w:rsidRPr="009D765E">
        <w:t xml:space="preserve"> </w:t>
      </w:r>
      <w:r w:rsidR="009112FE">
        <w:t>milli</w:t>
      </w:r>
      <w:r w:rsidR="00262775">
        <w:t xml:space="preserve">ards </w:t>
      </w:r>
      <w:r w:rsidR="009112FE" w:rsidRPr="00640B23">
        <w:t>FCFA</w:t>
      </w:r>
      <w:r w:rsidR="009112FE" w:rsidRPr="003C6E2F">
        <w:t xml:space="preserve"> </w:t>
      </w:r>
      <w:r w:rsidR="009112FE">
        <w:t>sur une prévision de 25</w:t>
      </w:r>
      <w:r w:rsidR="00262775">
        <w:t>,</w:t>
      </w:r>
      <w:r w:rsidR="009112FE">
        <w:t> 0</w:t>
      </w:r>
      <w:r w:rsidR="00262775">
        <w:t>1</w:t>
      </w:r>
      <w:r w:rsidR="009112FE">
        <w:t xml:space="preserve"> milli</w:t>
      </w:r>
      <w:r w:rsidR="00262775">
        <w:t xml:space="preserve">ards </w:t>
      </w:r>
      <w:r w:rsidR="009112FE">
        <w:t xml:space="preserve">FCFA </w:t>
      </w:r>
      <w:r w:rsidR="009112FE" w:rsidRPr="003C6E2F">
        <w:t>pour l’amélioration de l'accès des ménages aux intrants et équipements de qualité</w:t>
      </w:r>
      <w:r w:rsidR="009112FE" w:rsidRPr="003C6E2F" w:rsidDel="00EA1B28">
        <w:t xml:space="preserve"> </w:t>
      </w:r>
      <w:r w:rsidR="009112FE" w:rsidRPr="003C6E2F">
        <w:t>(</w:t>
      </w:r>
      <w:r w:rsidR="009112FE" w:rsidRPr="00640B23">
        <w:t xml:space="preserve">03072) et </w:t>
      </w:r>
      <w:r w:rsidR="009112FE">
        <w:t xml:space="preserve">de 310,13 </w:t>
      </w:r>
      <w:r w:rsidR="009112FE" w:rsidRPr="00640B23">
        <w:t>millions FCFA</w:t>
      </w:r>
      <w:r w:rsidR="009112FE">
        <w:t xml:space="preserve"> (57,97%) </w:t>
      </w:r>
      <w:r w:rsidR="009112FE" w:rsidRPr="003C6E2F">
        <w:t xml:space="preserve">pour ce qui </w:t>
      </w:r>
      <w:r w:rsidR="009112FE" w:rsidRPr="009112FE">
        <w:t xml:space="preserve">est </w:t>
      </w:r>
      <w:r w:rsidR="009112FE" w:rsidRPr="008139E1">
        <w:rPr>
          <w:bCs/>
        </w:rPr>
        <w:t>de l’opérationnalisation des réformes du secteur agro-</w:t>
      </w:r>
      <w:proofErr w:type="spellStart"/>
      <w:r w:rsidR="009112FE" w:rsidRPr="008139E1">
        <w:rPr>
          <w:bCs/>
        </w:rPr>
        <w:t>sylvo</w:t>
      </w:r>
      <w:proofErr w:type="spellEnd"/>
      <w:r w:rsidR="009112FE" w:rsidRPr="008139E1">
        <w:rPr>
          <w:bCs/>
        </w:rPr>
        <w:t>-pastoral</w:t>
      </w:r>
      <w:r w:rsidR="009112FE" w:rsidRPr="008139E1" w:rsidDel="00EA1B28">
        <w:rPr>
          <w:bCs/>
        </w:rPr>
        <w:t xml:space="preserve"> </w:t>
      </w:r>
      <w:r w:rsidR="009112FE" w:rsidRPr="008139E1">
        <w:rPr>
          <w:bCs/>
        </w:rPr>
        <w:t>(03075)</w:t>
      </w:r>
      <w:r w:rsidRPr="009112FE">
        <w:rPr>
          <w:rFonts w:eastAsia="Calibri"/>
          <w:szCs w:val="24"/>
        </w:rPr>
        <w:t xml:space="preserve">. </w:t>
      </w:r>
    </w:p>
    <w:p w14:paraId="2F20D48A" w14:textId="5D81146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Pour ce qui est du </w:t>
      </w:r>
      <w:r w:rsidRPr="008139E1">
        <w:rPr>
          <w:rFonts w:eastAsia="Calibri"/>
          <w:b/>
          <w:szCs w:val="24"/>
        </w:rPr>
        <w:t>domaine de l’accroissement et de l’amélioration de la production animale</w:t>
      </w:r>
      <w:r w:rsidRPr="000C37D3">
        <w:rPr>
          <w:rFonts w:eastAsia="Calibri"/>
          <w:szCs w:val="24"/>
        </w:rPr>
        <w:t xml:space="preserve">, elle se réalise, essentiellement, à travers l’action </w:t>
      </w:r>
      <w:r w:rsidRPr="008139E1">
        <w:rPr>
          <w:rFonts w:eastAsia="Calibri"/>
          <w:b/>
          <w:szCs w:val="24"/>
        </w:rPr>
        <w:t>03076 </w:t>
      </w:r>
      <w:r w:rsidR="00262775">
        <w:rPr>
          <w:rFonts w:eastAsia="Calibri"/>
          <w:b/>
          <w:szCs w:val="24"/>
        </w:rPr>
        <w:t>« </w:t>
      </w:r>
      <w:r w:rsidRPr="008139E1">
        <w:rPr>
          <w:rFonts w:eastAsia="Calibri"/>
          <w:b/>
          <w:szCs w:val="24"/>
        </w:rPr>
        <w:t>amélioration de la santé animale et la gestion durable des ressources animales</w:t>
      </w:r>
      <w:r w:rsidR="00262775">
        <w:rPr>
          <w:rFonts w:eastAsia="Calibri"/>
          <w:b/>
          <w:szCs w:val="24"/>
        </w:rPr>
        <w:t> »</w:t>
      </w:r>
      <w:r w:rsidRPr="000C37D3">
        <w:rPr>
          <w:rFonts w:eastAsia="Calibri"/>
          <w:szCs w:val="24"/>
        </w:rPr>
        <w:t>. Elle est appréciée par trois indicateurs</w:t>
      </w:r>
      <w:r w:rsidR="00262775">
        <w:rPr>
          <w:rFonts w:eastAsia="Calibri"/>
          <w:szCs w:val="24"/>
        </w:rPr>
        <w:t>,</w:t>
      </w:r>
      <w:r w:rsidRPr="000C37D3">
        <w:rPr>
          <w:rFonts w:eastAsia="Calibri"/>
          <w:szCs w:val="24"/>
        </w:rPr>
        <w:t xml:space="preserve"> à savoir le taux de couverture vaccinale contre la Maladie de Ne</w:t>
      </w:r>
      <w:r w:rsidR="00C63DCB">
        <w:rPr>
          <w:rFonts w:eastAsia="Calibri"/>
          <w:szCs w:val="24"/>
        </w:rPr>
        <w:t>w</w:t>
      </w:r>
      <w:r w:rsidRPr="000C37D3">
        <w:rPr>
          <w:rFonts w:eastAsia="Calibri"/>
          <w:szCs w:val="24"/>
        </w:rPr>
        <w:t xml:space="preserve">castle (MNC), qu’il fallait porter de 40,6% en 2022 à 70% en 2023, le taux de couverture vaccinale contre la Peste des petits ruminants (PPR) dont la cible 2023 était de 30% contre 8,5% en 2022 et le taux de couverture vaccinale contre la Péripneumonie contagieuse bovine (PPCB) dont la cible visée en 2023 était de 70% contre 26% en 2022. </w:t>
      </w:r>
      <w:r w:rsidR="00C63DCB" w:rsidRPr="009550EA">
        <w:t>Au 31 décembre 2023, ces taux de couverture vaccinale contre les principales maladies du programme vaccinal des animaux s’affichent largement en retrait par rapport aux cibles annuelles, particulièrement pour la PPR (</w:t>
      </w:r>
      <w:r w:rsidR="00C63DCB">
        <w:t>6,91</w:t>
      </w:r>
      <w:r w:rsidR="00C63DCB" w:rsidRPr="009550EA">
        <w:t xml:space="preserve"> % pour une cible de 30%)</w:t>
      </w:r>
      <w:r w:rsidR="00262775">
        <w:t>.</w:t>
      </w:r>
    </w:p>
    <w:p w14:paraId="19867E1D" w14:textId="3BF7C0DA" w:rsidR="008008C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Concernant les produits devant impulser les niveaux des indicateurs de l’action (Tableau</w:t>
      </w:r>
      <w:r w:rsidR="00262775">
        <w:rPr>
          <w:rFonts w:eastAsia="Calibri"/>
          <w:szCs w:val="24"/>
        </w:rPr>
        <w:t xml:space="preserve"> ci-dessous</w:t>
      </w:r>
      <w:r w:rsidRPr="000C37D3">
        <w:rPr>
          <w:rFonts w:eastAsia="Calibri"/>
          <w:szCs w:val="24"/>
        </w:rPr>
        <w:t>), en raison des mesures prises dans le cadre de la mise en œuvre de l'offensive agro-pastorale et halieutique, la quantité de semences fourragères mise à la disposition des acteurs, la quantité d'aliments concentrés mis</w:t>
      </w:r>
      <w:r w:rsidR="00262775">
        <w:rPr>
          <w:rFonts w:eastAsia="Calibri"/>
          <w:szCs w:val="24"/>
        </w:rPr>
        <w:t>e</w:t>
      </w:r>
      <w:r w:rsidRPr="000C37D3">
        <w:rPr>
          <w:rFonts w:eastAsia="Calibri"/>
          <w:szCs w:val="24"/>
        </w:rPr>
        <w:t xml:space="preserve"> à la disposition des acteurs et le nombre de kits distribués pour la production fourragère ont nettement excédé leur cible annuelle. En revanche, en raison à la fois des contraintes financières et surtout de la situation sécuritaire dans certaines zones de production</w:t>
      </w:r>
      <w:r w:rsidR="00C63DCB">
        <w:rPr>
          <w:rFonts w:eastAsia="Calibri"/>
          <w:szCs w:val="24"/>
        </w:rPr>
        <w:t xml:space="preserve"> et de l’augmentation de la transhumance</w:t>
      </w:r>
      <w:r w:rsidRPr="000C37D3">
        <w:rPr>
          <w:rFonts w:eastAsia="Calibri"/>
          <w:szCs w:val="24"/>
        </w:rPr>
        <w:t xml:space="preserve"> du bétail vers les pays voisins, le résultat de la campagne de vaccination de la volaille contre la MNC et des bétails contre la PPR et la PPCB n’a pas atteint la performance attendue. Les produits relatifs à l’aménagement de pêcheries et à l’empoissonnement des plans d’eau n’ont pas non plus atteint les cibles escomptées en 2023. </w:t>
      </w:r>
    </w:p>
    <w:p w14:paraId="6955A566" w14:textId="77777777" w:rsidR="008008C3" w:rsidRDefault="008008C3">
      <w:pPr>
        <w:spacing w:after="0" w:line="240" w:lineRule="auto"/>
        <w:jc w:val="left"/>
        <w:rPr>
          <w:rFonts w:eastAsia="Calibri"/>
          <w:szCs w:val="24"/>
        </w:rPr>
      </w:pPr>
      <w:r>
        <w:rPr>
          <w:rFonts w:eastAsia="Calibri"/>
          <w:szCs w:val="24"/>
        </w:rPr>
        <w:br w:type="page"/>
      </w:r>
    </w:p>
    <w:p w14:paraId="57A0D90E" w14:textId="0DE64242" w:rsidR="000C37D3" w:rsidRPr="0042784A" w:rsidRDefault="00C65EC0" w:rsidP="008139E1">
      <w:pPr>
        <w:pStyle w:val="Lgende"/>
        <w:rPr>
          <w:color w:val="auto"/>
          <w:sz w:val="22"/>
        </w:rPr>
      </w:pPr>
      <w:bookmarkStart w:id="139" w:name="_Toc164503654"/>
      <w:r w:rsidRPr="0042784A">
        <w:rPr>
          <w:i w:val="0"/>
          <w:color w:val="auto"/>
          <w:sz w:val="22"/>
          <w:szCs w:val="22"/>
          <w:u w:val="single"/>
        </w:rPr>
        <w:lastRenderedPageBreak/>
        <w:t xml:space="preserve">Tableau </w:t>
      </w:r>
      <w:r w:rsidRPr="0042784A">
        <w:rPr>
          <w:i w:val="0"/>
          <w:color w:val="auto"/>
          <w:sz w:val="22"/>
          <w:szCs w:val="22"/>
          <w:u w:val="single"/>
        </w:rPr>
        <w:fldChar w:fldCharType="begin"/>
      </w:r>
      <w:r w:rsidRPr="0042784A">
        <w:rPr>
          <w:i w:val="0"/>
          <w:color w:val="auto"/>
          <w:sz w:val="22"/>
          <w:szCs w:val="22"/>
          <w:u w:val="single"/>
        </w:rPr>
        <w:instrText xml:space="preserve"> SEQ Tableau \* ARABIC </w:instrText>
      </w:r>
      <w:r w:rsidRPr="0042784A">
        <w:rPr>
          <w:i w:val="0"/>
          <w:color w:val="auto"/>
          <w:sz w:val="22"/>
          <w:szCs w:val="22"/>
          <w:u w:val="single"/>
        </w:rPr>
        <w:fldChar w:fldCharType="separate"/>
      </w:r>
      <w:r w:rsidR="007C2E4E">
        <w:rPr>
          <w:i w:val="0"/>
          <w:noProof/>
          <w:color w:val="auto"/>
          <w:sz w:val="22"/>
          <w:szCs w:val="22"/>
          <w:u w:val="single"/>
        </w:rPr>
        <w:t>67</w:t>
      </w:r>
      <w:r w:rsidRPr="0042784A">
        <w:rPr>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du domaine de la production animale</w:t>
      </w:r>
      <w:bookmarkEnd w:id="139"/>
    </w:p>
    <w:tbl>
      <w:tblPr>
        <w:tblStyle w:val="GridTable4-Accent111"/>
        <w:tblW w:w="5000" w:type="pct"/>
        <w:tblLook w:val="04A0" w:firstRow="1" w:lastRow="0" w:firstColumn="1" w:lastColumn="0" w:noHBand="0" w:noVBand="1"/>
      </w:tblPr>
      <w:tblGrid>
        <w:gridCol w:w="5125"/>
        <w:gridCol w:w="1351"/>
        <w:gridCol w:w="1260"/>
        <w:gridCol w:w="1280"/>
      </w:tblGrid>
      <w:tr w:rsidR="000C37D3" w:rsidRPr="005006BF" w14:paraId="2E0F26FD" w14:textId="77777777" w:rsidTr="005006B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2" w:type="pct"/>
          </w:tcPr>
          <w:p w14:paraId="50B3C29B" w14:textId="77777777" w:rsidR="000C37D3" w:rsidRPr="005006BF" w:rsidRDefault="000C37D3" w:rsidP="00F175A7">
            <w:pPr>
              <w:spacing w:after="0" w:line="240" w:lineRule="auto"/>
              <w:rPr>
                <w:sz w:val="22"/>
              </w:rPr>
            </w:pPr>
            <w:r w:rsidRPr="005006BF">
              <w:rPr>
                <w:sz w:val="22"/>
              </w:rPr>
              <w:t>Indicateurs</w:t>
            </w:r>
          </w:p>
        </w:tc>
        <w:tc>
          <w:tcPr>
            <w:tcW w:w="749" w:type="pct"/>
          </w:tcPr>
          <w:p w14:paraId="1B3D89F4"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Réf. 2022</w:t>
            </w:r>
          </w:p>
        </w:tc>
        <w:tc>
          <w:tcPr>
            <w:tcW w:w="699" w:type="pct"/>
          </w:tcPr>
          <w:p w14:paraId="22E220B9"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2023</w:t>
            </w:r>
          </w:p>
        </w:tc>
        <w:tc>
          <w:tcPr>
            <w:tcW w:w="710" w:type="pct"/>
          </w:tcPr>
          <w:p w14:paraId="580E0CD5"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Cible 2023</w:t>
            </w:r>
          </w:p>
        </w:tc>
      </w:tr>
      <w:tr w:rsidR="000C37D3" w:rsidRPr="005006BF" w14:paraId="3094F5A5" w14:textId="77777777" w:rsidTr="005006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2" w:type="pct"/>
          </w:tcPr>
          <w:p w14:paraId="1657890F" w14:textId="77777777" w:rsidR="000C37D3" w:rsidRPr="005006BF" w:rsidRDefault="000C37D3" w:rsidP="00F175A7">
            <w:pPr>
              <w:spacing w:after="0" w:line="240" w:lineRule="auto"/>
              <w:rPr>
                <w:sz w:val="22"/>
              </w:rPr>
            </w:pPr>
            <w:r w:rsidRPr="005006BF">
              <w:rPr>
                <w:sz w:val="22"/>
              </w:rPr>
              <w:t>Effectif de volailles vaccinées contre la MNC (En millions)</w:t>
            </w:r>
          </w:p>
        </w:tc>
        <w:tc>
          <w:tcPr>
            <w:tcW w:w="749" w:type="pct"/>
          </w:tcPr>
          <w:p w14:paraId="3731D36D"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15</w:t>
            </w:r>
          </w:p>
        </w:tc>
        <w:tc>
          <w:tcPr>
            <w:tcW w:w="699" w:type="pct"/>
          </w:tcPr>
          <w:p w14:paraId="0D88C14F" w14:textId="4C4121B8"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r w:rsidR="00C63DCB">
              <w:rPr>
                <w:sz w:val="22"/>
              </w:rPr>
              <w:t>8,53</w:t>
            </w:r>
          </w:p>
        </w:tc>
        <w:tc>
          <w:tcPr>
            <w:tcW w:w="710" w:type="pct"/>
          </w:tcPr>
          <w:p w14:paraId="526CBCD4" w14:textId="79B774FE" w:rsidR="000C37D3" w:rsidRPr="005006BF" w:rsidRDefault="00C63DCB" w:rsidP="00C63DCB">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25,7</w:t>
            </w:r>
          </w:p>
        </w:tc>
      </w:tr>
      <w:tr w:rsidR="000C37D3" w:rsidRPr="005006BF" w14:paraId="2911D848" w14:textId="77777777" w:rsidTr="005006BF">
        <w:trPr>
          <w:trHeight w:val="20"/>
        </w:trPr>
        <w:tc>
          <w:tcPr>
            <w:cnfStyle w:val="001000000000" w:firstRow="0" w:lastRow="0" w:firstColumn="1" w:lastColumn="0" w:oddVBand="0" w:evenVBand="0" w:oddHBand="0" w:evenHBand="0" w:firstRowFirstColumn="0" w:firstRowLastColumn="0" w:lastRowFirstColumn="0" w:lastRowLastColumn="0"/>
            <w:tcW w:w="2842" w:type="pct"/>
          </w:tcPr>
          <w:p w14:paraId="5DA0929B" w14:textId="77777777" w:rsidR="000C37D3" w:rsidRPr="005006BF" w:rsidRDefault="000C37D3" w:rsidP="00F175A7">
            <w:pPr>
              <w:spacing w:after="0" w:line="240" w:lineRule="auto"/>
              <w:rPr>
                <w:sz w:val="22"/>
              </w:rPr>
            </w:pPr>
            <w:r w:rsidRPr="005006BF">
              <w:rPr>
                <w:sz w:val="22"/>
              </w:rPr>
              <w:t>Effectif de bovins vaccinés contre la PPCB (en milliers)</w:t>
            </w:r>
          </w:p>
        </w:tc>
        <w:tc>
          <w:tcPr>
            <w:tcW w:w="749" w:type="pct"/>
          </w:tcPr>
          <w:p w14:paraId="74253213"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2 197</w:t>
            </w:r>
          </w:p>
        </w:tc>
        <w:tc>
          <w:tcPr>
            <w:tcW w:w="699" w:type="pct"/>
          </w:tcPr>
          <w:p w14:paraId="51FF0713" w14:textId="0E103CB9" w:rsidR="000C37D3" w:rsidRPr="005006BF" w:rsidRDefault="00C63D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sz w:val="22"/>
              </w:rPr>
              <w:t>2 271,39</w:t>
            </w:r>
          </w:p>
        </w:tc>
        <w:tc>
          <w:tcPr>
            <w:tcW w:w="710" w:type="pct"/>
          </w:tcPr>
          <w:p w14:paraId="3FBF4DA0" w14:textId="1FF62FD8" w:rsidR="000C37D3" w:rsidRPr="005006BF" w:rsidRDefault="00C63D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3 449,13</w:t>
            </w:r>
          </w:p>
        </w:tc>
      </w:tr>
      <w:tr w:rsidR="000C37D3" w:rsidRPr="005006BF" w14:paraId="308F908C" w14:textId="77777777" w:rsidTr="005006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2" w:type="pct"/>
          </w:tcPr>
          <w:p w14:paraId="2CA2FDE0" w14:textId="378D7483" w:rsidR="000C37D3" w:rsidRPr="005006BF" w:rsidRDefault="000C37D3" w:rsidP="00F175A7">
            <w:pPr>
              <w:spacing w:after="0" w:line="240" w:lineRule="auto"/>
              <w:rPr>
                <w:sz w:val="22"/>
              </w:rPr>
            </w:pPr>
            <w:r w:rsidRPr="005006BF">
              <w:rPr>
                <w:sz w:val="22"/>
              </w:rPr>
              <w:t xml:space="preserve">Effectif de petits ruminants vaccinés contre </w:t>
            </w:r>
            <w:r w:rsidR="00262775">
              <w:rPr>
                <w:sz w:val="22"/>
              </w:rPr>
              <w:t xml:space="preserve">la </w:t>
            </w:r>
            <w:r w:rsidRPr="005006BF">
              <w:rPr>
                <w:sz w:val="22"/>
              </w:rPr>
              <w:t>PPR (En milliers)</w:t>
            </w:r>
          </w:p>
        </w:tc>
        <w:tc>
          <w:tcPr>
            <w:tcW w:w="749" w:type="pct"/>
          </w:tcPr>
          <w:p w14:paraId="03F24B4D"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1 602</w:t>
            </w:r>
          </w:p>
        </w:tc>
        <w:tc>
          <w:tcPr>
            <w:tcW w:w="699" w:type="pct"/>
          </w:tcPr>
          <w:p w14:paraId="013F830C" w14:textId="39551718"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 xml:space="preserve">1 </w:t>
            </w:r>
            <w:r w:rsidR="00C63DCB">
              <w:rPr>
                <w:sz w:val="22"/>
              </w:rPr>
              <w:t>672</w:t>
            </w:r>
            <w:r w:rsidRPr="005006BF">
              <w:rPr>
                <w:sz w:val="22"/>
              </w:rPr>
              <w:t>,</w:t>
            </w:r>
            <w:r w:rsidR="00C63DCB">
              <w:rPr>
                <w:sz w:val="22"/>
              </w:rPr>
              <w:t>57</w:t>
            </w:r>
          </w:p>
        </w:tc>
        <w:tc>
          <w:tcPr>
            <w:tcW w:w="710" w:type="pct"/>
          </w:tcPr>
          <w:p w14:paraId="7C930E11" w14:textId="1063B908"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r w:rsidR="00C63DCB">
              <w:rPr>
                <w:sz w:val="22"/>
              </w:rPr>
              <w:t xml:space="preserve"> 829</w:t>
            </w:r>
          </w:p>
        </w:tc>
      </w:tr>
      <w:tr w:rsidR="000C37D3" w:rsidRPr="005006BF" w14:paraId="00D2B745" w14:textId="77777777" w:rsidTr="005006BF">
        <w:trPr>
          <w:trHeight w:val="20"/>
        </w:trPr>
        <w:tc>
          <w:tcPr>
            <w:cnfStyle w:val="001000000000" w:firstRow="0" w:lastRow="0" w:firstColumn="1" w:lastColumn="0" w:oddVBand="0" w:evenVBand="0" w:oddHBand="0" w:evenHBand="0" w:firstRowFirstColumn="0" w:firstRowLastColumn="0" w:lastRowFirstColumn="0" w:lastRowLastColumn="0"/>
            <w:tcW w:w="2842" w:type="pct"/>
          </w:tcPr>
          <w:p w14:paraId="0EA91F4F" w14:textId="77777777" w:rsidR="000C37D3" w:rsidRPr="005006BF" w:rsidRDefault="000C37D3" w:rsidP="00F175A7">
            <w:pPr>
              <w:spacing w:after="0" w:line="240" w:lineRule="auto"/>
              <w:rPr>
                <w:sz w:val="22"/>
              </w:rPr>
            </w:pPr>
            <w:r w:rsidRPr="005006BF">
              <w:rPr>
                <w:sz w:val="22"/>
              </w:rPr>
              <w:t>Nombre de pêcheries aménagées annuellement</w:t>
            </w:r>
          </w:p>
        </w:tc>
        <w:tc>
          <w:tcPr>
            <w:tcW w:w="749" w:type="pct"/>
          </w:tcPr>
          <w:p w14:paraId="0922C204"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w:t>
            </w:r>
          </w:p>
        </w:tc>
        <w:tc>
          <w:tcPr>
            <w:tcW w:w="699" w:type="pct"/>
          </w:tcPr>
          <w:p w14:paraId="1579BC4B" w14:textId="0A4DDBDA" w:rsidR="000C37D3" w:rsidRPr="008139E1" w:rsidRDefault="00C63D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8139E1">
              <w:rPr>
                <w:sz w:val="22"/>
              </w:rPr>
              <w:t>0</w:t>
            </w:r>
          </w:p>
        </w:tc>
        <w:tc>
          <w:tcPr>
            <w:tcW w:w="710" w:type="pct"/>
          </w:tcPr>
          <w:p w14:paraId="7A393C7E"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9</w:t>
            </w:r>
          </w:p>
        </w:tc>
      </w:tr>
      <w:tr w:rsidR="000C37D3" w:rsidRPr="005006BF" w14:paraId="49785B6F" w14:textId="77777777" w:rsidTr="005006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2" w:type="pct"/>
          </w:tcPr>
          <w:p w14:paraId="2ECD9188" w14:textId="301C7A3B" w:rsidR="000C37D3" w:rsidRPr="005006BF" w:rsidRDefault="000C37D3" w:rsidP="00F175A7">
            <w:pPr>
              <w:spacing w:after="0" w:line="240" w:lineRule="auto"/>
              <w:rPr>
                <w:sz w:val="22"/>
              </w:rPr>
            </w:pPr>
            <w:r w:rsidRPr="005006BF">
              <w:rPr>
                <w:sz w:val="22"/>
              </w:rPr>
              <w:t>Quantité d'aliments concentrés mis</w:t>
            </w:r>
            <w:r w:rsidR="00262775">
              <w:rPr>
                <w:sz w:val="22"/>
              </w:rPr>
              <w:t>e</w:t>
            </w:r>
            <w:r w:rsidRPr="005006BF">
              <w:rPr>
                <w:sz w:val="22"/>
              </w:rPr>
              <w:t xml:space="preserve"> à la disposition des acteurs (Tonnes)</w:t>
            </w:r>
          </w:p>
        </w:tc>
        <w:tc>
          <w:tcPr>
            <w:tcW w:w="749" w:type="pct"/>
          </w:tcPr>
          <w:p w14:paraId="1F54E27B"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1 308,68</w:t>
            </w:r>
          </w:p>
        </w:tc>
        <w:tc>
          <w:tcPr>
            <w:tcW w:w="699" w:type="pct"/>
          </w:tcPr>
          <w:p w14:paraId="16814005" w14:textId="5CBE1C0E" w:rsidR="000C37D3" w:rsidRPr="005006BF" w:rsidRDefault="00C63D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6 716,65</w:t>
            </w:r>
          </w:p>
        </w:tc>
        <w:tc>
          <w:tcPr>
            <w:tcW w:w="710" w:type="pct"/>
          </w:tcPr>
          <w:p w14:paraId="7781CBE7" w14:textId="04472F1D" w:rsidR="000C37D3" w:rsidRPr="005006BF" w:rsidRDefault="00C63D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2</w:t>
            </w:r>
            <w:r w:rsidR="000C37D3" w:rsidRPr="005006BF">
              <w:rPr>
                <w:sz w:val="22"/>
              </w:rPr>
              <w:t xml:space="preserve"> 500</w:t>
            </w:r>
          </w:p>
        </w:tc>
      </w:tr>
      <w:tr w:rsidR="000C37D3" w:rsidRPr="005006BF" w14:paraId="1D33505D" w14:textId="77777777" w:rsidTr="005006BF">
        <w:trPr>
          <w:trHeight w:val="20"/>
        </w:trPr>
        <w:tc>
          <w:tcPr>
            <w:cnfStyle w:val="001000000000" w:firstRow="0" w:lastRow="0" w:firstColumn="1" w:lastColumn="0" w:oddVBand="0" w:evenVBand="0" w:oddHBand="0" w:evenHBand="0" w:firstRowFirstColumn="0" w:firstRowLastColumn="0" w:lastRowFirstColumn="0" w:lastRowLastColumn="0"/>
            <w:tcW w:w="2842" w:type="pct"/>
          </w:tcPr>
          <w:p w14:paraId="295892F5" w14:textId="77777777" w:rsidR="000C37D3" w:rsidRPr="005006BF" w:rsidRDefault="000C37D3" w:rsidP="00F175A7">
            <w:pPr>
              <w:spacing w:after="0" w:line="240" w:lineRule="auto"/>
              <w:rPr>
                <w:sz w:val="22"/>
              </w:rPr>
            </w:pPr>
            <w:r w:rsidRPr="005006BF">
              <w:rPr>
                <w:sz w:val="22"/>
              </w:rPr>
              <w:t>Quantité de semences fourragères mise à la disposition des acteurs (Tonnes)</w:t>
            </w:r>
          </w:p>
        </w:tc>
        <w:tc>
          <w:tcPr>
            <w:tcW w:w="749" w:type="pct"/>
          </w:tcPr>
          <w:p w14:paraId="460A8E7B"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85,38</w:t>
            </w:r>
          </w:p>
        </w:tc>
        <w:tc>
          <w:tcPr>
            <w:tcW w:w="699" w:type="pct"/>
          </w:tcPr>
          <w:p w14:paraId="1E08D77B"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607,026</w:t>
            </w:r>
          </w:p>
        </w:tc>
        <w:tc>
          <w:tcPr>
            <w:tcW w:w="710" w:type="pct"/>
          </w:tcPr>
          <w:p w14:paraId="543F5882" w14:textId="39E71FD6"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w:t>
            </w:r>
            <w:r w:rsidR="00C63DCB">
              <w:rPr>
                <w:sz w:val="22"/>
              </w:rPr>
              <w:t>0</w:t>
            </w:r>
            <w:r w:rsidRPr="005006BF">
              <w:rPr>
                <w:sz w:val="22"/>
              </w:rPr>
              <w:t>0</w:t>
            </w:r>
          </w:p>
        </w:tc>
      </w:tr>
      <w:tr w:rsidR="000C37D3" w:rsidRPr="005006BF" w14:paraId="369449A1" w14:textId="77777777" w:rsidTr="005006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2" w:type="pct"/>
          </w:tcPr>
          <w:p w14:paraId="549ED128" w14:textId="77777777" w:rsidR="000C37D3" w:rsidRPr="005006BF" w:rsidRDefault="000C37D3" w:rsidP="00F175A7">
            <w:pPr>
              <w:spacing w:after="0" w:line="240" w:lineRule="auto"/>
              <w:rPr>
                <w:sz w:val="22"/>
              </w:rPr>
            </w:pPr>
            <w:r w:rsidRPr="005006BF">
              <w:rPr>
                <w:sz w:val="22"/>
              </w:rPr>
              <w:t>Nombre de kits distribués pour la production fourragère</w:t>
            </w:r>
          </w:p>
        </w:tc>
        <w:tc>
          <w:tcPr>
            <w:tcW w:w="749" w:type="pct"/>
          </w:tcPr>
          <w:p w14:paraId="6BCACF69"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328</w:t>
            </w:r>
          </w:p>
        </w:tc>
        <w:tc>
          <w:tcPr>
            <w:tcW w:w="699" w:type="pct"/>
          </w:tcPr>
          <w:p w14:paraId="5E83CDDA"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250</w:t>
            </w:r>
          </w:p>
        </w:tc>
        <w:tc>
          <w:tcPr>
            <w:tcW w:w="710" w:type="pct"/>
          </w:tcPr>
          <w:p w14:paraId="017D14D1" w14:textId="72BD2656" w:rsidR="000C37D3" w:rsidRPr="005006BF" w:rsidRDefault="00C63DCB"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0C37D3" w:rsidRPr="005006BF" w14:paraId="15A2AEFF" w14:textId="77777777" w:rsidTr="005006BF">
        <w:trPr>
          <w:trHeight w:val="20"/>
        </w:trPr>
        <w:tc>
          <w:tcPr>
            <w:cnfStyle w:val="001000000000" w:firstRow="0" w:lastRow="0" w:firstColumn="1" w:lastColumn="0" w:oddVBand="0" w:evenVBand="0" w:oddHBand="0" w:evenHBand="0" w:firstRowFirstColumn="0" w:firstRowLastColumn="0" w:lastRowFirstColumn="0" w:lastRowLastColumn="0"/>
            <w:tcW w:w="2842" w:type="pct"/>
          </w:tcPr>
          <w:p w14:paraId="71D965B3" w14:textId="77777777" w:rsidR="000C37D3" w:rsidRPr="005006BF" w:rsidRDefault="000C37D3" w:rsidP="00F175A7">
            <w:pPr>
              <w:spacing w:after="0" w:line="240" w:lineRule="auto"/>
              <w:rPr>
                <w:sz w:val="22"/>
              </w:rPr>
            </w:pPr>
            <w:r w:rsidRPr="005006BF">
              <w:rPr>
                <w:sz w:val="22"/>
              </w:rPr>
              <w:t>Nombre de plans d'eau empoissonnés annuellement</w:t>
            </w:r>
          </w:p>
        </w:tc>
        <w:tc>
          <w:tcPr>
            <w:tcW w:w="749" w:type="pct"/>
          </w:tcPr>
          <w:p w14:paraId="3C1F82E2"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119</w:t>
            </w:r>
          </w:p>
        </w:tc>
        <w:tc>
          <w:tcPr>
            <w:tcW w:w="699" w:type="pct"/>
          </w:tcPr>
          <w:p w14:paraId="1FECDF83" w14:textId="5D74AA06" w:rsidR="000C37D3" w:rsidRPr="005006BF" w:rsidRDefault="00C63DCB"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sz w:val="22"/>
              </w:rPr>
              <w:t>51</w:t>
            </w:r>
          </w:p>
        </w:tc>
        <w:tc>
          <w:tcPr>
            <w:tcW w:w="710" w:type="pct"/>
          </w:tcPr>
          <w:p w14:paraId="5D475C09"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100</w:t>
            </w:r>
          </w:p>
        </w:tc>
      </w:tr>
    </w:tbl>
    <w:p w14:paraId="1D202B6E" w14:textId="4A31FB16" w:rsidR="000C37D3" w:rsidRPr="00F175A7" w:rsidRDefault="000C37D3" w:rsidP="000C37D3">
      <w:pPr>
        <w:rPr>
          <w:sz w:val="20"/>
          <w:szCs w:val="20"/>
        </w:rPr>
      </w:pPr>
      <w:r w:rsidRPr="00F175A7">
        <w:rPr>
          <w:b/>
          <w:sz w:val="20"/>
          <w:szCs w:val="20"/>
          <w:u w:val="single"/>
        </w:rPr>
        <w:t>Source</w:t>
      </w:r>
      <w:r w:rsidRPr="00F175A7">
        <w:rPr>
          <w:sz w:val="20"/>
          <w:szCs w:val="20"/>
        </w:rPr>
        <w:t xml:space="preserve"> : rapport </w:t>
      </w:r>
      <w:r w:rsidR="00287D1E">
        <w:rPr>
          <w:sz w:val="20"/>
          <w:szCs w:val="20"/>
        </w:rPr>
        <w:t xml:space="preserve">annuel </w:t>
      </w:r>
      <w:r w:rsidRPr="00F175A7">
        <w:rPr>
          <w:sz w:val="20"/>
          <w:szCs w:val="20"/>
        </w:rPr>
        <w:t>de performance 2023 du</w:t>
      </w:r>
      <w:r w:rsidR="002A619B">
        <w:rPr>
          <w:sz w:val="20"/>
          <w:szCs w:val="20"/>
        </w:rPr>
        <w:t xml:space="preserve"> CSD-</w:t>
      </w:r>
      <w:r w:rsidRPr="00F175A7">
        <w:rPr>
          <w:sz w:val="20"/>
          <w:szCs w:val="20"/>
        </w:rPr>
        <w:t>PASP, février 2024</w:t>
      </w:r>
    </w:p>
    <w:p w14:paraId="762ED6AD" w14:textId="2D563A56" w:rsidR="000C37D3" w:rsidRPr="000C37D3" w:rsidRDefault="00262775"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0C37D3" w:rsidRPr="000C37D3">
        <w:rPr>
          <w:rFonts w:eastAsia="Calibri"/>
          <w:szCs w:val="24"/>
        </w:rPr>
        <w:t xml:space="preserve"> plan budgétaire, sur une prévision globale </w:t>
      </w:r>
      <w:r>
        <w:rPr>
          <w:rFonts w:eastAsia="Calibri"/>
          <w:szCs w:val="24"/>
        </w:rPr>
        <w:t xml:space="preserve">de </w:t>
      </w:r>
      <w:r w:rsidR="00C63DCB">
        <w:rPr>
          <w:rFonts w:eastAsia="Calibri"/>
          <w:szCs w:val="24"/>
        </w:rPr>
        <w:t xml:space="preserve">4,77 milliards </w:t>
      </w:r>
      <w:r w:rsidR="000C37D3" w:rsidRPr="000C37D3">
        <w:rPr>
          <w:rFonts w:eastAsia="Calibri"/>
          <w:szCs w:val="24"/>
        </w:rPr>
        <w:t xml:space="preserve">FCFA, le montant dépensé dans le cadre de l’action 03076 s’élève à </w:t>
      </w:r>
      <w:r w:rsidR="00C63DCB">
        <w:rPr>
          <w:rFonts w:eastAsia="Calibri"/>
          <w:szCs w:val="24"/>
        </w:rPr>
        <w:t>2,12 milliards</w:t>
      </w:r>
      <w:r w:rsidR="00C63DCB" w:rsidRPr="000C37D3">
        <w:rPr>
          <w:rFonts w:eastAsia="Calibri"/>
          <w:szCs w:val="24"/>
        </w:rPr>
        <w:t xml:space="preserve"> </w:t>
      </w:r>
      <w:r w:rsidR="000C37D3" w:rsidRPr="000C37D3">
        <w:rPr>
          <w:rFonts w:eastAsia="Calibri"/>
          <w:szCs w:val="24"/>
        </w:rPr>
        <w:t xml:space="preserve">FCFA, soit un taux d’exécution de </w:t>
      </w:r>
      <w:r w:rsidR="00C63DCB">
        <w:rPr>
          <w:rFonts w:eastAsia="Calibri"/>
          <w:szCs w:val="24"/>
        </w:rPr>
        <w:t>44</w:t>
      </w:r>
      <w:r w:rsidR="000C37D3" w:rsidRPr="000C37D3">
        <w:rPr>
          <w:rFonts w:eastAsia="Calibri"/>
          <w:szCs w:val="24"/>
        </w:rPr>
        <w:t>,4</w:t>
      </w:r>
      <w:r w:rsidR="00C63DCB">
        <w:rPr>
          <w:rFonts w:eastAsia="Calibri"/>
          <w:szCs w:val="24"/>
        </w:rPr>
        <w:t>2</w:t>
      </w:r>
      <w:r w:rsidR="000C37D3" w:rsidRPr="000C37D3">
        <w:rPr>
          <w:rFonts w:eastAsia="Calibri"/>
          <w:szCs w:val="24"/>
        </w:rPr>
        <w:t xml:space="preserve">%. </w:t>
      </w:r>
    </w:p>
    <w:p w14:paraId="7DEEA221" w14:textId="7B350A5E"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Dans le domaine de la production forestière</w:t>
      </w:r>
      <w:r w:rsidRPr="000C37D3">
        <w:rPr>
          <w:rFonts w:eastAsia="Calibri"/>
          <w:szCs w:val="24"/>
        </w:rPr>
        <w:t xml:space="preserve">, deux actions ont été programmées en vue de générer les progrès escomptés en la matière. Il s’agit de l’accroissement de la production des ressources forestières et fauniques (03078), à propos duquel, l’ambition était de produire en 2023, respectivement 300 </w:t>
      </w:r>
      <w:r w:rsidR="00C63DCB">
        <w:rPr>
          <w:rFonts w:eastAsia="Calibri"/>
          <w:szCs w:val="24"/>
        </w:rPr>
        <w:t>000</w:t>
      </w:r>
      <w:r w:rsidRPr="000C37D3">
        <w:rPr>
          <w:rFonts w:eastAsia="Calibri"/>
          <w:szCs w:val="24"/>
        </w:rPr>
        <w:t xml:space="preserve"> stères de bois de chauffe dans les chantiers d'aménagements forestiers et de collecter 750 000 tonnes de Produits forestiers non-ligneux (PFNL). Il s’agit aussi du renforcement de la transformation des PFNL (03079), où l’ambition était de porter le taux de transformation des PFNL à 75% en 2023. </w:t>
      </w:r>
    </w:p>
    <w:p w14:paraId="46CED2C9" w14:textId="4CE62B56" w:rsidR="008008C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La situation de réalisation des produits attendus relatifs à la mise en œuvre des deux actions figure dans le tableau ci-dessous. </w:t>
      </w:r>
    </w:p>
    <w:p w14:paraId="61FD70F8" w14:textId="77777777" w:rsidR="008008C3" w:rsidRDefault="008008C3">
      <w:pPr>
        <w:spacing w:after="0" w:line="240" w:lineRule="auto"/>
        <w:jc w:val="left"/>
        <w:rPr>
          <w:rFonts w:eastAsia="Calibri"/>
          <w:szCs w:val="24"/>
        </w:rPr>
      </w:pPr>
      <w:r>
        <w:rPr>
          <w:rFonts w:eastAsia="Calibri"/>
          <w:szCs w:val="24"/>
        </w:rPr>
        <w:br w:type="page"/>
      </w:r>
    </w:p>
    <w:p w14:paraId="07793A2C" w14:textId="0A033B0E" w:rsidR="000C37D3" w:rsidRPr="0042784A" w:rsidRDefault="00C65EC0" w:rsidP="008139E1">
      <w:pPr>
        <w:pStyle w:val="Lgende"/>
        <w:rPr>
          <w:color w:val="auto"/>
        </w:rPr>
      </w:pPr>
      <w:bookmarkStart w:id="140" w:name="_Toc164503655"/>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68</w:t>
      </w:r>
      <w:r w:rsidRPr="0042784A">
        <w:rPr>
          <w:b/>
          <w:i w:val="0"/>
          <w:color w:val="auto"/>
          <w:sz w:val="22"/>
          <w:szCs w:val="22"/>
          <w:u w:val="single"/>
        </w:rPr>
        <w:fldChar w:fldCharType="end"/>
      </w:r>
      <w:r w:rsidRPr="0042784A">
        <w:rPr>
          <w:b/>
          <w:i w:val="0"/>
          <w:color w:val="auto"/>
          <w:sz w:val="22"/>
          <w:szCs w:val="22"/>
          <w:u w:val="single"/>
        </w:rPr>
        <w:t>:</w:t>
      </w:r>
      <w:r w:rsidRPr="0042784A">
        <w:rPr>
          <w:i w:val="0"/>
          <w:color w:val="auto"/>
          <w:sz w:val="22"/>
          <w:szCs w:val="22"/>
        </w:rPr>
        <w:t xml:space="preserve"> </w:t>
      </w:r>
      <w:r w:rsidRPr="0042784A">
        <w:rPr>
          <w:i w:val="0"/>
          <w:color w:val="auto"/>
          <w:sz w:val="24"/>
          <w:szCs w:val="24"/>
        </w:rPr>
        <w:t>situation des indicateurs de produits du domaine de la production forestière au 31 décembre 2023</w:t>
      </w:r>
      <w:bookmarkEnd w:id="140"/>
    </w:p>
    <w:tbl>
      <w:tblPr>
        <w:tblStyle w:val="GridTable4-Accent111"/>
        <w:tblW w:w="5000" w:type="pct"/>
        <w:tblLook w:val="04A0" w:firstRow="1" w:lastRow="0" w:firstColumn="1" w:lastColumn="0" w:noHBand="0" w:noVBand="1"/>
      </w:tblPr>
      <w:tblGrid>
        <w:gridCol w:w="4718"/>
        <w:gridCol w:w="1516"/>
        <w:gridCol w:w="1500"/>
        <w:gridCol w:w="1282"/>
      </w:tblGrid>
      <w:tr w:rsidR="000C37D3" w:rsidRPr="005006BF" w14:paraId="54EA1987" w14:textId="77777777" w:rsidTr="00C63D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6" w:type="pct"/>
          </w:tcPr>
          <w:p w14:paraId="50B95298" w14:textId="0ADD93F0" w:rsidR="000C37D3" w:rsidRPr="005006BF" w:rsidRDefault="000C37D3" w:rsidP="00F175A7">
            <w:pPr>
              <w:spacing w:after="0" w:line="240" w:lineRule="auto"/>
              <w:rPr>
                <w:sz w:val="22"/>
              </w:rPr>
            </w:pPr>
            <w:r w:rsidRPr="005006BF">
              <w:rPr>
                <w:sz w:val="22"/>
              </w:rPr>
              <w:t>Indicateur</w:t>
            </w:r>
            <w:r w:rsidR="00C32F9E">
              <w:rPr>
                <w:sz w:val="22"/>
              </w:rPr>
              <w:t>s</w:t>
            </w:r>
          </w:p>
        </w:tc>
        <w:tc>
          <w:tcPr>
            <w:tcW w:w="841" w:type="pct"/>
          </w:tcPr>
          <w:p w14:paraId="70A27C4A"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Réf. 2022</w:t>
            </w:r>
          </w:p>
        </w:tc>
        <w:tc>
          <w:tcPr>
            <w:tcW w:w="832" w:type="pct"/>
          </w:tcPr>
          <w:p w14:paraId="24871261"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2023</w:t>
            </w:r>
          </w:p>
        </w:tc>
        <w:tc>
          <w:tcPr>
            <w:tcW w:w="711" w:type="pct"/>
          </w:tcPr>
          <w:p w14:paraId="6CD8D180"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Cible 2023</w:t>
            </w:r>
          </w:p>
        </w:tc>
      </w:tr>
      <w:tr w:rsidR="000C37D3" w:rsidRPr="005006BF" w14:paraId="096FF21E"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33E23DF7" w14:textId="77777777" w:rsidR="000C37D3" w:rsidRPr="005006BF" w:rsidRDefault="000C37D3" w:rsidP="00F175A7">
            <w:pPr>
              <w:spacing w:after="0" w:line="240" w:lineRule="auto"/>
              <w:rPr>
                <w:sz w:val="22"/>
              </w:rPr>
            </w:pPr>
            <w:r w:rsidRPr="005006BF">
              <w:rPr>
                <w:sz w:val="22"/>
              </w:rPr>
              <w:t>Action 03078 : Accroissement de la production des ressources forestières et fauniques</w:t>
            </w:r>
          </w:p>
        </w:tc>
      </w:tr>
      <w:tr w:rsidR="00C63DCB" w:rsidRPr="005006BF" w14:paraId="3313E8B6"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616" w:type="pct"/>
            <w:vAlign w:val="center"/>
          </w:tcPr>
          <w:p w14:paraId="26A82405" w14:textId="43019C6B" w:rsidR="00C63DCB" w:rsidRPr="00C63DCB" w:rsidRDefault="00C63DCB" w:rsidP="00C63DCB">
            <w:pPr>
              <w:spacing w:after="0" w:line="240" w:lineRule="auto"/>
              <w:rPr>
                <w:sz w:val="22"/>
              </w:rPr>
            </w:pPr>
            <w:r w:rsidRPr="008139E1">
              <w:rPr>
                <w:rFonts w:cs="Calibri"/>
                <w:sz w:val="22"/>
              </w:rPr>
              <w:t>Nombre de jardins nutritifs créés</w:t>
            </w:r>
          </w:p>
        </w:tc>
        <w:tc>
          <w:tcPr>
            <w:tcW w:w="841" w:type="pct"/>
            <w:vAlign w:val="center"/>
          </w:tcPr>
          <w:p w14:paraId="1B7A935C" w14:textId="2FDA8BCA" w:rsidR="00C63DCB" w:rsidRPr="00C63DCB" w:rsidRDefault="00C63DCB" w:rsidP="00C63DCB">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8139E1">
              <w:rPr>
                <w:sz w:val="22"/>
              </w:rPr>
              <w:t>112</w:t>
            </w:r>
          </w:p>
        </w:tc>
        <w:tc>
          <w:tcPr>
            <w:tcW w:w="832" w:type="pct"/>
            <w:vAlign w:val="center"/>
          </w:tcPr>
          <w:p w14:paraId="4873E519" w14:textId="6E3192D5" w:rsidR="00C63DCB" w:rsidRPr="00C63DCB" w:rsidRDefault="00C63DCB" w:rsidP="00C63DCB">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8139E1">
              <w:rPr>
                <w:sz w:val="22"/>
              </w:rPr>
              <w:t>153</w:t>
            </w:r>
          </w:p>
        </w:tc>
        <w:tc>
          <w:tcPr>
            <w:tcW w:w="711" w:type="pct"/>
            <w:vAlign w:val="center"/>
          </w:tcPr>
          <w:p w14:paraId="2128BE29" w14:textId="7EDAD608" w:rsidR="00C63DCB" w:rsidRPr="00C63DCB" w:rsidRDefault="00C63DCB" w:rsidP="00C63DCB">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8139E1">
              <w:rPr>
                <w:sz w:val="22"/>
              </w:rPr>
              <w:t>30</w:t>
            </w:r>
          </w:p>
        </w:tc>
      </w:tr>
      <w:tr w:rsidR="00C63DCB" w:rsidRPr="005006BF" w14:paraId="630B2657" w14:textId="77777777" w:rsidTr="00C63D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6" w:type="pct"/>
          </w:tcPr>
          <w:p w14:paraId="78012859" w14:textId="7E860290" w:rsidR="00C63DCB" w:rsidRPr="005006BF" w:rsidRDefault="00C63DCB" w:rsidP="00C63DCB">
            <w:pPr>
              <w:spacing w:after="0" w:line="240" w:lineRule="auto"/>
              <w:rPr>
                <w:sz w:val="22"/>
              </w:rPr>
            </w:pPr>
            <w:r w:rsidRPr="005006BF">
              <w:rPr>
                <w:sz w:val="22"/>
              </w:rPr>
              <w:t>Nombre de forages réalisés dans les aires de protection faunique</w:t>
            </w:r>
          </w:p>
        </w:tc>
        <w:tc>
          <w:tcPr>
            <w:tcW w:w="841" w:type="pct"/>
          </w:tcPr>
          <w:p w14:paraId="5F75E0DB" w14:textId="761D3B55" w:rsidR="00C63DCB" w:rsidRPr="005006BF" w:rsidRDefault="00C63DCB" w:rsidP="00C63DCB">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0</w:t>
            </w:r>
          </w:p>
        </w:tc>
        <w:tc>
          <w:tcPr>
            <w:tcW w:w="832" w:type="pct"/>
          </w:tcPr>
          <w:p w14:paraId="48401B95" w14:textId="18E98F43" w:rsidR="00C63DCB" w:rsidRPr="005006BF" w:rsidRDefault="00C63DCB" w:rsidP="00C63DCB">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r w:rsidRPr="005006BF">
              <w:rPr>
                <w:sz w:val="22"/>
              </w:rPr>
              <w:t>3</w:t>
            </w:r>
          </w:p>
        </w:tc>
        <w:tc>
          <w:tcPr>
            <w:tcW w:w="711" w:type="pct"/>
          </w:tcPr>
          <w:p w14:paraId="5E6EFDCA" w14:textId="17E3A274" w:rsidR="00C63DCB" w:rsidRPr="005006BF" w:rsidRDefault="00C63DCB" w:rsidP="00C63DCB">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15</w:t>
            </w:r>
          </w:p>
        </w:tc>
      </w:tr>
      <w:tr w:rsidR="000C37D3" w:rsidRPr="005006BF" w14:paraId="08C0A80C" w14:textId="77777777" w:rsidTr="00C63DCB">
        <w:trPr>
          <w:trHeight w:val="20"/>
        </w:trPr>
        <w:tc>
          <w:tcPr>
            <w:cnfStyle w:val="001000000000" w:firstRow="0" w:lastRow="0" w:firstColumn="1" w:lastColumn="0" w:oddVBand="0" w:evenVBand="0" w:oddHBand="0" w:evenHBand="0" w:firstRowFirstColumn="0" w:firstRowLastColumn="0" w:lastRowFirstColumn="0" w:lastRowLastColumn="0"/>
            <w:tcW w:w="2616" w:type="pct"/>
          </w:tcPr>
          <w:p w14:paraId="1DD36257" w14:textId="77777777" w:rsidR="000C37D3" w:rsidRPr="005006BF" w:rsidRDefault="000C37D3" w:rsidP="00F175A7">
            <w:pPr>
              <w:spacing w:after="0" w:line="240" w:lineRule="auto"/>
              <w:rPr>
                <w:sz w:val="22"/>
              </w:rPr>
            </w:pPr>
            <w:r w:rsidRPr="005006BF">
              <w:rPr>
                <w:sz w:val="22"/>
              </w:rPr>
              <w:t>Nombre de barrages réalisés dans les aires de protection faunique</w:t>
            </w:r>
          </w:p>
        </w:tc>
        <w:tc>
          <w:tcPr>
            <w:tcW w:w="841" w:type="pct"/>
          </w:tcPr>
          <w:p w14:paraId="51705D60"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832" w:type="pct"/>
          </w:tcPr>
          <w:p w14:paraId="5EBB0770"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5006BF">
              <w:rPr>
                <w:sz w:val="22"/>
              </w:rPr>
              <w:t>0</w:t>
            </w:r>
          </w:p>
        </w:tc>
        <w:tc>
          <w:tcPr>
            <w:tcW w:w="711" w:type="pct"/>
          </w:tcPr>
          <w:p w14:paraId="48192C2D"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5</w:t>
            </w:r>
          </w:p>
        </w:tc>
      </w:tr>
      <w:tr w:rsidR="000C37D3" w:rsidRPr="005006BF" w14:paraId="3EF3A7A6" w14:textId="77777777" w:rsidTr="00C63D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6" w:type="pct"/>
          </w:tcPr>
          <w:p w14:paraId="61FB84D6" w14:textId="41A8BF88" w:rsidR="000C37D3" w:rsidRPr="005006BF" w:rsidRDefault="000C37D3" w:rsidP="00F175A7">
            <w:pPr>
              <w:spacing w:after="0" w:line="240" w:lineRule="auto"/>
              <w:rPr>
                <w:sz w:val="22"/>
              </w:rPr>
            </w:pPr>
            <w:r w:rsidRPr="005006BF">
              <w:rPr>
                <w:sz w:val="22"/>
              </w:rPr>
              <w:t>Nombre de barrages réhabilité</w:t>
            </w:r>
            <w:r w:rsidR="00262775">
              <w:rPr>
                <w:sz w:val="22"/>
              </w:rPr>
              <w:t>s</w:t>
            </w:r>
            <w:r w:rsidRPr="005006BF">
              <w:rPr>
                <w:sz w:val="22"/>
              </w:rPr>
              <w:t xml:space="preserve"> dans les aires de protection faunique</w:t>
            </w:r>
          </w:p>
        </w:tc>
        <w:tc>
          <w:tcPr>
            <w:tcW w:w="841" w:type="pct"/>
          </w:tcPr>
          <w:p w14:paraId="0923F397"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0</w:t>
            </w:r>
          </w:p>
        </w:tc>
        <w:tc>
          <w:tcPr>
            <w:tcW w:w="832" w:type="pct"/>
          </w:tcPr>
          <w:p w14:paraId="4344A64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0</w:t>
            </w:r>
          </w:p>
        </w:tc>
        <w:tc>
          <w:tcPr>
            <w:tcW w:w="711" w:type="pct"/>
          </w:tcPr>
          <w:p w14:paraId="3BAB8AAB"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5</w:t>
            </w:r>
          </w:p>
        </w:tc>
      </w:tr>
      <w:tr w:rsidR="000C37D3" w:rsidRPr="005006BF" w14:paraId="7AB125F6"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247369DE" w14:textId="77777777" w:rsidR="000C37D3" w:rsidRPr="005006BF" w:rsidRDefault="000C37D3" w:rsidP="00F175A7">
            <w:pPr>
              <w:spacing w:after="0" w:line="240" w:lineRule="auto"/>
              <w:rPr>
                <w:sz w:val="22"/>
              </w:rPr>
            </w:pPr>
            <w:r w:rsidRPr="005006BF">
              <w:rPr>
                <w:sz w:val="22"/>
              </w:rPr>
              <w:t>Action 03079 : Renforcement de la transformation des produits forestiers non-ligneux</w:t>
            </w:r>
          </w:p>
        </w:tc>
      </w:tr>
      <w:tr w:rsidR="000C37D3" w:rsidRPr="005006BF" w14:paraId="3DE0AC7B" w14:textId="77777777" w:rsidTr="00C63D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6" w:type="pct"/>
          </w:tcPr>
          <w:p w14:paraId="790A5709" w14:textId="3519563D" w:rsidR="000C37D3" w:rsidRPr="005006BF" w:rsidRDefault="000C37D3" w:rsidP="00F175A7">
            <w:pPr>
              <w:spacing w:after="0" w:line="240" w:lineRule="auto"/>
              <w:rPr>
                <w:sz w:val="22"/>
              </w:rPr>
            </w:pPr>
            <w:r w:rsidRPr="005006BF">
              <w:rPr>
                <w:sz w:val="22"/>
              </w:rPr>
              <w:t>Nombre de lots d'équipements de transformation de PFNL acquis</w:t>
            </w:r>
          </w:p>
        </w:tc>
        <w:tc>
          <w:tcPr>
            <w:tcW w:w="841" w:type="pct"/>
          </w:tcPr>
          <w:p w14:paraId="1CB9DA19"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NA</w:t>
            </w:r>
          </w:p>
        </w:tc>
        <w:tc>
          <w:tcPr>
            <w:tcW w:w="832" w:type="pct"/>
          </w:tcPr>
          <w:p w14:paraId="20F0C53B"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0</w:t>
            </w:r>
          </w:p>
        </w:tc>
        <w:tc>
          <w:tcPr>
            <w:tcW w:w="711" w:type="pct"/>
          </w:tcPr>
          <w:p w14:paraId="4FCB1B3C"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40</w:t>
            </w:r>
          </w:p>
        </w:tc>
      </w:tr>
      <w:tr w:rsidR="000C37D3" w:rsidRPr="005006BF" w14:paraId="43EEBA80" w14:textId="77777777" w:rsidTr="00C63DCB">
        <w:trPr>
          <w:trHeight w:val="20"/>
        </w:trPr>
        <w:tc>
          <w:tcPr>
            <w:cnfStyle w:val="001000000000" w:firstRow="0" w:lastRow="0" w:firstColumn="1" w:lastColumn="0" w:oddVBand="0" w:evenVBand="0" w:oddHBand="0" w:evenHBand="0" w:firstRowFirstColumn="0" w:firstRowLastColumn="0" w:lastRowFirstColumn="0" w:lastRowLastColumn="0"/>
            <w:tcW w:w="2616" w:type="pct"/>
          </w:tcPr>
          <w:p w14:paraId="6F45C2CC" w14:textId="77777777" w:rsidR="000C37D3" w:rsidRPr="005006BF" w:rsidRDefault="000C37D3" w:rsidP="00F175A7">
            <w:pPr>
              <w:spacing w:after="0" w:line="240" w:lineRule="auto"/>
              <w:rPr>
                <w:sz w:val="22"/>
              </w:rPr>
            </w:pPr>
            <w:r w:rsidRPr="005006BF">
              <w:rPr>
                <w:sz w:val="22"/>
              </w:rPr>
              <w:t>Nombre d'unités de transformation de PFNL mises en place</w:t>
            </w:r>
          </w:p>
        </w:tc>
        <w:tc>
          <w:tcPr>
            <w:tcW w:w="841" w:type="pct"/>
          </w:tcPr>
          <w:p w14:paraId="624EFD53"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11</w:t>
            </w:r>
          </w:p>
        </w:tc>
        <w:tc>
          <w:tcPr>
            <w:tcW w:w="832" w:type="pct"/>
          </w:tcPr>
          <w:p w14:paraId="0B5944AE"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5006BF">
              <w:rPr>
                <w:sz w:val="22"/>
              </w:rPr>
              <w:t>9</w:t>
            </w:r>
          </w:p>
        </w:tc>
        <w:tc>
          <w:tcPr>
            <w:tcW w:w="711" w:type="pct"/>
          </w:tcPr>
          <w:p w14:paraId="7AAC6D6C"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4</w:t>
            </w:r>
          </w:p>
        </w:tc>
      </w:tr>
    </w:tbl>
    <w:p w14:paraId="38759A7D" w14:textId="1B39B84F" w:rsidR="000C37D3" w:rsidRPr="005006BF" w:rsidRDefault="000C37D3" w:rsidP="000C37D3">
      <w:pPr>
        <w:rPr>
          <w:sz w:val="20"/>
          <w:szCs w:val="20"/>
        </w:rPr>
      </w:pPr>
      <w:r w:rsidRPr="005006BF">
        <w:rPr>
          <w:b/>
          <w:bCs/>
          <w:sz w:val="20"/>
          <w:szCs w:val="20"/>
          <w:u w:val="single"/>
        </w:rPr>
        <w:t>Source</w:t>
      </w:r>
      <w:r w:rsidRPr="005006BF">
        <w:rPr>
          <w:sz w:val="20"/>
          <w:szCs w:val="20"/>
        </w:rPr>
        <w:t xml:space="preserve"> : rapport </w:t>
      </w:r>
      <w:r w:rsidR="00287D1E">
        <w:rPr>
          <w:sz w:val="20"/>
          <w:szCs w:val="20"/>
        </w:rPr>
        <w:t xml:space="preserve">annuel </w:t>
      </w:r>
      <w:r w:rsidRPr="005006BF">
        <w:rPr>
          <w:sz w:val="20"/>
          <w:szCs w:val="20"/>
        </w:rPr>
        <w:t xml:space="preserve">de performance 2023 du </w:t>
      </w:r>
      <w:r w:rsidR="00C32F9E">
        <w:rPr>
          <w:sz w:val="20"/>
          <w:szCs w:val="20"/>
        </w:rPr>
        <w:t>CSD-</w:t>
      </w:r>
      <w:r w:rsidRPr="005006BF">
        <w:rPr>
          <w:sz w:val="20"/>
          <w:szCs w:val="20"/>
        </w:rPr>
        <w:t>PASP, février 2024</w:t>
      </w:r>
    </w:p>
    <w:p w14:paraId="12B48D06" w14:textId="280E2D64"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Le tableau </w:t>
      </w:r>
      <w:r w:rsidR="00262775">
        <w:rPr>
          <w:rFonts w:eastAsia="Calibri"/>
          <w:szCs w:val="24"/>
        </w:rPr>
        <w:t>68</w:t>
      </w:r>
      <w:r w:rsidRPr="000C37D3">
        <w:rPr>
          <w:rFonts w:eastAsia="Calibri"/>
          <w:szCs w:val="24"/>
        </w:rPr>
        <w:t xml:space="preserve"> montre qu’à l’exception du « nombre de jardins nutritifs créés » et du « nombre d'unités de transformation de PFNL mises en place » qui ont dépassé les cibles annuelles, les autres produits n’ont pas connu d’avancées majeures. La raison tient principalement à la situation sécuritaire et à la contrainte financière. </w:t>
      </w:r>
    </w:p>
    <w:p w14:paraId="3392C9F7" w14:textId="08B48A4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Au 31 décembre 2023, sur des prévisions budgétaires globales de 680</w:t>
      </w:r>
      <w:r w:rsidR="001353E0">
        <w:rPr>
          <w:rFonts w:eastAsia="Calibri"/>
          <w:szCs w:val="24"/>
        </w:rPr>
        <w:t> </w:t>
      </w:r>
      <w:r w:rsidRPr="000C37D3">
        <w:rPr>
          <w:rFonts w:eastAsia="Calibri"/>
          <w:szCs w:val="24"/>
        </w:rPr>
        <w:t>000</w:t>
      </w:r>
      <w:r w:rsidR="001353E0" w:rsidRPr="00056445">
        <w:rPr>
          <w:rFonts w:eastAsia="Calibri"/>
          <w:szCs w:val="24"/>
        </w:rPr>
        <w:t>°</w:t>
      </w:r>
      <w:r w:rsidRPr="000C37D3">
        <w:rPr>
          <w:rFonts w:eastAsia="Calibri"/>
          <w:szCs w:val="24"/>
        </w:rPr>
        <w:t>000 FCFA pour les actions 03078 « accroissement de la production des ressources forestières et fauniques » et 03079 « renforcement de la transformation des produits forestiers non-ligneux », le montant effectivement dépensé s’élève à 408</w:t>
      </w:r>
      <w:r w:rsidR="001353E0">
        <w:rPr>
          <w:rFonts w:eastAsia="Calibri"/>
          <w:szCs w:val="24"/>
        </w:rPr>
        <w:t> </w:t>
      </w:r>
      <w:r w:rsidRPr="000C37D3">
        <w:rPr>
          <w:rFonts w:eastAsia="Calibri"/>
          <w:szCs w:val="24"/>
        </w:rPr>
        <w:t>493</w:t>
      </w:r>
      <w:r w:rsidR="001353E0" w:rsidRPr="00056445">
        <w:rPr>
          <w:rFonts w:eastAsia="Calibri"/>
          <w:szCs w:val="24"/>
        </w:rPr>
        <w:t>°</w:t>
      </w:r>
      <w:r w:rsidRPr="000C37D3">
        <w:rPr>
          <w:rFonts w:eastAsia="Calibri"/>
          <w:szCs w:val="24"/>
        </w:rPr>
        <w:t xml:space="preserve">150 FCFA, soit un taux d’exécution financière de 60,7%. </w:t>
      </w:r>
    </w:p>
    <w:p w14:paraId="215AD7B5" w14:textId="1128862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Dans le domaine de la sécurisation foncière</w:t>
      </w:r>
      <w:r w:rsidRPr="000C37D3">
        <w:rPr>
          <w:rFonts w:eastAsia="Calibri"/>
          <w:szCs w:val="24"/>
        </w:rPr>
        <w:t xml:space="preserve">, les actions définies dans le PA-SD sont relatives à la sécurisation foncière des aménagements et des exploitations (03073) et au renforcement de la professionnalisation des acteurs des filières ASPHF (03077). En 2023, l’ambition était de porter la proportion des terres agro-pastorales sécurisées avec un acte foncier rural de 2,9% en 2022 à 30% pour ce qui est de la première action. Concernant la seconde action, il s’agissait de porter la proportion des organisations professionnelles agricoles immatriculées dans le registre des sociétés coopératives à 27%, et d’accompagner la mise en place </w:t>
      </w:r>
      <w:r w:rsidR="001353E0">
        <w:rPr>
          <w:rFonts w:eastAsia="Calibri"/>
          <w:szCs w:val="24"/>
        </w:rPr>
        <w:t xml:space="preserve">de </w:t>
      </w:r>
      <w:r w:rsidRPr="000C37D3">
        <w:rPr>
          <w:rFonts w:eastAsia="Calibri"/>
          <w:szCs w:val="24"/>
        </w:rPr>
        <w:t>1</w:t>
      </w:r>
      <w:r w:rsidR="001353E0" w:rsidRPr="00056445">
        <w:rPr>
          <w:rFonts w:eastAsia="Calibri"/>
          <w:szCs w:val="24"/>
        </w:rPr>
        <w:t>°</w:t>
      </w:r>
      <w:r w:rsidRPr="000C37D3">
        <w:rPr>
          <w:rFonts w:eastAsia="Calibri"/>
          <w:szCs w:val="24"/>
        </w:rPr>
        <w:t>250 entreprises ASPHF contre 329 en 2022.</w:t>
      </w:r>
    </w:p>
    <w:p w14:paraId="3511FF77" w14:textId="57F39DE5" w:rsidR="006470A9"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Au terme de l’année 2023, il s’avère que la proportion des OPA immatriculée</w:t>
      </w:r>
      <w:r w:rsidR="001353E0">
        <w:rPr>
          <w:rFonts w:eastAsia="Calibri"/>
          <w:szCs w:val="24"/>
        </w:rPr>
        <w:t>s</w:t>
      </w:r>
      <w:r w:rsidRPr="000C37D3">
        <w:rPr>
          <w:rFonts w:eastAsia="Calibri"/>
          <w:szCs w:val="24"/>
        </w:rPr>
        <w:t xml:space="preserve"> dans le registre des sociétés coopératives s’établit à 85%. De même</w:t>
      </w:r>
      <w:r w:rsidR="001353E0">
        <w:rPr>
          <w:rFonts w:eastAsia="Calibri"/>
          <w:szCs w:val="24"/>
        </w:rPr>
        <w:t>,</w:t>
      </w:r>
      <w:r w:rsidRPr="000C37D3">
        <w:rPr>
          <w:rFonts w:eastAsia="Calibri"/>
          <w:szCs w:val="24"/>
        </w:rPr>
        <w:t xml:space="preserve"> la cible en matière de mise en place des entreprises ASPHF a été réalisée à hauteur </w:t>
      </w:r>
      <w:r w:rsidR="001353E0">
        <w:rPr>
          <w:rFonts w:eastAsia="Calibri"/>
          <w:szCs w:val="24"/>
        </w:rPr>
        <w:t xml:space="preserve">de </w:t>
      </w:r>
      <w:r w:rsidRPr="000C37D3">
        <w:rPr>
          <w:rFonts w:eastAsia="Calibri"/>
          <w:szCs w:val="24"/>
        </w:rPr>
        <w:t xml:space="preserve">85,2%. Quant aux niveaux de réalisation des produits attendus des deux (02) actions, leur situation d’exécution est </w:t>
      </w:r>
      <w:r w:rsidR="00C32F9E" w:rsidRPr="000C37D3">
        <w:rPr>
          <w:rFonts w:eastAsia="Calibri"/>
          <w:szCs w:val="24"/>
        </w:rPr>
        <w:t>consignée</w:t>
      </w:r>
      <w:r w:rsidRPr="000C37D3">
        <w:rPr>
          <w:rFonts w:eastAsia="Calibri"/>
          <w:szCs w:val="24"/>
        </w:rPr>
        <w:t xml:space="preserve"> dans le tableau ci-dessous. </w:t>
      </w:r>
    </w:p>
    <w:p w14:paraId="37FD2BF0" w14:textId="77777777" w:rsidR="006470A9" w:rsidRDefault="006470A9">
      <w:pPr>
        <w:spacing w:after="0" w:line="240" w:lineRule="auto"/>
        <w:jc w:val="left"/>
        <w:rPr>
          <w:rFonts w:eastAsia="Calibri"/>
          <w:szCs w:val="24"/>
        </w:rPr>
      </w:pPr>
      <w:r>
        <w:rPr>
          <w:rFonts w:eastAsia="Calibri"/>
          <w:szCs w:val="24"/>
        </w:rPr>
        <w:br w:type="page"/>
      </w:r>
    </w:p>
    <w:p w14:paraId="0E82415D" w14:textId="121AC438" w:rsidR="000C37D3" w:rsidRPr="0042784A" w:rsidRDefault="00C65EC0" w:rsidP="008139E1">
      <w:pPr>
        <w:pStyle w:val="Lgende"/>
        <w:rPr>
          <w:color w:val="auto"/>
        </w:rPr>
      </w:pPr>
      <w:bookmarkStart w:id="141" w:name="_Toc164503656"/>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69</w:t>
      </w:r>
      <w:r w:rsidRPr="0042784A">
        <w:rPr>
          <w:b/>
          <w:i w:val="0"/>
          <w:color w:val="auto"/>
          <w:sz w:val="22"/>
          <w:szCs w:val="22"/>
          <w:u w:val="single"/>
        </w:rPr>
        <w:fldChar w:fldCharType="end"/>
      </w:r>
      <w:r w:rsidRPr="0042784A">
        <w:rPr>
          <w:i w:val="0"/>
          <w:color w:val="auto"/>
          <w:sz w:val="24"/>
          <w:szCs w:val="24"/>
        </w:rPr>
        <w:t>: situation des indicateurs de produits des actions du domaine de la sécurisation foncière au 31 décembre 2023</w:t>
      </w:r>
      <w:bookmarkEnd w:id="141"/>
    </w:p>
    <w:tbl>
      <w:tblPr>
        <w:tblStyle w:val="GridTable4-Accent111"/>
        <w:tblW w:w="5000" w:type="pct"/>
        <w:tblLook w:val="04A0" w:firstRow="1" w:lastRow="0" w:firstColumn="1" w:lastColumn="0" w:noHBand="0" w:noVBand="1"/>
      </w:tblPr>
      <w:tblGrid>
        <w:gridCol w:w="4504"/>
        <w:gridCol w:w="1437"/>
        <w:gridCol w:w="1641"/>
        <w:gridCol w:w="1434"/>
      </w:tblGrid>
      <w:tr w:rsidR="000C37D3" w:rsidRPr="005006BF" w14:paraId="4971BF67" w14:textId="77777777" w:rsidTr="00E528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8" w:type="pct"/>
          </w:tcPr>
          <w:p w14:paraId="36124B0D" w14:textId="77777777" w:rsidR="000C37D3" w:rsidRPr="005006BF" w:rsidRDefault="000C37D3" w:rsidP="00F175A7">
            <w:pPr>
              <w:spacing w:after="0" w:line="240" w:lineRule="auto"/>
              <w:rPr>
                <w:sz w:val="22"/>
              </w:rPr>
            </w:pPr>
            <w:r w:rsidRPr="005006BF">
              <w:rPr>
                <w:sz w:val="22"/>
              </w:rPr>
              <w:t>Indicateurs</w:t>
            </w:r>
          </w:p>
        </w:tc>
        <w:tc>
          <w:tcPr>
            <w:tcW w:w="797" w:type="pct"/>
          </w:tcPr>
          <w:p w14:paraId="76D60963"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Réf. 2022</w:t>
            </w:r>
          </w:p>
        </w:tc>
        <w:tc>
          <w:tcPr>
            <w:tcW w:w="910" w:type="pct"/>
          </w:tcPr>
          <w:p w14:paraId="0C3308BD"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2023</w:t>
            </w:r>
          </w:p>
        </w:tc>
        <w:tc>
          <w:tcPr>
            <w:tcW w:w="795" w:type="pct"/>
          </w:tcPr>
          <w:p w14:paraId="1CE2F22F"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Cible 2023</w:t>
            </w:r>
          </w:p>
        </w:tc>
      </w:tr>
      <w:tr w:rsidR="000C37D3" w:rsidRPr="005006BF" w14:paraId="4D99253C"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2BC8B374" w14:textId="77777777" w:rsidR="000C37D3" w:rsidRPr="005006BF" w:rsidRDefault="000C37D3" w:rsidP="00F175A7">
            <w:pPr>
              <w:spacing w:after="0" w:line="240" w:lineRule="auto"/>
              <w:rPr>
                <w:sz w:val="22"/>
              </w:rPr>
            </w:pPr>
            <w:r w:rsidRPr="005006BF">
              <w:rPr>
                <w:sz w:val="22"/>
              </w:rPr>
              <w:t xml:space="preserve">Action </w:t>
            </w:r>
            <w:r w:rsidRPr="00F175A7">
              <w:rPr>
                <w:sz w:val="22"/>
                <w:shd w:val="clear" w:color="auto" w:fill="FFF2CC" w:themeFill="accent4" w:themeFillTint="33"/>
              </w:rPr>
              <w:t>03073 : Sécurisation foncière des aménagements et des exploitations</w:t>
            </w:r>
          </w:p>
        </w:tc>
      </w:tr>
      <w:tr w:rsidR="000C37D3" w:rsidRPr="005006BF" w14:paraId="3C7389AB"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498" w:type="pct"/>
          </w:tcPr>
          <w:p w14:paraId="07363C34" w14:textId="77777777" w:rsidR="000C37D3" w:rsidRPr="005006BF" w:rsidRDefault="000C37D3" w:rsidP="00F175A7">
            <w:pPr>
              <w:spacing w:after="0" w:line="240" w:lineRule="auto"/>
              <w:rPr>
                <w:sz w:val="22"/>
              </w:rPr>
            </w:pPr>
            <w:r w:rsidRPr="005006BF">
              <w:rPr>
                <w:sz w:val="22"/>
              </w:rPr>
              <w:t>Superficie de plaines et bas-fonds immatriculés (Ha)</w:t>
            </w:r>
          </w:p>
        </w:tc>
        <w:tc>
          <w:tcPr>
            <w:tcW w:w="797" w:type="pct"/>
          </w:tcPr>
          <w:p w14:paraId="46B03C5B"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6 859,45</w:t>
            </w:r>
          </w:p>
        </w:tc>
        <w:tc>
          <w:tcPr>
            <w:tcW w:w="910" w:type="pct"/>
          </w:tcPr>
          <w:p w14:paraId="72084200" w14:textId="4D629C4A" w:rsidR="000C37D3" w:rsidRPr="005006BF" w:rsidRDefault="00721B35"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919</w:t>
            </w:r>
          </w:p>
        </w:tc>
        <w:tc>
          <w:tcPr>
            <w:tcW w:w="795" w:type="pct"/>
          </w:tcPr>
          <w:p w14:paraId="41D8FD20"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738</w:t>
            </w:r>
          </w:p>
        </w:tc>
      </w:tr>
      <w:tr w:rsidR="000C37D3" w:rsidRPr="005006BF" w14:paraId="2347833D"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8" w:type="pct"/>
          </w:tcPr>
          <w:p w14:paraId="3775452E" w14:textId="77777777" w:rsidR="000C37D3" w:rsidRPr="005006BF" w:rsidRDefault="000C37D3" w:rsidP="00F175A7">
            <w:pPr>
              <w:spacing w:after="0" w:line="240" w:lineRule="auto"/>
              <w:rPr>
                <w:sz w:val="22"/>
                <w:highlight w:val="yellow"/>
              </w:rPr>
            </w:pPr>
            <w:r w:rsidRPr="005006BF">
              <w:rPr>
                <w:sz w:val="22"/>
              </w:rPr>
              <w:t>Superficie des espaces pastoraux balisés annuellement (Ha)</w:t>
            </w:r>
          </w:p>
        </w:tc>
        <w:tc>
          <w:tcPr>
            <w:tcW w:w="797" w:type="pct"/>
          </w:tcPr>
          <w:p w14:paraId="28EBCA4F"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1 990,47</w:t>
            </w:r>
          </w:p>
        </w:tc>
        <w:tc>
          <w:tcPr>
            <w:tcW w:w="910" w:type="pct"/>
          </w:tcPr>
          <w:p w14:paraId="78BCEEF2"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11 567, 23</w:t>
            </w:r>
          </w:p>
        </w:tc>
        <w:tc>
          <w:tcPr>
            <w:tcW w:w="795" w:type="pct"/>
          </w:tcPr>
          <w:p w14:paraId="0327A73D"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762</w:t>
            </w:r>
          </w:p>
        </w:tc>
      </w:tr>
      <w:tr w:rsidR="000C37D3" w:rsidRPr="005006BF" w14:paraId="7002BF47"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498" w:type="pct"/>
          </w:tcPr>
          <w:p w14:paraId="098277DC" w14:textId="77777777" w:rsidR="000C37D3" w:rsidRPr="005006BF" w:rsidRDefault="000C37D3" w:rsidP="00F175A7">
            <w:pPr>
              <w:spacing w:after="0" w:line="240" w:lineRule="auto"/>
              <w:rPr>
                <w:sz w:val="22"/>
                <w:highlight w:val="yellow"/>
              </w:rPr>
            </w:pPr>
            <w:r w:rsidRPr="005006BF">
              <w:rPr>
                <w:sz w:val="22"/>
              </w:rPr>
              <w:t>Superficie des zones pastorales immatriculées (Ha)</w:t>
            </w:r>
          </w:p>
        </w:tc>
        <w:tc>
          <w:tcPr>
            <w:tcW w:w="797" w:type="pct"/>
          </w:tcPr>
          <w:p w14:paraId="6D3CDBFB"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910" w:type="pct"/>
          </w:tcPr>
          <w:p w14:paraId="52D01AB4"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10 796</w:t>
            </w:r>
          </w:p>
        </w:tc>
        <w:tc>
          <w:tcPr>
            <w:tcW w:w="795" w:type="pct"/>
          </w:tcPr>
          <w:p w14:paraId="149D423C"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r>
      <w:tr w:rsidR="000C37D3" w:rsidRPr="005006BF" w14:paraId="3B24051B"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8" w:type="pct"/>
          </w:tcPr>
          <w:p w14:paraId="3470EB93" w14:textId="77777777" w:rsidR="000C37D3" w:rsidRPr="005006BF" w:rsidRDefault="000C37D3" w:rsidP="00F175A7">
            <w:pPr>
              <w:spacing w:after="0" w:line="240" w:lineRule="auto"/>
              <w:rPr>
                <w:sz w:val="22"/>
              </w:rPr>
            </w:pPr>
            <w:r w:rsidRPr="005006BF">
              <w:rPr>
                <w:sz w:val="22"/>
              </w:rPr>
              <w:t>Superficie des terres sous pratique de gestion durable de paysage (Ha)</w:t>
            </w:r>
          </w:p>
        </w:tc>
        <w:tc>
          <w:tcPr>
            <w:tcW w:w="797" w:type="pct"/>
          </w:tcPr>
          <w:p w14:paraId="6B0A25B7"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NA</w:t>
            </w:r>
          </w:p>
        </w:tc>
        <w:tc>
          <w:tcPr>
            <w:tcW w:w="910" w:type="pct"/>
          </w:tcPr>
          <w:p w14:paraId="7F55C9F9"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ND</w:t>
            </w:r>
          </w:p>
        </w:tc>
        <w:tc>
          <w:tcPr>
            <w:tcW w:w="795" w:type="pct"/>
          </w:tcPr>
          <w:p w14:paraId="19325643"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200 000</w:t>
            </w:r>
          </w:p>
        </w:tc>
      </w:tr>
      <w:tr w:rsidR="000C37D3" w:rsidRPr="005006BF" w14:paraId="3608DB6A"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6FE4C28F" w14:textId="77777777" w:rsidR="000C37D3" w:rsidRPr="005006BF" w:rsidRDefault="000C37D3" w:rsidP="00F175A7">
            <w:pPr>
              <w:spacing w:after="0" w:line="240" w:lineRule="auto"/>
              <w:rPr>
                <w:sz w:val="22"/>
              </w:rPr>
            </w:pPr>
            <w:r w:rsidRPr="005006BF">
              <w:rPr>
                <w:sz w:val="22"/>
              </w:rPr>
              <w:t>Action </w:t>
            </w:r>
            <w:r w:rsidRPr="00F175A7">
              <w:rPr>
                <w:sz w:val="22"/>
                <w:shd w:val="clear" w:color="auto" w:fill="FFF2CC" w:themeFill="accent4" w:themeFillTint="33"/>
              </w:rPr>
              <w:t>03077 : Renforcement de la professionnalisation des acteurs des filières ASPHF</w:t>
            </w:r>
          </w:p>
        </w:tc>
      </w:tr>
      <w:tr w:rsidR="000C37D3" w:rsidRPr="005006BF" w14:paraId="1251EE63"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8" w:type="pct"/>
          </w:tcPr>
          <w:p w14:paraId="0CD647E7" w14:textId="137D5E27" w:rsidR="000C37D3" w:rsidRPr="005006BF" w:rsidRDefault="000C37D3" w:rsidP="00F175A7">
            <w:pPr>
              <w:spacing w:after="0" w:line="240" w:lineRule="auto"/>
              <w:rPr>
                <w:sz w:val="22"/>
              </w:rPr>
            </w:pPr>
            <w:r w:rsidRPr="005006BF">
              <w:rPr>
                <w:sz w:val="22"/>
              </w:rPr>
              <w:t xml:space="preserve">Nombre de fermiers agricoles sortis des </w:t>
            </w:r>
            <w:r w:rsidR="001353E0">
              <w:rPr>
                <w:sz w:val="22"/>
              </w:rPr>
              <w:t>C</w:t>
            </w:r>
            <w:r w:rsidRPr="005006BF">
              <w:rPr>
                <w:sz w:val="22"/>
              </w:rPr>
              <w:t>entres de formation professionnelle agricole (CFPA)</w:t>
            </w:r>
          </w:p>
        </w:tc>
        <w:tc>
          <w:tcPr>
            <w:tcW w:w="797" w:type="pct"/>
          </w:tcPr>
          <w:p w14:paraId="13912CF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1 433</w:t>
            </w:r>
          </w:p>
        </w:tc>
        <w:tc>
          <w:tcPr>
            <w:tcW w:w="910" w:type="pct"/>
          </w:tcPr>
          <w:p w14:paraId="437663C8" w14:textId="5B12B346" w:rsidR="000C37D3" w:rsidRPr="005006BF" w:rsidRDefault="00721B35"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937</w:t>
            </w:r>
          </w:p>
        </w:tc>
        <w:tc>
          <w:tcPr>
            <w:tcW w:w="795" w:type="pct"/>
          </w:tcPr>
          <w:p w14:paraId="2FDED303"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1 143</w:t>
            </w:r>
          </w:p>
        </w:tc>
      </w:tr>
      <w:tr w:rsidR="000C37D3" w:rsidRPr="005006BF" w14:paraId="3CDB831A"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498" w:type="pct"/>
          </w:tcPr>
          <w:p w14:paraId="6C330CB3" w14:textId="0FE0E596" w:rsidR="000C37D3" w:rsidRPr="005006BF" w:rsidRDefault="000C37D3" w:rsidP="00D41DC6">
            <w:pPr>
              <w:spacing w:after="0" w:line="240" w:lineRule="auto"/>
              <w:rPr>
                <w:sz w:val="22"/>
              </w:rPr>
            </w:pPr>
            <w:r w:rsidRPr="005006BF">
              <w:rPr>
                <w:sz w:val="22"/>
              </w:rPr>
              <w:t>Nombre de fermiers agricoles sortant des CFPA installés</w:t>
            </w:r>
          </w:p>
        </w:tc>
        <w:tc>
          <w:tcPr>
            <w:tcW w:w="797" w:type="pct"/>
          </w:tcPr>
          <w:p w14:paraId="7D7B2CD4"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NA</w:t>
            </w:r>
          </w:p>
        </w:tc>
        <w:tc>
          <w:tcPr>
            <w:tcW w:w="910" w:type="pct"/>
          </w:tcPr>
          <w:p w14:paraId="7973C051"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5006BF">
              <w:rPr>
                <w:sz w:val="22"/>
              </w:rPr>
              <w:t>357</w:t>
            </w:r>
          </w:p>
        </w:tc>
        <w:tc>
          <w:tcPr>
            <w:tcW w:w="795" w:type="pct"/>
          </w:tcPr>
          <w:p w14:paraId="68A5D4A4"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150</w:t>
            </w:r>
          </w:p>
        </w:tc>
      </w:tr>
      <w:tr w:rsidR="000C37D3" w:rsidRPr="005006BF" w14:paraId="5BCE36FC"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8" w:type="pct"/>
          </w:tcPr>
          <w:p w14:paraId="4C414906" w14:textId="77777777" w:rsidR="000C37D3" w:rsidRPr="005006BF" w:rsidRDefault="000C37D3" w:rsidP="00F175A7">
            <w:pPr>
              <w:spacing w:after="0" w:line="240" w:lineRule="auto"/>
              <w:rPr>
                <w:sz w:val="22"/>
              </w:rPr>
            </w:pPr>
            <w:r w:rsidRPr="005006BF">
              <w:rPr>
                <w:sz w:val="22"/>
              </w:rPr>
              <w:t>Nombre d’organisations des producteurs immatriculées dans les registres des sociétés coopératives</w:t>
            </w:r>
          </w:p>
        </w:tc>
        <w:tc>
          <w:tcPr>
            <w:tcW w:w="797" w:type="pct"/>
          </w:tcPr>
          <w:p w14:paraId="7F9B3714"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4 735</w:t>
            </w:r>
          </w:p>
        </w:tc>
        <w:tc>
          <w:tcPr>
            <w:tcW w:w="910" w:type="pct"/>
          </w:tcPr>
          <w:p w14:paraId="009CFA8C"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2 332</w:t>
            </w:r>
          </w:p>
        </w:tc>
        <w:tc>
          <w:tcPr>
            <w:tcW w:w="795" w:type="pct"/>
          </w:tcPr>
          <w:p w14:paraId="21447F23"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5 000</w:t>
            </w:r>
          </w:p>
        </w:tc>
      </w:tr>
      <w:tr w:rsidR="000C37D3" w:rsidRPr="005006BF" w14:paraId="5242B96A"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498" w:type="pct"/>
          </w:tcPr>
          <w:p w14:paraId="11203BA7" w14:textId="3B51D24D" w:rsidR="000C37D3" w:rsidRPr="005006BF" w:rsidRDefault="000C37D3" w:rsidP="00F175A7">
            <w:pPr>
              <w:spacing w:after="0" w:line="240" w:lineRule="auto"/>
              <w:rPr>
                <w:sz w:val="22"/>
              </w:rPr>
            </w:pPr>
            <w:r w:rsidRPr="005006BF">
              <w:rPr>
                <w:sz w:val="22"/>
              </w:rPr>
              <w:t>Nombre d’interprofession</w:t>
            </w:r>
            <w:r w:rsidR="001353E0">
              <w:rPr>
                <w:sz w:val="22"/>
              </w:rPr>
              <w:t>s</w:t>
            </w:r>
            <w:r w:rsidRPr="005006BF">
              <w:rPr>
                <w:sz w:val="22"/>
              </w:rPr>
              <w:t xml:space="preserve"> des filières ASPHF mis</w:t>
            </w:r>
            <w:r w:rsidR="001353E0">
              <w:rPr>
                <w:sz w:val="22"/>
              </w:rPr>
              <w:t>es</w:t>
            </w:r>
            <w:r w:rsidRPr="005006BF">
              <w:rPr>
                <w:sz w:val="22"/>
              </w:rPr>
              <w:t xml:space="preserve"> en place</w:t>
            </w:r>
          </w:p>
        </w:tc>
        <w:tc>
          <w:tcPr>
            <w:tcW w:w="797" w:type="pct"/>
          </w:tcPr>
          <w:p w14:paraId="1C9D2639"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w:t>
            </w:r>
          </w:p>
        </w:tc>
        <w:tc>
          <w:tcPr>
            <w:tcW w:w="910" w:type="pct"/>
          </w:tcPr>
          <w:p w14:paraId="53D02728"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5006BF">
              <w:rPr>
                <w:sz w:val="22"/>
              </w:rPr>
              <w:t>3</w:t>
            </w:r>
          </w:p>
        </w:tc>
        <w:tc>
          <w:tcPr>
            <w:tcW w:w="795" w:type="pct"/>
          </w:tcPr>
          <w:p w14:paraId="737B0A30"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2</w:t>
            </w:r>
          </w:p>
        </w:tc>
      </w:tr>
      <w:tr w:rsidR="000C37D3" w:rsidRPr="005006BF" w14:paraId="20EFB1F3"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8" w:type="pct"/>
          </w:tcPr>
          <w:p w14:paraId="64CFF996" w14:textId="77777777" w:rsidR="000C37D3" w:rsidRPr="005006BF" w:rsidRDefault="000C37D3" w:rsidP="00F175A7">
            <w:pPr>
              <w:spacing w:after="0" w:line="240" w:lineRule="auto"/>
              <w:rPr>
                <w:sz w:val="22"/>
              </w:rPr>
            </w:pPr>
            <w:r w:rsidRPr="005006BF">
              <w:rPr>
                <w:sz w:val="22"/>
              </w:rPr>
              <w:t>Nombre de coopératives dans le domaine des PFNL mises en place</w:t>
            </w:r>
          </w:p>
        </w:tc>
        <w:tc>
          <w:tcPr>
            <w:tcW w:w="797" w:type="pct"/>
          </w:tcPr>
          <w:p w14:paraId="19A6E6C8"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345</w:t>
            </w:r>
          </w:p>
        </w:tc>
        <w:tc>
          <w:tcPr>
            <w:tcW w:w="910" w:type="pct"/>
          </w:tcPr>
          <w:p w14:paraId="32F040BA"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5006BF">
              <w:rPr>
                <w:sz w:val="22"/>
              </w:rPr>
              <w:t>99</w:t>
            </w:r>
          </w:p>
        </w:tc>
        <w:tc>
          <w:tcPr>
            <w:tcW w:w="795" w:type="pct"/>
          </w:tcPr>
          <w:p w14:paraId="45EFF0A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100</w:t>
            </w:r>
          </w:p>
        </w:tc>
      </w:tr>
    </w:tbl>
    <w:p w14:paraId="268A801C" w14:textId="32167D69" w:rsidR="000C37D3" w:rsidRPr="005006BF" w:rsidRDefault="000C37D3" w:rsidP="000C37D3">
      <w:pPr>
        <w:rPr>
          <w:sz w:val="20"/>
          <w:szCs w:val="20"/>
        </w:rPr>
      </w:pPr>
      <w:r w:rsidRPr="005006BF">
        <w:rPr>
          <w:b/>
          <w:bCs/>
          <w:sz w:val="20"/>
          <w:szCs w:val="20"/>
          <w:u w:val="single"/>
        </w:rPr>
        <w:t>Source</w:t>
      </w:r>
      <w:r w:rsidRPr="005006BF">
        <w:rPr>
          <w:sz w:val="20"/>
          <w:szCs w:val="20"/>
        </w:rPr>
        <w:t xml:space="preserve"> : rapport </w:t>
      </w:r>
      <w:r w:rsidR="00287D1E">
        <w:rPr>
          <w:sz w:val="20"/>
          <w:szCs w:val="20"/>
        </w:rPr>
        <w:t xml:space="preserve">annuel </w:t>
      </w:r>
      <w:r w:rsidRPr="005006BF">
        <w:rPr>
          <w:sz w:val="20"/>
          <w:szCs w:val="20"/>
        </w:rPr>
        <w:t xml:space="preserve">de performance 2023 du </w:t>
      </w:r>
      <w:r w:rsidR="00C32F9E">
        <w:rPr>
          <w:sz w:val="20"/>
          <w:szCs w:val="20"/>
        </w:rPr>
        <w:t>CSD-</w:t>
      </w:r>
      <w:r w:rsidRPr="005006BF">
        <w:rPr>
          <w:sz w:val="20"/>
          <w:szCs w:val="20"/>
        </w:rPr>
        <w:t>PASP, février 2024</w:t>
      </w:r>
    </w:p>
    <w:p w14:paraId="2A617AEE" w14:textId="09E430D0"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Le tableau ci-dessus montre qu’à l’exception </w:t>
      </w:r>
      <w:r w:rsidR="00721B35">
        <w:rPr>
          <w:rFonts w:eastAsia="Calibri"/>
          <w:szCs w:val="24"/>
        </w:rPr>
        <w:t>du n</w:t>
      </w:r>
      <w:r w:rsidR="00721B35" w:rsidRPr="008A2409">
        <w:rPr>
          <w:rFonts w:eastAsia="Calibri"/>
          <w:szCs w:val="24"/>
        </w:rPr>
        <w:t xml:space="preserve">ombre de fermiers agricoles sortis des </w:t>
      </w:r>
      <w:r w:rsidR="001353E0">
        <w:rPr>
          <w:rFonts w:eastAsia="Calibri"/>
          <w:szCs w:val="24"/>
        </w:rPr>
        <w:t>C</w:t>
      </w:r>
      <w:r w:rsidR="00721B35" w:rsidRPr="008A2409">
        <w:rPr>
          <w:rFonts w:eastAsia="Calibri"/>
          <w:szCs w:val="24"/>
        </w:rPr>
        <w:t>entres de formation professionnelle agricole (CFPA</w:t>
      </w:r>
      <w:r w:rsidR="00721B35">
        <w:rPr>
          <w:rFonts w:eastAsia="Calibri"/>
          <w:szCs w:val="24"/>
        </w:rPr>
        <w:t>) et</w:t>
      </w:r>
      <w:r w:rsidR="00721B35" w:rsidRPr="008A2409" w:rsidDel="008A2409">
        <w:rPr>
          <w:rFonts w:eastAsia="Calibri"/>
          <w:szCs w:val="24"/>
        </w:rPr>
        <w:t xml:space="preserve"> </w:t>
      </w:r>
      <w:r w:rsidR="00721B35" w:rsidRPr="000C37D3">
        <w:rPr>
          <w:rFonts w:eastAsia="Calibri"/>
          <w:szCs w:val="24"/>
        </w:rPr>
        <w:t xml:space="preserve">du nombre d’organisations des producteurs immatriculées dans les registres des sociétés coopératives </w:t>
      </w:r>
      <w:r w:rsidR="00721B35">
        <w:rPr>
          <w:rFonts w:eastAsia="Calibri"/>
          <w:szCs w:val="24"/>
        </w:rPr>
        <w:t xml:space="preserve">qui s’affichent en retrait par rapport à leurs </w:t>
      </w:r>
      <w:r w:rsidR="00721B35" w:rsidRPr="000C37D3">
        <w:rPr>
          <w:rFonts w:eastAsia="Calibri"/>
          <w:szCs w:val="24"/>
        </w:rPr>
        <w:t>cible</w:t>
      </w:r>
      <w:r w:rsidR="00721B35">
        <w:rPr>
          <w:rFonts w:eastAsia="Calibri"/>
          <w:szCs w:val="24"/>
        </w:rPr>
        <w:t>s</w:t>
      </w:r>
      <w:r w:rsidR="00721B35" w:rsidRPr="000C37D3">
        <w:rPr>
          <w:rFonts w:eastAsia="Calibri"/>
          <w:szCs w:val="24"/>
        </w:rPr>
        <w:t xml:space="preserve"> annuelle</w:t>
      </w:r>
      <w:r w:rsidR="00721B35">
        <w:rPr>
          <w:rFonts w:eastAsia="Calibri"/>
          <w:szCs w:val="24"/>
        </w:rPr>
        <w:t>s</w:t>
      </w:r>
      <w:r w:rsidR="00721B35" w:rsidRPr="000C37D3">
        <w:rPr>
          <w:rFonts w:eastAsia="Calibri"/>
          <w:szCs w:val="24"/>
        </w:rPr>
        <w:t xml:space="preserve">, les </w:t>
      </w:r>
      <w:r w:rsidR="00721B35">
        <w:rPr>
          <w:rFonts w:eastAsia="Calibri"/>
          <w:szCs w:val="24"/>
        </w:rPr>
        <w:t xml:space="preserve">cinq (05) </w:t>
      </w:r>
      <w:r w:rsidR="00721B35" w:rsidRPr="000C37D3">
        <w:rPr>
          <w:rFonts w:eastAsia="Calibri"/>
          <w:szCs w:val="24"/>
        </w:rPr>
        <w:t xml:space="preserve">autres indicateurs de produits </w:t>
      </w:r>
      <w:r w:rsidR="00721B35">
        <w:rPr>
          <w:rFonts w:eastAsia="Calibri"/>
          <w:szCs w:val="24"/>
        </w:rPr>
        <w:t>renseignés</w:t>
      </w:r>
      <w:r w:rsidR="00721B35" w:rsidRPr="000C37D3">
        <w:rPr>
          <w:rFonts w:eastAsia="Calibri"/>
          <w:szCs w:val="24"/>
        </w:rPr>
        <w:t xml:space="preserve"> </w:t>
      </w:r>
      <w:r w:rsidR="00721B35">
        <w:rPr>
          <w:rFonts w:eastAsia="Calibri"/>
          <w:szCs w:val="24"/>
        </w:rPr>
        <w:t>dans le</w:t>
      </w:r>
      <w:r w:rsidRPr="000C37D3">
        <w:rPr>
          <w:rFonts w:eastAsia="Calibri"/>
          <w:szCs w:val="24"/>
        </w:rPr>
        <w:t xml:space="preserve"> domaine de la sécurisation foncière ont quasiment atteint ou excédé leurs cibles annuelles. </w:t>
      </w:r>
    </w:p>
    <w:p w14:paraId="78B5BE3F" w14:textId="749DFDB5"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Par ailleurs, l’indicateur en lien avec les superficies des zones pastorales immatriculées, qui n’était pas programmé en 2023, a connu des réalisations avec 10 796 ha de zone pastorale immatriculés, grâce aux actions conduites dans le cadre de l’OAPH.</w:t>
      </w:r>
    </w:p>
    <w:p w14:paraId="6F506328" w14:textId="176F9256" w:rsidR="000C37D3" w:rsidRPr="000C37D3" w:rsidRDefault="001353E0"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0C37D3" w:rsidRPr="000C37D3">
        <w:rPr>
          <w:rFonts w:eastAsia="Calibri"/>
          <w:szCs w:val="24"/>
        </w:rPr>
        <w:t xml:space="preserve"> plan financier, la réalisation des produits du domaine de la sécurisation foncière a nécessité la mobilisation de 19 026</w:t>
      </w:r>
      <w:r>
        <w:rPr>
          <w:rFonts w:eastAsia="Calibri"/>
          <w:szCs w:val="24"/>
        </w:rPr>
        <w:t> </w:t>
      </w:r>
      <w:r w:rsidR="000C37D3" w:rsidRPr="000C37D3">
        <w:rPr>
          <w:rFonts w:eastAsia="Calibri"/>
          <w:szCs w:val="24"/>
        </w:rPr>
        <w:t>316</w:t>
      </w:r>
      <w:r w:rsidRPr="00056445">
        <w:rPr>
          <w:rFonts w:eastAsia="Calibri"/>
          <w:szCs w:val="24"/>
        </w:rPr>
        <w:t>°</w:t>
      </w:r>
      <w:r w:rsidR="000C37D3" w:rsidRPr="000C37D3">
        <w:rPr>
          <w:rFonts w:eastAsia="Calibri"/>
          <w:szCs w:val="24"/>
        </w:rPr>
        <w:t>667 FCFA sur une prévision financière de 13 760</w:t>
      </w:r>
      <w:r>
        <w:rPr>
          <w:rFonts w:eastAsia="Calibri"/>
          <w:szCs w:val="24"/>
        </w:rPr>
        <w:t> </w:t>
      </w:r>
      <w:r w:rsidR="000C37D3" w:rsidRPr="000C37D3">
        <w:rPr>
          <w:rFonts w:eastAsia="Calibri"/>
          <w:szCs w:val="24"/>
        </w:rPr>
        <w:t>231</w:t>
      </w:r>
      <w:r w:rsidRPr="00056445">
        <w:rPr>
          <w:rFonts w:eastAsia="Calibri"/>
          <w:szCs w:val="24"/>
        </w:rPr>
        <w:t>°</w:t>
      </w:r>
      <w:r w:rsidR="000C37D3" w:rsidRPr="000C37D3">
        <w:rPr>
          <w:rFonts w:eastAsia="Calibri"/>
          <w:szCs w:val="24"/>
        </w:rPr>
        <w:t>311 FCFA</w:t>
      </w:r>
      <w:r>
        <w:rPr>
          <w:rFonts w:eastAsia="Calibri"/>
          <w:szCs w:val="24"/>
        </w:rPr>
        <w:t>,</w:t>
      </w:r>
      <w:r w:rsidR="000C37D3" w:rsidRPr="000C37D3">
        <w:rPr>
          <w:rFonts w:eastAsia="Calibri"/>
          <w:szCs w:val="24"/>
        </w:rPr>
        <w:t xml:space="preserve"> soit un taux de plus de 100%.</w:t>
      </w:r>
    </w:p>
    <w:p w14:paraId="79F8E180" w14:textId="2E4D998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L’amélioration de l’accès au marché, est poursuivie à travers l’action relative </w:t>
      </w:r>
      <w:r w:rsidRPr="008139E1">
        <w:rPr>
          <w:rFonts w:eastAsia="Calibri"/>
          <w:b/>
          <w:szCs w:val="24"/>
        </w:rPr>
        <w:t>au renforcement de l'accès à un marché sécurisé (03074)</w:t>
      </w:r>
      <w:r w:rsidRPr="000C37D3">
        <w:rPr>
          <w:rFonts w:eastAsia="Calibri"/>
          <w:szCs w:val="24"/>
        </w:rPr>
        <w:t>. Les niveaux des indicateurs</w:t>
      </w:r>
      <w:r w:rsidR="001353E0">
        <w:rPr>
          <w:rFonts w:eastAsia="Calibri"/>
          <w:szCs w:val="24"/>
        </w:rPr>
        <w:t>,</w:t>
      </w:r>
      <w:r w:rsidRPr="000C37D3">
        <w:rPr>
          <w:rFonts w:eastAsia="Calibri"/>
          <w:szCs w:val="24"/>
        </w:rPr>
        <w:t xml:space="preserve"> à savoir le taux de commercialisation des produits agricoles et le taux d'approvisionnement de l'agro-industrie n’ont pu être renseignés. Aussi, au titre des produits, le seul indicateur de </w:t>
      </w:r>
      <w:r w:rsidRPr="000C37D3">
        <w:rPr>
          <w:rFonts w:eastAsia="Calibri"/>
          <w:szCs w:val="24"/>
        </w:rPr>
        <w:lastRenderedPageBreak/>
        <w:t xml:space="preserve">produit « nombre de comptoirs d’achat et/ou mini marchés mis en place » s’établit à un pour une cible de 4.  </w:t>
      </w:r>
    </w:p>
    <w:p w14:paraId="55ACD6F0" w14:textId="720790EE" w:rsidR="00021CDA" w:rsidRDefault="001353E0"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0C37D3" w:rsidRPr="000C37D3">
        <w:rPr>
          <w:rFonts w:eastAsia="Calibri"/>
          <w:szCs w:val="24"/>
        </w:rPr>
        <w:t xml:space="preserve"> plan financier, le montant exécuté dans le cadre du produit s’élève à 48 925 000 FCFA sur une prévision de 195 700 000 FCFA</w:t>
      </w:r>
      <w:r>
        <w:rPr>
          <w:rFonts w:eastAsia="Calibri"/>
          <w:szCs w:val="24"/>
        </w:rPr>
        <w:t>,</w:t>
      </w:r>
      <w:r w:rsidR="000C37D3" w:rsidRPr="000C37D3">
        <w:rPr>
          <w:rFonts w:eastAsia="Calibri"/>
          <w:szCs w:val="24"/>
        </w:rPr>
        <w:t xml:space="preserve"> soit un taux d’exécution de 25%</w:t>
      </w:r>
      <w:r w:rsidR="000C37D3">
        <w:rPr>
          <w:rFonts w:eastAsia="Calibri"/>
          <w:szCs w:val="24"/>
        </w:rPr>
        <w:t>.</w:t>
      </w:r>
    </w:p>
    <w:p w14:paraId="2AD6885E" w14:textId="77777777" w:rsidR="000C37D3" w:rsidRPr="000C37D3" w:rsidRDefault="000C37D3" w:rsidP="000C37D3">
      <w:pPr>
        <w:shd w:val="clear" w:color="auto" w:fill="FFFFFF"/>
        <w:spacing w:before="120" w:after="120" w:line="240" w:lineRule="auto"/>
        <w:rPr>
          <w:rFonts w:eastAsia="Calibri"/>
          <w:szCs w:val="24"/>
        </w:rPr>
      </w:pPr>
    </w:p>
    <w:p w14:paraId="48B7F126" w14:textId="3428C866" w:rsidR="000C37D3" w:rsidRPr="000C37D3" w:rsidRDefault="00EA252D" w:rsidP="000C37D3">
      <w:pPr>
        <w:pStyle w:val="PAT4"/>
      </w:pPr>
      <w:bookmarkStart w:id="142" w:name="_Toc163141238"/>
      <w:r w:rsidRPr="008D2129">
        <w:t>Objectif stratégique 4.2 : Développer un secteur industriel et artisanal compétitif, à forte valeur ajoutée et créateur d'emplois décents</w:t>
      </w:r>
      <w:bookmarkStart w:id="143" w:name="_Toc134891517"/>
      <w:bookmarkEnd w:id="142"/>
    </w:p>
    <w:bookmarkEnd w:id="143"/>
    <w:p w14:paraId="3B40B94F" w14:textId="7777777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L’OS 4.2 est mis en œuvre à travers des actions du PA-SD pouvant être regroupées dans trois (03) domaines, à savoir : (i) le développement de l’industrie manufacturière, (ii) la promotion de l’artisanat et (iii) l’amélioration de l’impact de l’industrie minière dans l’économie. </w:t>
      </w:r>
    </w:p>
    <w:p w14:paraId="5DA4B46E" w14:textId="11CD4A73" w:rsidR="007152E1"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Ainsi, en ce qui concerne le domaine du développement de l’industrie manufacturière, </w:t>
      </w:r>
      <w:r w:rsidR="007152E1">
        <w:rPr>
          <w:rFonts w:eastAsia="Calibri"/>
          <w:szCs w:val="24"/>
        </w:rPr>
        <w:t xml:space="preserve">quatre </w:t>
      </w:r>
      <w:r w:rsidRPr="000C37D3">
        <w:rPr>
          <w:rFonts w:eastAsia="Calibri"/>
          <w:szCs w:val="24"/>
        </w:rPr>
        <w:t>(0</w:t>
      </w:r>
      <w:r w:rsidR="007152E1">
        <w:rPr>
          <w:rFonts w:eastAsia="Calibri"/>
          <w:szCs w:val="24"/>
        </w:rPr>
        <w:t>4</w:t>
      </w:r>
      <w:r w:rsidRPr="000C37D3">
        <w:rPr>
          <w:rFonts w:eastAsia="Calibri"/>
          <w:szCs w:val="24"/>
        </w:rPr>
        <w:t>) actions ont été programmées en 2023</w:t>
      </w:r>
      <w:r w:rsidR="005D6DAF">
        <w:rPr>
          <w:rFonts w:eastAsia="Calibri"/>
          <w:szCs w:val="24"/>
        </w:rPr>
        <w:t xml:space="preserve">. </w:t>
      </w:r>
    </w:p>
    <w:p w14:paraId="062C620B" w14:textId="274FDFD7" w:rsidR="00043302" w:rsidRPr="008139E1" w:rsidRDefault="007152E1" w:rsidP="00F175A7">
      <w:pPr>
        <w:numPr>
          <w:ilvl w:val="0"/>
          <w:numId w:val="8"/>
        </w:numPr>
        <w:shd w:val="clear" w:color="auto" w:fill="FFFFFF"/>
        <w:spacing w:before="120" w:after="120" w:line="240" w:lineRule="auto"/>
        <w:ind w:left="0"/>
        <w:rPr>
          <w:rFonts w:eastAsia="Calibri"/>
          <w:szCs w:val="24"/>
        </w:rPr>
      </w:pPr>
      <w:r>
        <w:rPr>
          <w:rFonts w:eastAsia="Calibri"/>
          <w:szCs w:val="24"/>
        </w:rPr>
        <w:t xml:space="preserve">S’agissant de la première action portant sur </w:t>
      </w:r>
      <w:r w:rsidRPr="008139E1">
        <w:rPr>
          <w:rFonts w:eastAsia="Calibri"/>
          <w:b/>
          <w:szCs w:val="24"/>
        </w:rPr>
        <w:t>l</w:t>
      </w:r>
      <w:proofErr w:type="gramStart"/>
      <w:r w:rsidRPr="008139E1">
        <w:rPr>
          <w:rFonts w:eastAsia="Calibri"/>
          <w:b/>
          <w:szCs w:val="24"/>
        </w:rPr>
        <w:t>’«</w:t>
      </w:r>
      <w:proofErr w:type="gramEnd"/>
      <w:r w:rsidRPr="008139E1">
        <w:rPr>
          <w:rFonts w:eastAsia="Calibri"/>
          <w:b/>
          <w:szCs w:val="24"/>
        </w:rPr>
        <w:t> opérationnalisation de la stratégie nationale de la culture et du tourisme » (03080</w:t>
      </w:r>
      <w:r>
        <w:rPr>
          <w:rFonts w:eastAsia="Calibri"/>
          <w:b/>
          <w:szCs w:val="24"/>
        </w:rPr>
        <w:t xml:space="preserve">), </w:t>
      </w:r>
      <w:r w:rsidRPr="00830872">
        <w:rPr>
          <w:rFonts w:cs="Arial"/>
        </w:rPr>
        <w:t xml:space="preserve">la valeur de l’indicateur « taux d’accroissement des titres édités » </w:t>
      </w:r>
      <w:r w:rsidR="00043302">
        <w:rPr>
          <w:rFonts w:cs="Arial"/>
        </w:rPr>
        <w:t xml:space="preserve">au terme de l’année 2023 </w:t>
      </w:r>
      <w:r w:rsidRPr="00830872">
        <w:rPr>
          <w:rFonts w:cs="Arial"/>
        </w:rPr>
        <w:t xml:space="preserve">est de 29,06% sur une cible de 69%. </w:t>
      </w:r>
      <w:r w:rsidRPr="000E6386">
        <w:rPr>
          <w:rFonts w:cs="Arial"/>
        </w:rPr>
        <w:t>Cette contreperformance est due à la réduction de la subvention accordée aux acteurs pour l’aide à l’édition.</w:t>
      </w:r>
      <w:r>
        <w:rPr>
          <w:rFonts w:cs="Arial"/>
        </w:rPr>
        <w:t xml:space="preserve"> Toutefois, l’exécution des quatre (04) livrables associés à cette action est satisfaisante. En effet, excepté la formation des jeunes en techniques éditoriales qui n’a pu être effective, 07 manifestations de promotion du livre sur 5 prévues ont été soutenues, </w:t>
      </w:r>
      <w:r w:rsidR="00043302">
        <w:rPr>
          <w:rFonts w:cs="Arial"/>
        </w:rPr>
        <w:t xml:space="preserve">64 jeunes formés </w:t>
      </w:r>
      <w:r w:rsidR="001353E0">
        <w:rPr>
          <w:rFonts w:cs="Arial"/>
        </w:rPr>
        <w:t>aux</w:t>
      </w:r>
      <w:r w:rsidR="00043302">
        <w:rPr>
          <w:rFonts w:cs="Arial"/>
        </w:rPr>
        <w:t xml:space="preserve"> techniques d’écriture pour une cible de 15 et 333 œuvres littéraires éditées sur 250 prévu</w:t>
      </w:r>
      <w:r w:rsidR="001353E0">
        <w:rPr>
          <w:rFonts w:cs="Arial"/>
        </w:rPr>
        <w:t>e</w:t>
      </w:r>
      <w:r w:rsidR="00043302">
        <w:rPr>
          <w:rFonts w:cs="Arial"/>
        </w:rPr>
        <w:t>s.</w:t>
      </w:r>
    </w:p>
    <w:p w14:paraId="74E0C056" w14:textId="6010A95D" w:rsidR="00043302" w:rsidRPr="008139E1" w:rsidRDefault="00043302" w:rsidP="00F175A7">
      <w:pPr>
        <w:numPr>
          <w:ilvl w:val="0"/>
          <w:numId w:val="8"/>
        </w:numPr>
        <w:shd w:val="clear" w:color="auto" w:fill="FFFFFF"/>
        <w:spacing w:before="120" w:after="120" w:line="240" w:lineRule="auto"/>
        <w:ind w:left="0"/>
        <w:rPr>
          <w:rFonts w:eastAsia="Calibri"/>
          <w:szCs w:val="24"/>
        </w:rPr>
      </w:pPr>
      <w:r w:rsidRPr="000E6386">
        <w:rPr>
          <w:rFonts w:cs="Arial"/>
        </w:rPr>
        <w:t>Au 31 décembre 2023, 12</w:t>
      </w:r>
      <w:r>
        <w:rPr>
          <w:rFonts w:eastAsia="Calibri"/>
          <w:szCs w:val="24"/>
        </w:rPr>
        <w:t> </w:t>
      </w:r>
      <w:r w:rsidRPr="000E6386">
        <w:rPr>
          <w:rFonts w:cs="Arial"/>
        </w:rPr>
        <w:t>000</w:t>
      </w:r>
      <w:r w:rsidRPr="000C37D3">
        <w:rPr>
          <w:rFonts w:eastAsia="Calibri"/>
          <w:szCs w:val="24"/>
        </w:rPr>
        <w:t> </w:t>
      </w:r>
      <w:r w:rsidRPr="000E6386">
        <w:rPr>
          <w:rFonts w:cs="Arial"/>
        </w:rPr>
        <w:t xml:space="preserve">000 </w:t>
      </w:r>
      <w:r>
        <w:rPr>
          <w:rFonts w:cs="Arial"/>
        </w:rPr>
        <w:t>F</w:t>
      </w:r>
      <w:r w:rsidRPr="000E6386">
        <w:rPr>
          <w:rFonts w:cs="Arial"/>
        </w:rPr>
        <w:t>CFA ont été dé</w:t>
      </w:r>
      <w:r>
        <w:rPr>
          <w:rFonts w:cs="Arial"/>
        </w:rPr>
        <w:t>caissés sur une prévision de 17</w:t>
      </w:r>
      <w:r>
        <w:rPr>
          <w:rFonts w:eastAsia="Calibri"/>
          <w:szCs w:val="24"/>
        </w:rPr>
        <w:t> </w:t>
      </w:r>
      <w:r w:rsidRPr="000E6386">
        <w:rPr>
          <w:rFonts w:cs="Arial"/>
        </w:rPr>
        <w:t>500</w:t>
      </w:r>
      <w:r w:rsidRPr="000C37D3">
        <w:rPr>
          <w:rFonts w:eastAsia="Calibri"/>
          <w:szCs w:val="24"/>
        </w:rPr>
        <w:t> </w:t>
      </w:r>
      <w:r w:rsidRPr="000E6386">
        <w:rPr>
          <w:rFonts w:cs="Arial"/>
        </w:rPr>
        <w:t>000 FCFA, en raison de la régulation budgétaire</w:t>
      </w:r>
      <w:r>
        <w:rPr>
          <w:rFonts w:cs="Arial"/>
        </w:rPr>
        <w:t>.</w:t>
      </w:r>
    </w:p>
    <w:p w14:paraId="7104A34C" w14:textId="308FF4D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w:t>
      </w:r>
      <w:r w:rsidR="007152E1">
        <w:rPr>
          <w:rFonts w:eastAsia="Calibri"/>
          <w:szCs w:val="24"/>
        </w:rPr>
        <w:t>u</w:t>
      </w:r>
      <w:r w:rsidRPr="000C37D3">
        <w:rPr>
          <w:rFonts w:eastAsia="Calibri"/>
          <w:szCs w:val="24"/>
        </w:rPr>
        <w:t xml:space="preserve"> terme de l’année 2023, les niveaux de réalisation des deux</w:t>
      </w:r>
      <w:r w:rsidR="008008C3">
        <w:rPr>
          <w:rFonts w:eastAsia="Calibri"/>
          <w:szCs w:val="24"/>
        </w:rPr>
        <w:t xml:space="preserve"> </w:t>
      </w:r>
      <w:r w:rsidR="00043302">
        <w:rPr>
          <w:rFonts w:eastAsia="Calibri"/>
          <w:szCs w:val="24"/>
        </w:rPr>
        <w:t>(02)</w:t>
      </w:r>
      <w:r w:rsidRPr="000C37D3">
        <w:rPr>
          <w:rFonts w:eastAsia="Calibri"/>
          <w:szCs w:val="24"/>
        </w:rPr>
        <w:t xml:space="preserve"> indicateurs de l’action 03083 « </w:t>
      </w:r>
      <w:r w:rsidR="001353E0">
        <w:rPr>
          <w:rFonts w:eastAsia="Calibri"/>
          <w:szCs w:val="24"/>
        </w:rPr>
        <w:t>r</w:t>
      </w:r>
      <w:r w:rsidRPr="000C37D3">
        <w:rPr>
          <w:rFonts w:eastAsia="Calibri"/>
          <w:szCs w:val="24"/>
        </w:rPr>
        <w:t xml:space="preserve">elance des travaux d’infrastructures industrielles » ont été les suivants. La part de l’industrie manufacturière dans le PIB a été portée à 7,4% pour une cible de 7,3%. Le taux de croissance des exportations des produits industriels agréés sous le schéma UEMOA-CEDEAO (%) n’a été </w:t>
      </w:r>
      <w:r w:rsidR="00043302">
        <w:rPr>
          <w:rFonts w:eastAsia="Calibri"/>
          <w:szCs w:val="24"/>
        </w:rPr>
        <w:t xml:space="preserve">que </w:t>
      </w:r>
      <w:r w:rsidRPr="000C37D3">
        <w:rPr>
          <w:rFonts w:eastAsia="Calibri"/>
          <w:szCs w:val="24"/>
        </w:rPr>
        <w:t xml:space="preserve">de 1% pour une croissance attendue de 7%. L’augmentation de la part de la valeur ajoutée manufacturière découle mécaniquement de la baisse de la valeur du PIB nominal qui n’a atteint que 12 587,3 milliards FCFA comparativement à une valeur projetée de 13 530,5 milliards FCFA. La contreperformance enregistrée au niveau du second indicateur d’action est </w:t>
      </w:r>
      <w:r w:rsidR="00C32F9E" w:rsidRPr="000C37D3">
        <w:rPr>
          <w:rFonts w:eastAsia="Calibri"/>
          <w:szCs w:val="24"/>
        </w:rPr>
        <w:t>liée</w:t>
      </w:r>
      <w:r w:rsidRPr="000C37D3">
        <w:rPr>
          <w:rFonts w:eastAsia="Calibri"/>
          <w:szCs w:val="24"/>
        </w:rPr>
        <w:t xml:space="preserve"> au nombre élevé d’acteurs industriels qui exportent en dehors du régime d’agrément UEMOA-CEDEAO par manque d’information des avantages y relatifs.</w:t>
      </w:r>
    </w:p>
    <w:p w14:paraId="59F981DC" w14:textId="0951A117" w:rsidR="000C37D3" w:rsidRPr="005D6DAF" w:rsidRDefault="00043302" w:rsidP="00EB406F">
      <w:pPr>
        <w:numPr>
          <w:ilvl w:val="0"/>
          <w:numId w:val="8"/>
        </w:numPr>
        <w:shd w:val="clear" w:color="auto" w:fill="FFFFFF"/>
        <w:spacing w:before="120" w:after="120" w:line="240" w:lineRule="auto"/>
        <w:ind w:left="0"/>
        <w:rPr>
          <w:rFonts w:eastAsia="Calibri"/>
          <w:szCs w:val="24"/>
        </w:rPr>
      </w:pPr>
      <w:r w:rsidRPr="005D6DAF">
        <w:rPr>
          <w:rFonts w:eastAsia="Calibri"/>
          <w:szCs w:val="24"/>
        </w:rPr>
        <w:t>Pour ce qui est de la « </w:t>
      </w:r>
      <w:r w:rsidRPr="008139E1">
        <w:rPr>
          <w:rFonts w:eastAsia="Calibri"/>
          <w:b/>
          <w:szCs w:val="24"/>
        </w:rPr>
        <w:t>relance des travaux d’infrastructures industrielles</w:t>
      </w:r>
      <w:r w:rsidRPr="005D6DAF">
        <w:rPr>
          <w:rFonts w:eastAsia="Calibri"/>
          <w:szCs w:val="24"/>
        </w:rPr>
        <w:t> » (03083)</w:t>
      </w:r>
      <w:r w:rsidR="00830042">
        <w:rPr>
          <w:rFonts w:eastAsia="Calibri"/>
          <w:szCs w:val="24"/>
        </w:rPr>
        <w:t xml:space="preserve">, notamment </w:t>
      </w:r>
      <w:r w:rsidR="00304442">
        <w:rPr>
          <w:rFonts w:eastAsia="Calibri"/>
          <w:szCs w:val="24"/>
        </w:rPr>
        <w:t>l’aménagement des zones industrielles, la délimitation des zones économiques spéciales</w:t>
      </w:r>
      <w:r w:rsidR="00830042">
        <w:rPr>
          <w:rFonts w:eastAsia="Calibri"/>
          <w:szCs w:val="24"/>
        </w:rPr>
        <w:t xml:space="preserve"> et la mise en place d</w:t>
      </w:r>
      <w:r w:rsidR="00061F93">
        <w:rPr>
          <w:rFonts w:eastAsia="Calibri"/>
          <w:szCs w:val="24"/>
        </w:rPr>
        <w:t>’un</w:t>
      </w:r>
      <w:r w:rsidR="00830042">
        <w:rPr>
          <w:rFonts w:eastAsia="Calibri"/>
          <w:szCs w:val="24"/>
        </w:rPr>
        <w:t xml:space="preserve"> parc industriel</w:t>
      </w:r>
      <w:r w:rsidR="00061F93">
        <w:rPr>
          <w:rFonts w:eastAsia="Calibri"/>
          <w:szCs w:val="24"/>
        </w:rPr>
        <w:t xml:space="preserve"> à </w:t>
      </w:r>
      <w:proofErr w:type="spellStart"/>
      <w:r w:rsidR="00061F93">
        <w:rPr>
          <w:rFonts w:eastAsia="Calibri"/>
          <w:szCs w:val="24"/>
        </w:rPr>
        <w:t>Ziniaré</w:t>
      </w:r>
      <w:proofErr w:type="spellEnd"/>
      <w:r w:rsidRPr="005D6DAF">
        <w:rPr>
          <w:rFonts w:eastAsia="Calibri"/>
          <w:szCs w:val="24"/>
        </w:rPr>
        <w:t>,</w:t>
      </w:r>
      <w:r w:rsidR="005D6DAF" w:rsidRPr="005D6DAF">
        <w:rPr>
          <w:rFonts w:eastAsia="Calibri"/>
          <w:szCs w:val="24"/>
        </w:rPr>
        <w:t xml:space="preserve"> </w:t>
      </w:r>
      <w:r w:rsidR="00EB406F">
        <w:rPr>
          <w:rFonts w:eastAsia="Calibri"/>
          <w:szCs w:val="24"/>
        </w:rPr>
        <w:t xml:space="preserve">même si aucune infrastructure </w:t>
      </w:r>
      <w:r w:rsidR="00EB406F">
        <w:rPr>
          <w:rFonts w:eastAsia="Calibri"/>
          <w:szCs w:val="24"/>
        </w:rPr>
        <w:lastRenderedPageBreak/>
        <w:t>n’</w:t>
      </w:r>
      <w:r w:rsidR="00830042">
        <w:rPr>
          <w:rFonts w:eastAsia="Calibri"/>
          <w:szCs w:val="24"/>
        </w:rPr>
        <w:t>est encore rendue</w:t>
      </w:r>
      <w:r w:rsidR="00EB406F">
        <w:rPr>
          <w:rFonts w:eastAsia="Calibri"/>
          <w:szCs w:val="24"/>
        </w:rPr>
        <w:t xml:space="preserve"> disponible, l</w:t>
      </w:r>
      <w:r w:rsidR="00830042">
        <w:rPr>
          <w:rFonts w:eastAsia="Calibri"/>
          <w:szCs w:val="24"/>
        </w:rPr>
        <w:t>a dynamique s’est poursuivie. Ainsi</w:t>
      </w:r>
      <w:r w:rsidR="00336EE6">
        <w:rPr>
          <w:rFonts w:eastAsia="Calibri"/>
          <w:szCs w:val="24"/>
        </w:rPr>
        <w:t>,</w:t>
      </w:r>
      <w:r w:rsidR="00830042">
        <w:rPr>
          <w:rFonts w:eastAsia="Calibri"/>
          <w:szCs w:val="24"/>
        </w:rPr>
        <w:t xml:space="preserve"> au</w:t>
      </w:r>
      <w:r w:rsidR="00EB406F">
        <w:rPr>
          <w:rFonts w:eastAsia="Calibri"/>
          <w:szCs w:val="24"/>
        </w:rPr>
        <w:t xml:space="preserve"> 31 décembre 2023</w:t>
      </w:r>
      <w:r w:rsidR="00336EE6">
        <w:rPr>
          <w:rFonts w:eastAsia="Calibri"/>
          <w:szCs w:val="24"/>
        </w:rPr>
        <w:t>, l</w:t>
      </w:r>
      <w:r w:rsidR="00830042">
        <w:rPr>
          <w:rFonts w:eastAsia="Calibri"/>
          <w:szCs w:val="24"/>
        </w:rPr>
        <w:t xml:space="preserve">es efforts se sont traduits par </w:t>
      </w:r>
      <w:r w:rsidR="005D6DAF" w:rsidRPr="005D6DAF">
        <w:rPr>
          <w:rFonts w:eastAsia="Calibri"/>
          <w:szCs w:val="24"/>
        </w:rPr>
        <w:t xml:space="preserve">l’obtention de l’arrêté conjoint de lotissement de la zone </w:t>
      </w:r>
      <w:r w:rsidR="005D6DAF" w:rsidRPr="009A288B">
        <w:rPr>
          <w:rFonts w:eastAsia="Calibri"/>
          <w:szCs w:val="24"/>
        </w:rPr>
        <w:t>indu</w:t>
      </w:r>
      <w:r w:rsidR="005D6DAF" w:rsidRPr="005D6DAF">
        <w:rPr>
          <w:rFonts w:cs="Arial"/>
        </w:rPr>
        <w:t xml:space="preserve">strielle de </w:t>
      </w:r>
      <w:proofErr w:type="spellStart"/>
      <w:r w:rsidR="005D6DAF" w:rsidRPr="005D6DAF">
        <w:rPr>
          <w:rFonts w:cs="Arial"/>
        </w:rPr>
        <w:t>Samendeni</w:t>
      </w:r>
      <w:proofErr w:type="spellEnd"/>
      <w:r w:rsidR="005D6DAF" w:rsidRPr="005D6DAF">
        <w:rPr>
          <w:rFonts w:eastAsia="Calibri"/>
          <w:szCs w:val="24"/>
        </w:rPr>
        <w:t>, ce qui a permis la finalisation de l’étude de lotissement ainsi que l’étude technique de voiries et d’assainissement.</w:t>
      </w:r>
      <w:r w:rsidR="005D6DAF">
        <w:rPr>
          <w:rFonts w:eastAsia="Calibri"/>
          <w:szCs w:val="24"/>
        </w:rPr>
        <w:t xml:space="preserve"> </w:t>
      </w:r>
      <w:r w:rsidR="000C37D3" w:rsidRPr="005D6DAF">
        <w:rPr>
          <w:rFonts w:eastAsia="Calibri"/>
          <w:szCs w:val="24"/>
        </w:rPr>
        <w:t>Les difficultés enregistrées sont relatives à l’insuffisance des ressources pour les actions d’information/sensibilisation des acteurs en vue de leur pleine adhésion au projet de délimitation des zones industrielles et zone économique spéciale.</w:t>
      </w:r>
      <w:r w:rsidR="00EB406F">
        <w:rPr>
          <w:rFonts w:eastAsia="Calibri"/>
          <w:szCs w:val="24"/>
        </w:rPr>
        <w:t xml:space="preserve"> </w:t>
      </w:r>
    </w:p>
    <w:p w14:paraId="53F7BA73" w14:textId="7777777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En termes d’exécution financière, aucun montant n’a été décaissé au 31 décembre 2023 sur une prévision de 450 000 000 FCFA. Le décaissement se fera après les ateliers de validation des différents rapports provisoires d’études.</w:t>
      </w:r>
    </w:p>
    <w:p w14:paraId="61B8AC56" w14:textId="54D300C3"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Au titre de l’action </w:t>
      </w:r>
      <w:r w:rsidRPr="00F175A7">
        <w:rPr>
          <w:rFonts w:eastAsia="Calibri"/>
          <w:b/>
          <w:szCs w:val="24"/>
        </w:rPr>
        <w:t>03084 « </w:t>
      </w:r>
      <w:r w:rsidR="001353E0">
        <w:rPr>
          <w:rFonts w:eastAsia="Calibri"/>
          <w:b/>
          <w:szCs w:val="24"/>
        </w:rPr>
        <w:t>r</w:t>
      </w:r>
      <w:r w:rsidRPr="00F175A7">
        <w:rPr>
          <w:rFonts w:eastAsia="Calibri"/>
          <w:b/>
          <w:szCs w:val="24"/>
        </w:rPr>
        <w:t>elance des unités industrielles »</w:t>
      </w:r>
      <w:r w:rsidRPr="000C37D3">
        <w:rPr>
          <w:rFonts w:eastAsia="Calibri"/>
          <w:szCs w:val="24"/>
        </w:rPr>
        <w:t>, l’ambition affichée pour 2023 étant de relancer une unité industrielle</w:t>
      </w:r>
      <w:r w:rsidR="001353E0">
        <w:rPr>
          <w:rFonts w:eastAsia="Calibri"/>
          <w:szCs w:val="24"/>
        </w:rPr>
        <w:t>,</w:t>
      </w:r>
      <w:r w:rsidRPr="000C37D3">
        <w:rPr>
          <w:rFonts w:eastAsia="Calibri"/>
          <w:szCs w:val="24"/>
        </w:rPr>
        <w:t xml:space="preserve"> à savoir la réouverture de l’usine F</w:t>
      </w:r>
      <w:r w:rsidR="001353E0">
        <w:rPr>
          <w:rFonts w:eastAsia="Calibri"/>
          <w:szCs w:val="24"/>
        </w:rPr>
        <w:t>aso</w:t>
      </w:r>
      <w:r w:rsidRPr="000C37D3">
        <w:rPr>
          <w:rFonts w:eastAsia="Calibri"/>
          <w:szCs w:val="24"/>
        </w:rPr>
        <w:t xml:space="preserve"> </w:t>
      </w:r>
      <w:proofErr w:type="spellStart"/>
      <w:r w:rsidRPr="000C37D3">
        <w:rPr>
          <w:rFonts w:eastAsia="Calibri"/>
          <w:szCs w:val="24"/>
        </w:rPr>
        <w:t>F</w:t>
      </w:r>
      <w:r w:rsidR="001353E0">
        <w:rPr>
          <w:rFonts w:eastAsia="Calibri"/>
          <w:szCs w:val="24"/>
        </w:rPr>
        <w:t>ani</w:t>
      </w:r>
      <w:proofErr w:type="spellEnd"/>
      <w:r w:rsidRPr="000C37D3">
        <w:rPr>
          <w:rFonts w:eastAsia="Calibri"/>
          <w:szCs w:val="24"/>
        </w:rPr>
        <w:t xml:space="preserve">. Malheureusement, la cible n’a pas été atteinte pour insuffisance de ressources financières devant permettre d’actualiser l’étude de faisabilité. Toutefois des actions de relance de la Société de </w:t>
      </w:r>
      <w:r w:rsidR="001353E0">
        <w:rPr>
          <w:rFonts w:eastAsia="Calibri"/>
          <w:szCs w:val="24"/>
        </w:rPr>
        <w:t>t</w:t>
      </w:r>
      <w:r w:rsidRPr="000C37D3">
        <w:rPr>
          <w:rFonts w:eastAsia="Calibri"/>
          <w:szCs w:val="24"/>
        </w:rPr>
        <w:t xml:space="preserve">ransformation des </w:t>
      </w:r>
      <w:r w:rsidR="001353E0">
        <w:rPr>
          <w:rFonts w:eastAsia="Calibri"/>
          <w:szCs w:val="24"/>
        </w:rPr>
        <w:t>f</w:t>
      </w:r>
      <w:r w:rsidRPr="000C37D3">
        <w:rPr>
          <w:rFonts w:eastAsia="Calibri"/>
          <w:szCs w:val="24"/>
        </w:rPr>
        <w:t xml:space="preserve">ruits ont été menées courant l’année 2023. De même, </w:t>
      </w:r>
      <w:r w:rsidR="003944E1">
        <w:rPr>
          <w:rFonts w:eastAsia="Calibri"/>
          <w:szCs w:val="24"/>
        </w:rPr>
        <w:t>p</w:t>
      </w:r>
      <w:r w:rsidRPr="000C37D3">
        <w:rPr>
          <w:rFonts w:eastAsia="Calibri"/>
          <w:szCs w:val="24"/>
        </w:rPr>
        <w:t>our la mise en œuvre de</w:t>
      </w:r>
      <w:r w:rsidR="003944E1">
        <w:rPr>
          <w:rFonts w:eastAsia="Calibri"/>
          <w:szCs w:val="24"/>
        </w:rPr>
        <w:t xml:space="preserve"> cette </w:t>
      </w:r>
      <w:r w:rsidRPr="000C37D3">
        <w:rPr>
          <w:rFonts w:eastAsia="Calibri"/>
          <w:szCs w:val="24"/>
        </w:rPr>
        <w:t>action, trois (03) produits ont été programmés. Il s’agit de : « les entreprises en difficulté sont restructurées et mises à niveau », « l’incubateur Burkina textile est opérationnel » et « l'usine de F</w:t>
      </w:r>
      <w:r w:rsidR="001353E0">
        <w:rPr>
          <w:rFonts w:eastAsia="Calibri"/>
          <w:szCs w:val="24"/>
        </w:rPr>
        <w:t>aso</w:t>
      </w:r>
      <w:r w:rsidRPr="000C37D3">
        <w:rPr>
          <w:rFonts w:eastAsia="Calibri"/>
          <w:szCs w:val="24"/>
        </w:rPr>
        <w:t xml:space="preserve"> </w:t>
      </w:r>
      <w:proofErr w:type="spellStart"/>
      <w:r w:rsidRPr="000C37D3">
        <w:rPr>
          <w:rFonts w:eastAsia="Calibri"/>
          <w:szCs w:val="24"/>
        </w:rPr>
        <w:t>F</w:t>
      </w:r>
      <w:r w:rsidR="001353E0">
        <w:rPr>
          <w:rFonts w:eastAsia="Calibri"/>
          <w:szCs w:val="24"/>
        </w:rPr>
        <w:t>ani</w:t>
      </w:r>
      <w:proofErr w:type="spellEnd"/>
      <w:r w:rsidRPr="000C37D3">
        <w:rPr>
          <w:rFonts w:eastAsia="Calibri"/>
          <w:szCs w:val="24"/>
        </w:rPr>
        <w:t xml:space="preserve"> est </w:t>
      </w:r>
      <w:proofErr w:type="spellStart"/>
      <w:r w:rsidRPr="000C37D3">
        <w:rPr>
          <w:rFonts w:eastAsia="Calibri"/>
          <w:szCs w:val="24"/>
        </w:rPr>
        <w:t>réouverte</w:t>
      </w:r>
      <w:proofErr w:type="spellEnd"/>
      <w:r w:rsidRPr="000C37D3">
        <w:rPr>
          <w:rFonts w:eastAsia="Calibri"/>
          <w:szCs w:val="24"/>
        </w:rPr>
        <w:t xml:space="preserve"> ». Toutefois, le tableau </w:t>
      </w:r>
      <w:r w:rsidR="00C44D63">
        <w:rPr>
          <w:rFonts w:eastAsia="Calibri"/>
          <w:szCs w:val="24"/>
        </w:rPr>
        <w:t xml:space="preserve">ci-dessous </w:t>
      </w:r>
      <w:r w:rsidRPr="000C37D3">
        <w:rPr>
          <w:rFonts w:eastAsia="Calibri"/>
          <w:szCs w:val="24"/>
        </w:rPr>
        <w:t xml:space="preserve">qui fournit la situation d’exécution des </w:t>
      </w:r>
      <w:r w:rsidR="003944E1">
        <w:rPr>
          <w:rFonts w:eastAsia="Calibri"/>
          <w:szCs w:val="24"/>
        </w:rPr>
        <w:t xml:space="preserve">produits </w:t>
      </w:r>
      <w:r w:rsidRPr="000C37D3">
        <w:rPr>
          <w:rFonts w:eastAsia="Calibri"/>
          <w:szCs w:val="24"/>
        </w:rPr>
        <w:t xml:space="preserve">programmés montre que pour une cible annuelle fixée </w:t>
      </w:r>
      <w:r w:rsidR="003944E1">
        <w:rPr>
          <w:rFonts w:eastAsia="Calibri"/>
          <w:szCs w:val="24"/>
        </w:rPr>
        <w:t xml:space="preserve">de </w:t>
      </w:r>
      <w:r w:rsidRPr="000C37D3">
        <w:rPr>
          <w:rFonts w:eastAsia="Calibri"/>
          <w:szCs w:val="24"/>
        </w:rPr>
        <w:t xml:space="preserve">32, 40 entreprises en difficulté dont 15 du secteur de l’énergie solaire et 25 du domaine de l’huile ont été mises à niveau. De même, </w:t>
      </w:r>
      <w:r w:rsidR="00B17CD4">
        <w:rPr>
          <w:rFonts w:eastAsia="Calibri"/>
          <w:szCs w:val="24"/>
        </w:rPr>
        <w:t xml:space="preserve">les </w:t>
      </w:r>
      <w:r w:rsidR="00B17CD4" w:rsidRPr="000C37D3">
        <w:rPr>
          <w:rFonts w:eastAsia="Calibri"/>
          <w:szCs w:val="24"/>
        </w:rPr>
        <w:t xml:space="preserve">15 entreprises </w:t>
      </w:r>
      <w:r w:rsidR="00B17CD4">
        <w:rPr>
          <w:rFonts w:eastAsia="Calibri"/>
          <w:szCs w:val="24"/>
        </w:rPr>
        <w:t>prévues pour être</w:t>
      </w:r>
      <w:r w:rsidRPr="000C37D3">
        <w:rPr>
          <w:rFonts w:eastAsia="Calibri"/>
          <w:szCs w:val="24"/>
        </w:rPr>
        <w:t xml:space="preserve"> accompagnées par l’incubateur Burkina textile</w:t>
      </w:r>
      <w:r w:rsidR="00B17CD4">
        <w:rPr>
          <w:rFonts w:eastAsia="Calibri"/>
          <w:szCs w:val="24"/>
        </w:rPr>
        <w:t xml:space="preserve"> l’ont été</w:t>
      </w:r>
      <w:r w:rsidRPr="000C37D3">
        <w:rPr>
          <w:rFonts w:eastAsia="Calibri"/>
          <w:szCs w:val="24"/>
        </w:rPr>
        <w:t>.</w:t>
      </w:r>
    </w:p>
    <w:p w14:paraId="04B841ED" w14:textId="6B8FCF9A" w:rsidR="000C37D3" w:rsidRPr="0042784A" w:rsidRDefault="00F55177" w:rsidP="008139E1">
      <w:pPr>
        <w:pStyle w:val="Lgende"/>
        <w:rPr>
          <w:color w:val="auto"/>
        </w:rPr>
      </w:pPr>
      <w:bookmarkStart w:id="144" w:name="_Toc164503657"/>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70</w:t>
      </w:r>
      <w:r w:rsidRPr="0042784A">
        <w:rPr>
          <w:b/>
          <w:i w:val="0"/>
          <w:color w:val="auto"/>
          <w:sz w:val="22"/>
          <w:szCs w:val="22"/>
          <w:u w:val="single"/>
        </w:rPr>
        <w:fldChar w:fldCharType="end"/>
      </w:r>
      <w:r w:rsidRPr="0042784A">
        <w:rPr>
          <w:b/>
          <w:i w:val="0"/>
          <w:color w:val="auto"/>
          <w:sz w:val="22"/>
          <w:szCs w:val="22"/>
          <w:u w:val="single"/>
        </w:rPr>
        <w:t xml:space="preserve"> </w:t>
      </w:r>
      <w:r w:rsidRPr="0042784A">
        <w:rPr>
          <w:i w:val="0"/>
          <w:color w:val="auto"/>
          <w:sz w:val="22"/>
          <w:szCs w:val="22"/>
        </w:rPr>
        <w:t xml:space="preserve">: </w:t>
      </w:r>
      <w:r w:rsidRPr="0042784A">
        <w:rPr>
          <w:i w:val="0"/>
          <w:color w:val="auto"/>
          <w:sz w:val="24"/>
          <w:szCs w:val="24"/>
        </w:rPr>
        <w:t>situation des indicateurs de produits de l’action 03084 au 31 décembre 2023</w:t>
      </w:r>
      <w:bookmarkEnd w:id="144"/>
    </w:p>
    <w:tbl>
      <w:tblPr>
        <w:tblStyle w:val="GridTable4-Accent111"/>
        <w:tblW w:w="5000" w:type="pct"/>
        <w:tblLook w:val="04A0" w:firstRow="1" w:lastRow="0" w:firstColumn="1" w:lastColumn="0" w:noHBand="0" w:noVBand="1"/>
      </w:tblPr>
      <w:tblGrid>
        <w:gridCol w:w="5240"/>
        <w:gridCol w:w="1275"/>
        <w:gridCol w:w="1277"/>
        <w:gridCol w:w="1224"/>
      </w:tblGrid>
      <w:tr w:rsidR="004F5973" w:rsidRPr="005006BF" w14:paraId="063D1069" w14:textId="77777777" w:rsidTr="004F597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2BC5DD0B" w14:textId="5358FA29" w:rsidR="000C37D3" w:rsidRPr="005006BF" w:rsidRDefault="000C37D3" w:rsidP="00F175A7">
            <w:pPr>
              <w:spacing w:after="0" w:line="240" w:lineRule="auto"/>
              <w:rPr>
                <w:sz w:val="22"/>
              </w:rPr>
            </w:pPr>
            <w:r w:rsidRPr="005006BF">
              <w:rPr>
                <w:sz w:val="22"/>
              </w:rPr>
              <w:t>Indicateur</w:t>
            </w:r>
            <w:r w:rsidR="00C32F9E">
              <w:rPr>
                <w:sz w:val="22"/>
              </w:rPr>
              <w:t>s</w:t>
            </w:r>
          </w:p>
        </w:tc>
        <w:tc>
          <w:tcPr>
            <w:tcW w:w="707" w:type="pct"/>
          </w:tcPr>
          <w:p w14:paraId="60BDAE75"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2022</w:t>
            </w:r>
          </w:p>
        </w:tc>
        <w:tc>
          <w:tcPr>
            <w:tcW w:w="708" w:type="pct"/>
          </w:tcPr>
          <w:p w14:paraId="67DAB8EF"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2023</w:t>
            </w:r>
          </w:p>
        </w:tc>
        <w:tc>
          <w:tcPr>
            <w:tcW w:w="679" w:type="pct"/>
          </w:tcPr>
          <w:p w14:paraId="4CF5A162"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Cible 2023</w:t>
            </w:r>
          </w:p>
        </w:tc>
      </w:tr>
      <w:tr w:rsidR="004F5973" w:rsidRPr="005006BF" w14:paraId="00117E1C" w14:textId="77777777" w:rsidTr="004F59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6FAB3D85" w14:textId="77777777" w:rsidR="000C37D3" w:rsidRPr="005006BF" w:rsidRDefault="000C37D3" w:rsidP="00F175A7">
            <w:pPr>
              <w:spacing w:after="0" w:line="240" w:lineRule="auto"/>
              <w:rPr>
                <w:sz w:val="22"/>
              </w:rPr>
            </w:pPr>
            <w:r w:rsidRPr="005006BF">
              <w:rPr>
                <w:sz w:val="22"/>
              </w:rPr>
              <w:t>Nombre d’entreprises en difficulté restructurées et mises à niveau</w:t>
            </w:r>
          </w:p>
        </w:tc>
        <w:tc>
          <w:tcPr>
            <w:tcW w:w="707" w:type="pct"/>
          </w:tcPr>
          <w:p w14:paraId="17640C0F"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21</w:t>
            </w:r>
          </w:p>
        </w:tc>
        <w:tc>
          <w:tcPr>
            <w:tcW w:w="708" w:type="pct"/>
          </w:tcPr>
          <w:p w14:paraId="742F4EEC"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40</w:t>
            </w:r>
          </w:p>
        </w:tc>
        <w:tc>
          <w:tcPr>
            <w:tcW w:w="679" w:type="pct"/>
          </w:tcPr>
          <w:p w14:paraId="55F3ABC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32</w:t>
            </w:r>
          </w:p>
        </w:tc>
      </w:tr>
      <w:tr w:rsidR="004F5973" w:rsidRPr="005006BF" w14:paraId="5D8E5780" w14:textId="77777777" w:rsidTr="004F5973">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3A1FADF9" w14:textId="77777777" w:rsidR="000C37D3" w:rsidRPr="005006BF" w:rsidRDefault="000C37D3" w:rsidP="00F175A7">
            <w:pPr>
              <w:spacing w:after="0" w:line="240" w:lineRule="auto"/>
              <w:rPr>
                <w:sz w:val="22"/>
              </w:rPr>
            </w:pPr>
            <w:r w:rsidRPr="005006BF">
              <w:rPr>
                <w:sz w:val="22"/>
              </w:rPr>
              <w:t>Nombre d’incubés accompagnés par l’incubateur Burkina textile</w:t>
            </w:r>
          </w:p>
        </w:tc>
        <w:tc>
          <w:tcPr>
            <w:tcW w:w="707" w:type="pct"/>
          </w:tcPr>
          <w:p w14:paraId="6C61ECF7"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708" w:type="pct"/>
          </w:tcPr>
          <w:p w14:paraId="03CCC076"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15</w:t>
            </w:r>
          </w:p>
        </w:tc>
        <w:tc>
          <w:tcPr>
            <w:tcW w:w="679" w:type="pct"/>
          </w:tcPr>
          <w:p w14:paraId="610024BD" w14:textId="07BA323C" w:rsidR="000C37D3" w:rsidRPr="005006BF" w:rsidRDefault="00B17CD4"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1</w:t>
            </w:r>
            <w:r w:rsidR="000C37D3" w:rsidRPr="005006BF">
              <w:rPr>
                <w:sz w:val="22"/>
              </w:rPr>
              <w:t>5</w:t>
            </w:r>
          </w:p>
        </w:tc>
      </w:tr>
      <w:tr w:rsidR="004F5973" w:rsidRPr="005006BF" w14:paraId="1B0DE7C9" w14:textId="77777777" w:rsidTr="004F59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38BFB878" w14:textId="183F54F7" w:rsidR="000C37D3" w:rsidRPr="005006BF" w:rsidRDefault="000C37D3" w:rsidP="001353E0">
            <w:pPr>
              <w:spacing w:after="0" w:line="240" w:lineRule="auto"/>
              <w:rPr>
                <w:sz w:val="22"/>
              </w:rPr>
            </w:pPr>
            <w:r w:rsidRPr="005006BF">
              <w:rPr>
                <w:sz w:val="22"/>
              </w:rPr>
              <w:t>Rapport de suivi de la réouverture de l'usine de F</w:t>
            </w:r>
            <w:r w:rsidR="001353E0">
              <w:rPr>
                <w:sz w:val="22"/>
              </w:rPr>
              <w:t>aso</w:t>
            </w:r>
            <w:r w:rsidRPr="005006BF">
              <w:rPr>
                <w:sz w:val="22"/>
              </w:rPr>
              <w:t xml:space="preserve"> </w:t>
            </w:r>
            <w:proofErr w:type="spellStart"/>
            <w:r w:rsidRPr="005006BF">
              <w:rPr>
                <w:sz w:val="22"/>
              </w:rPr>
              <w:t>F</w:t>
            </w:r>
            <w:r w:rsidR="001353E0">
              <w:rPr>
                <w:sz w:val="22"/>
              </w:rPr>
              <w:t>ani</w:t>
            </w:r>
            <w:proofErr w:type="spellEnd"/>
            <w:r w:rsidRPr="005006BF">
              <w:rPr>
                <w:sz w:val="22"/>
              </w:rPr>
              <w:t xml:space="preserve"> </w:t>
            </w:r>
          </w:p>
        </w:tc>
        <w:tc>
          <w:tcPr>
            <w:tcW w:w="707" w:type="pct"/>
          </w:tcPr>
          <w:p w14:paraId="2E14ADCF"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c>
          <w:tcPr>
            <w:tcW w:w="708" w:type="pct"/>
          </w:tcPr>
          <w:p w14:paraId="6A5CAC59"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c>
          <w:tcPr>
            <w:tcW w:w="679" w:type="pct"/>
          </w:tcPr>
          <w:p w14:paraId="004CBD7C"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r>
    </w:tbl>
    <w:p w14:paraId="7F81C429" w14:textId="1781DBAD" w:rsidR="000C37D3" w:rsidRPr="005006BF" w:rsidRDefault="000C37D3" w:rsidP="000C37D3">
      <w:pPr>
        <w:rPr>
          <w:sz w:val="20"/>
          <w:szCs w:val="20"/>
        </w:rPr>
      </w:pPr>
      <w:r w:rsidRPr="005006BF">
        <w:rPr>
          <w:b/>
          <w:bCs/>
          <w:sz w:val="20"/>
          <w:szCs w:val="20"/>
        </w:rPr>
        <w:t>Source</w:t>
      </w:r>
      <w:r w:rsidRPr="005006BF">
        <w:rPr>
          <w:sz w:val="20"/>
          <w:szCs w:val="20"/>
        </w:rPr>
        <w:t xml:space="preserve"> : rapport annuel de performance 2023 du </w:t>
      </w:r>
      <w:r w:rsidR="00C32F9E">
        <w:rPr>
          <w:sz w:val="20"/>
          <w:szCs w:val="20"/>
        </w:rPr>
        <w:t>CSD-</w:t>
      </w:r>
      <w:r w:rsidRPr="005006BF">
        <w:rPr>
          <w:sz w:val="20"/>
          <w:szCs w:val="20"/>
        </w:rPr>
        <w:t>TIA, février 2024</w:t>
      </w:r>
    </w:p>
    <w:p w14:paraId="304F65B0" w14:textId="5441CF78"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Sur le plan financier, 975</w:t>
      </w:r>
      <w:r w:rsidR="001353E0">
        <w:rPr>
          <w:rFonts w:eastAsia="Calibri"/>
          <w:szCs w:val="24"/>
        </w:rPr>
        <w:t> </w:t>
      </w:r>
      <w:r w:rsidRPr="000C37D3">
        <w:rPr>
          <w:rFonts w:eastAsia="Calibri"/>
          <w:szCs w:val="24"/>
        </w:rPr>
        <w:t>467</w:t>
      </w:r>
      <w:r w:rsidR="001353E0" w:rsidRPr="00056445">
        <w:rPr>
          <w:rFonts w:eastAsia="Calibri"/>
          <w:szCs w:val="24"/>
        </w:rPr>
        <w:t>°</w:t>
      </w:r>
      <w:r w:rsidRPr="000C37D3">
        <w:rPr>
          <w:rFonts w:eastAsia="Calibri"/>
          <w:szCs w:val="24"/>
        </w:rPr>
        <w:t>257 FCFA ont été débloqués sur une prévision de 1 525</w:t>
      </w:r>
      <w:r w:rsidR="00B17CD4">
        <w:rPr>
          <w:rFonts w:eastAsia="Calibri"/>
          <w:szCs w:val="24"/>
        </w:rPr>
        <w:t> </w:t>
      </w:r>
      <w:r w:rsidRPr="000C37D3">
        <w:rPr>
          <w:rFonts w:eastAsia="Calibri"/>
          <w:szCs w:val="24"/>
        </w:rPr>
        <w:t>000</w:t>
      </w:r>
      <w:r w:rsidR="00B17CD4" w:rsidRPr="000C37D3">
        <w:rPr>
          <w:rFonts w:eastAsia="Calibri"/>
          <w:szCs w:val="24"/>
        </w:rPr>
        <w:t> </w:t>
      </w:r>
      <w:r w:rsidRPr="000C37D3">
        <w:rPr>
          <w:rFonts w:eastAsia="Calibri"/>
          <w:szCs w:val="24"/>
        </w:rPr>
        <w:t xml:space="preserve">000 FCFA pour la restructuration des entreprises au cours de l’année 2023. </w:t>
      </w:r>
    </w:p>
    <w:p w14:paraId="70FCD019" w14:textId="371FBF7D"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La </w:t>
      </w:r>
      <w:r w:rsidR="00B17CD4">
        <w:rPr>
          <w:rFonts w:eastAsia="Calibri"/>
          <w:szCs w:val="24"/>
        </w:rPr>
        <w:t xml:space="preserve">quatrième </w:t>
      </w:r>
      <w:r w:rsidRPr="000C37D3">
        <w:rPr>
          <w:rFonts w:eastAsia="Calibri"/>
          <w:szCs w:val="24"/>
        </w:rPr>
        <w:t xml:space="preserve">action programmée en matière de développement de l’industrie manufacturière est la </w:t>
      </w:r>
      <w:r w:rsidRPr="008139E1">
        <w:rPr>
          <w:rFonts w:eastAsia="Calibri"/>
          <w:b/>
          <w:szCs w:val="24"/>
        </w:rPr>
        <w:t xml:space="preserve">« </w:t>
      </w:r>
      <w:r w:rsidR="001353E0">
        <w:rPr>
          <w:rFonts w:eastAsia="Calibri"/>
          <w:b/>
          <w:szCs w:val="24"/>
        </w:rPr>
        <w:t>p</w:t>
      </w:r>
      <w:r w:rsidRPr="008139E1">
        <w:rPr>
          <w:rFonts w:eastAsia="Calibri"/>
          <w:b/>
          <w:szCs w:val="24"/>
        </w:rPr>
        <w:t>romotion de l'activité industrielle (03085)</w:t>
      </w:r>
      <w:r w:rsidRPr="000C37D3">
        <w:rPr>
          <w:rFonts w:eastAsia="Calibri"/>
          <w:szCs w:val="24"/>
        </w:rPr>
        <w:t xml:space="preserve"> ». A travers cette action, au terme de l’année, 40 unités industrielles ont été implantées pour une prévision d’une unité. De même, 40 constats de démarrage d’unités industrielles ont été signés pour une cible de 15. Cette performance est le résultat des sensibilisations et des sanctions </w:t>
      </w:r>
      <w:r w:rsidR="001353E0">
        <w:rPr>
          <w:rFonts w:eastAsia="Calibri"/>
          <w:szCs w:val="24"/>
        </w:rPr>
        <w:t xml:space="preserve">à la </w:t>
      </w:r>
      <w:r w:rsidRPr="000C37D3">
        <w:rPr>
          <w:rFonts w:eastAsia="Calibri"/>
          <w:szCs w:val="24"/>
        </w:rPr>
        <w:t xml:space="preserve">suite </w:t>
      </w:r>
      <w:r w:rsidR="001353E0">
        <w:rPr>
          <w:rFonts w:eastAsia="Calibri"/>
          <w:szCs w:val="24"/>
        </w:rPr>
        <w:t>des</w:t>
      </w:r>
      <w:r w:rsidRPr="000C37D3">
        <w:rPr>
          <w:rFonts w:eastAsia="Calibri"/>
          <w:szCs w:val="24"/>
        </w:rPr>
        <w:t xml:space="preserve"> différents contrôles ayant entraîné l’adhésion de promoteurs industriels aux dispositions de la règlementation en vigueur. Cinq (05) produits ont été programmés en </w:t>
      </w:r>
      <w:r w:rsidRPr="000C37D3">
        <w:rPr>
          <w:rFonts w:eastAsia="Calibri"/>
          <w:szCs w:val="24"/>
        </w:rPr>
        <w:lastRenderedPageBreak/>
        <w:t>2023 pour la réalisation de cette action. Le tableau ci-dessous présente la situation de ces indicateurs de produits.</w:t>
      </w:r>
    </w:p>
    <w:p w14:paraId="2DC85402" w14:textId="5DFC882A"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Au 31 décembre 2023, </w:t>
      </w:r>
      <w:r w:rsidR="00B17CD4">
        <w:rPr>
          <w:rFonts w:eastAsia="Calibri"/>
          <w:szCs w:val="24"/>
        </w:rPr>
        <w:t>une partie de</w:t>
      </w:r>
      <w:r w:rsidRPr="000C37D3">
        <w:rPr>
          <w:rFonts w:eastAsia="Calibri"/>
          <w:szCs w:val="24"/>
        </w:rPr>
        <w:t xml:space="preserve">s cibles de deux (02) indicateurs produits </w:t>
      </w:r>
      <w:r w:rsidR="001353E0">
        <w:rPr>
          <w:rFonts w:eastAsia="Calibri"/>
          <w:szCs w:val="24"/>
        </w:rPr>
        <w:t>a</w:t>
      </w:r>
      <w:r w:rsidRPr="000C37D3">
        <w:rPr>
          <w:rFonts w:eastAsia="Calibri"/>
          <w:szCs w:val="24"/>
        </w:rPr>
        <w:t xml:space="preserve"> été atteinte. Il s’agit de </w:t>
      </w:r>
      <w:r w:rsidR="00B17CD4">
        <w:rPr>
          <w:rFonts w:eastAsia="Calibri"/>
          <w:szCs w:val="24"/>
        </w:rPr>
        <w:t xml:space="preserve">la réhabilitation </w:t>
      </w:r>
      <w:r w:rsidRPr="000C37D3">
        <w:rPr>
          <w:rFonts w:eastAsia="Calibri"/>
          <w:szCs w:val="24"/>
        </w:rPr>
        <w:t>de l’abattoir frigorifique de Bobo-Dioulasso</w:t>
      </w:r>
      <w:r w:rsidR="00B17CD4">
        <w:rPr>
          <w:rFonts w:eastAsia="Calibri"/>
          <w:szCs w:val="24"/>
        </w:rPr>
        <w:t xml:space="preserve"> et </w:t>
      </w:r>
      <w:r w:rsidRPr="000C37D3">
        <w:rPr>
          <w:rFonts w:eastAsia="Calibri"/>
          <w:szCs w:val="24"/>
        </w:rPr>
        <w:t xml:space="preserve">de la dotation en kits de production à 162 unités de transformation des produits locaux dont 42 unités </w:t>
      </w:r>
      <w:r w:rsidR="00B17CD4">
        <w:rPr>
          <w:rFonts w:eastAsia="Calibri"/>
          <w:szCs w:val="24"/>
        </w:rPr>
        <w:t xml:space="preserve">en équipements </w:t>
      </w:r>
      <w:r w:rsidRPr="000C37D3">
        <w:rPr>
          <w:rFonts w:eastAsia="Calibri"/>
          <w:szCs w:val="24"/>
        </w:rPr>
        <w:t>de production et 120 PDI et associations de PDI</w:t>
      </w:r>
      <w:r w:rsidR="00B17CD4">
        <w:rPr>
          <w:rFonts w:eastAsia="Calibri"/>
          <w:szCs w:val="24"/>
        </w:rPr>
        <w:t xml:space="preserve"> en kits de production</w:t>
      </w:r>
      <w:r w:rsidRPr="000C37D3">
        <w:rPr>
          <w:rFonts w:eastAsia="Calibri"/>
          <w:szCs w:val="24"/>
        </w:rPr>
        <w:t xml:space="preserve">. </w:t>
      </w:r>
      <w:r w:rsidR="00B17CD4">
        <w:rPr>
          <w:rFonts w:eastAsia="Calibri"/>
          <w:szCs w:val="24"/>
        </w:rPr>
        <w:t>S’agissant de</w:t>
      </w:r>
      <w:r w:rsidRPr="000C37D3">
        <w:rPr>
          <w:rFonts w:eastAsia="Calibri"/>
          <w:szCs w:val="24"/>
        </w:rPr>
        <w:t xml:space="preserve"> l’abattoir de Bobo-Dioulasso, les activités menées au cours de l’année 2023 concernent la tenue d’un symposium national sur les abattoirs et l’élaboration d’un plan d’action pour la mise en œuvre des recommandations issues dudit symposium. Pour ce qui est des centres semi-industriels, il faut noter que le processus est en cours.</w:t>
      </w:r>
    </w:p>
    <w:p w14:paraId="794B8D31" w14:textId="79158F52" w:rsidR="000C37D3" w:rsidRPr="0042784A" w:rsidRDefault="00F55177" w:rsidP="008139E1">
      <w:pPr>
        <w:pStyle w:val="Lgende"/>
        <w:rPr>
          <w:color w:val="auto"/>
        </w:rPr>
      </w:pPr>
      <w:bookmarkStart w:id="145" w:name="_Toc164503658"/>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71</w:t>
      </w:r>
      <w:r w:rsidRPr="0042784A">
        <w:rPr>
          <w:b/>
          <w:i w:val="0"/>
          <w:color w:val="auto"/>
          <w:sz w:val="22"/>
          <w:szCs w:val="22"/>
          <w:u w:val="single"/>
        </w:rPr>
        <w:fldChar w:fldCharType="end"/>
      </w:r>
      <w:r w:rsidRPr="0042784A">
        <w:rPr>
          <w:i w:val="0"/>
          <w:color w:val="auto"/>
          <w:sz w:val="22"/>
          <w:szCs w:val="22"/>
        </w:rPr>
        <w:t>: situation des indicateurs de produits de l’action 03085 au 31 décembre 2023</w:t>
      </w:r>
      <w:bookmarkEnd w:id="145"/>
    </w:p>
    <w:tbl>
      <w:tblPr>
        <w:tblStyle w:val="GridTable4-Accent111"/>
        <w:tblW w:w="5000" w:type="pct"/>
        <w:tblLook w:val="04A0" w:firstRow="1" w:lastRow="0" w:firstColumn="1" w:lastColumn="0" w:noHBand="0" w:noVBand="1"/>
      </w:tblPr>
      <w:tblGrid>
        <w:gridCol w:w="4673"/>
        <w:gridCol w:w="1277"/>
        <w:gridCol w:w="1277"/>
        <w:gridCol w:w="1789"/>
      </w:tblGrid>
      <w:tr w:rsidR="000C37D3" w:rsidRPr="005006BF" w14:paraId="233B8653" w14:textId="77777777" w:rsidTr="009A28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2" w:type="pct"/>
            <w:shd w:val="clear" w:color="auto" w:fill="4472C4" w:themeFill="accent1"/>
            <w:vAlign w:val="center"/>
          </w:tcPr>
          <w:p w14:paraId="6274810B" w14:textId="212C4A41" w:rsidR="000C37D3" w:rsidRPr="005006BF" w:rsidRDefault="000C37D3" w:rsidP="00F175A7">
            <w:pPr>
              <w:spacing w:after="0" w:line="240" w:lineRule="auto"/>
              <w:rPr>
                <w:sz w:val="22"/>
              </w:rPr>
            </w:pPr>
            <w:r w:rsidRPr="005006BF">
              <w:rPr>
                <w:sz w:val="22"/>
              </w:rPr>
              <w:t>Indicateur</w:t>
            </w:r>
            <w:r w:rsidR="00C32F9E">
              <w:rPr>
                <w:sz w:val="22"/>
              </w:rPr>
              <w:t>s</w:t>
            </w:r>
            <w:r w:rsidRPr="005006BF">
              <w:rPr>
                <w:sz w:val="22"/>
              </w:rPr>
              <w:t xml:space="preserve"> </w:t>
            </w:r>
          </w:p>
        </w:tc>
        <w:tc>
          <w:tcPr>
            <w:tcW w:w="708" w:type="pct"/>
            <w:shd w:val="clear" w:color="auto" w:fill="4472C4" w:themeFill="accent1"/>
            <w:vAlign w:val="center"/>
          </w:tcPr>
          <w:p w14:paraId="2A8760BC"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2022</w:t>
            </w:r>
          </w:p>
        </w:tc>
        <w:tc>
          <w:tcPr>
            <w:tcW w:w="708" w:type="pct"/>
            <w:shd w:val="clear" w:color="auto" w:fill="4472C4" w:themeFill="accent1"/>
            <w:vAlign w:val="center"/>
          </w:tcPr>
          <w:p w14:paraId="2696C8B1"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2023</w:t>
            </w:r>
          </w:p>
        </w:tc>
        <w:tc>
          <w:tcPr>
            <w:tcW w:w="993" w:type="pct"/>
            <w:shd w:val="clear" w:color="auto" w:fill="4472C4" w:themeFill="accent1"/>
            <w:vAlign w:val="center"/>
          </w:tcPr>
          <w:p w14:paraId="019DF137"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Cible 2023</w:t>
            </w:r>
          </w:p>
        </w:tc>
      </w:tr>
      <w:tr w:rsidR="000C37D3" w:rsidRPr="005006BF" w14:paraId="09E446AE"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2" w:type="pct"/>
            <w:vAlign w:val="center"/>
          </w:tcPr>
          <w:p w14:paraId="3D9CF299" w14:textId="7C37897E" w:rsidR="000C37D3" w:rsidRPr="005006BF" w:rsidRDefault="000C37D3" w:rsidP="00F175A7">
            <w:pPr>
              <w:spacing w:after="0" w:line="240" w:lineRule="auto"/>
              <w:rPr>
                <w:sz w:val="22"/>
              </w:rPr>
            </w:pPr>
            <w:r w:rsidRPr="005006BF">
              <w:rPr>
                <w:sz w:val="22"/>
              </w:rPr>
              <w:t xml:space="preserve">Nombre de rapports produits de l’opérationnalisation de l’Observatoire </w:t>
            </w:r>
            <w:r w:rsidR="001353E0">
              <w:rPr>
                <w:sz w:val="22"/>
              </w:rPr>
              <w:t>n</w:t>
            </w:r>
            <w:r w:rsidRPr="005006BF">
              <w:rPr>
                <w:sz w:val="22"/>
              </w:rPr>
              <w:t>ational sur l’</w:t>
            </w:r>
            <w:r w:rsidR="001353E0">
              <w:rPr>
                <w:sz w:val="22"/>
              </w:rPr>
              <w:t>i</w:t>
            </w:r>
            <w:r w:rsidRPr="005006BF">
              <w:rPr>
                <w:sz w:val="22"/>
              </w:rPr>
              <w:t>ndustrie </w:t>
            </w:r>
          </w:p>
        </w:tc>
        <w:tc>
          <w:tcPr>
            <w:tcW w:w="708" w:type="pct"/>
            <w:vAlign w:val="center"/>
          </w:tcPr>
          <w:p w14:paraId="4913B1C2"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c>
          <w:tcPr>
            <w:tcW w:w="708" w:type="pct"/>
            <w:vAlign w:val="center"/>
          </w:tcPr>
          <w:p w14:paraId="13973D4A"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c>
          <w:tcPr>
            <w:tcW w:w="993" w:type="pct"/>
            <w:vAlign w:val="center"/>
          </w:tcPr>
          <w:p w14:paraId="2C17033F"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3</w:t>
            </w:r>
          </w:p>
        </w:tc>
      </w:tr>
      <w:tr w:rsidR="000C37D3" w:rsidRPr="005006BF" w14:paraId="4BC6ACF9" w14:textId="77777777" w:rsidTr="009A288B">
        <w:trPr>
          <w:trHeight w:val="20"/>
        </w:trPr>
        <w:tc>
          <w:tcPr>
            <w:cnfStyle w:val="001000000000" w:firstRow="0" w:lastRow="0" w:firstColumn="1" w:lastColumn="0" w:oddVBand="0" w:evenVBand="0" w:oddHBand="0" w:evenHBand="0" w:firstRowFirstColumn="0" w:firstRowLastColumn="0" w:lastRowFirstColumn="0" w:lastRowLastColumn="0"/>
            <w:tcW w:w="2592" w:type="pct"/>
            <w:vAlign w:val="center"/>
          </w:tcPr>
          <w:p w14:paraId="15783CEF" w14:textId="77777777" w:rsidR="000C37D3" w:rsidRPr="005006BF" w:rsidRDefault="000C37D3" w:rsidP="00F175A7">
            <w:pPr>
              <w:spacing w:after="0" w:line="240" w:lineRule="auto"/>
              <w:rPr>
                <w:sz w:val="22"/>
              </w:rPr>
            </w:pPr>
            <w:r w:rsidRPr="005006BF">
              <w:rPr>
                <w:sz w:val="22"/>
              </w:rPr>
              <w:t>Nombre de centres construits et équipés dans le cadre de l’accompagnement du processus de construction et d'équipement de deux centres semi-industriels de transformation du coton</w:t>
            </w:r>
          </w:p>
        </w:tc>
        <w:tc>
          <w:tcPr>
            <w:tcW w:w="708" w:type="pct"/>
            <w:vAlign w:val="center"/>
          </w:tcPr>
          <w:p w14:paraId="40C64762"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708" w:type="pct"/>
            <w:vAlign w:val="center"/>
          </w:tcPr>
          <w:p w14:paraId="11AD5B0A"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993" w:type="pct"/>
            <w:vAlign w:val="center"/>
          </w:tcPr>
          <w:p w14:paraId="428A3958"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Mobilisation des financements et démarrage des travaux de construction</w:t>
            </w:r>
          </w:p>
        </w:tc>
      </w:tr>
      <w:tr w:rsidR="000C37D3" w:rsidRPr="005006BF" w14:paraId="69202AB9"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2" w:type="pct"/>
            <w:vAlign w:val="center"/>
          </w:tcPr>
          <w:p w14:paraId="1FE6BBA7" w14:textId="77777777" w:rsidR="000C37D3" w:rsidRPr="005006BF" w:rsidRDefault="000C37D3" w:rsidP="00F175A7">
            <w:pPr>
              <w:spacing w:after="0" w:line="240" w:lineRule="auto"/>
              <w:rPr>
                <w:sz w:val="22"/>
              </w:rPr>
            </w:pPr>
            <w:r w:rsidRPr="005006BF">
              <w:rPr>
                <w:sz w:val="22"/>
              </w:rPr>
              <w:t>Existence de l’abattoir frigorifique de Bobo</w:t>
            </w:r>
          </w:p>
        </w:tc>
        <w:tc>
          <w:tcPr>
            <w:tcW w:w="708" w:type="pct"/>
            <w:vAlign w:val="center"/>
          </w:tcPr>
          <w:p w14:paraId="71B9BE6C"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c>
          <w:tcPr>
            <w:tcW w:w="708" w:type="pct"/>
            <w:vAlign w:val="center"/>
          </w:tcPr>
          <w:p w14:paraId="7DCB1D62"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c>
          <w:tcPr>
            <w:tcW w:w="993" w:type="pct"/>
            <w:vAlign w:val="center"/>
          </w:tcPr>
          <w:p w14:paraId="7433250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w:t>
            </w:r>
          </w:p>
        </w:tc>
      </w:tr>
      <w:tr w:rsidR="000C37D3" w:rsidRPr="005006BF" w14:paraId="2FA1E5DD" w14:textId="77777777" w:rsidTr="009A288B">
        <w:trPr>
          <w:trHeight w:val="824"/>
        </w:trPr>
        <w:tc>
          <w:tcPr>
            <w:cnfStyle w:val="001000000000" w:firstRow="0" w:lastRow="0" w:firstColumn="1" w:lastColumn="0" w:oddVBand="0" w:evenVBand="0" w:oddHBand="0" w:evenHBand="0" w:firstRowFirstColumn="0" w:firstRowLastColumn="0" w:lastRowFirstColumn="0" w:lastRowLastColumn="0"/>
            <w:tcW w:w="2592" w:type="pct"/>
            <w:vAlign w:val="center"/>
          </w:tcPr>
          <w:p w14:paraId="1213E96E" w14:textId="77777777" w:rsidR="000C37D3" w:rsidRPr="005006BF" w:rsidRDefault="000C37D3" w:rsidP="00F175A7">
            <w:pPr>
              <w:spacing w:after="0" w:line="240" w:lineRule="auto"/>
              <w:rPr>
                <w:sz w:val="22"/>
              </w:rPr>
            </w:pPr>
            <w:r w:rsidRPr="005006BF">
              <w:rPr>
                <w:sz w:val="22"/>
              </w:rPr>
              <w:t>Nombre d’unités de transformation des produits locaux bénéficiaires de kits de production</w:t>
            </w:r>
          </w:p>
        </w:tc>
        <w:tc>
          <w:tcPr>
            <w:tcW w:w="708" w:type="pct"/>
            <w:vAlign w:val="center"/>
          </w:tcPr>
          <w:p w14:paraId="20EEDBDB"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708" w:type="pct"/>
            <w:vAlign w:val="center"/>
          </w:tcPr>
          <w:p w14:paraId="0675318F"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162</w:t>
            </w:r>
          </w:p>
        </w:tc>
        <w:tc>
          <w:tcPr>
            <w:tcW w:w="993" w:type="pct"/>
            <w:vAlign w:val="center"/>
          </w:tcPr>
          <w:p w14:paraId="58FAFBFC"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30</w:t>
            </w:r>
          </w:p>
        </w:tc>
      </w:tr>
    </w:tbl>
    <w:p w14:paraId="70FC17AA" w14:textId="6BD53B16" w:rsidR="000C37D3" w:rsidRPr="00E97624" w:rsidRDefault="000C37D3" w:rsidP="000C37D3">
      <w:pPr>
        <w:rPr>
          <w:sz w:val="20"/>
          <w:szCs w:val="20"/>
        </w:rPr>
      </w:pPr>
      <w:r w:rsidRPr="00E97624">
        <w:rPr>
          <w:b/>
          <w:bCs/>
          <w:sz w:val="20"/>
          <w:szCs w:val="20"/>
          <w:u w:val="single"/>
        </w:rPr>
        <w:t>Source</w:t>
      </w:r>
      <w:r w:rsidRPr="00E97624">
        <w:rPr>
          <w:sz w:val="20"/>
          <w:szCs w:val="20"/>
        </w:rPr>
        <w:t xml:space="preserve"> : rapport annuel de performance 2023 du </w:t>
      </w:r>
      <w:r w:rsidR="00C32F9E">
        <w:rPr>
          <w:sz w:val="20"/>
          <w:szCs w:val="20"/>
        </w:rPr>
        <w:t>CSD-</w:t>
      </w:r>
      <w:r w:rsidRPr="00E97624">
        <w:rPr>
          <w:sz w:val="20"/>
          <w:szCs w:val="20"/>
        </w:rPr>
        <w:t>TIA, février 2024</w:t>
      </w:r>
    </w:p>
    <w:p w14:paraId="1224C06F" w14:textId="0D5962C5"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En termes d’exécution financière, un montant de 270</w:t>
      </w:r>
      <w:r w:rsidR="001353E0">
        <w:rPr>
          <w:rFonts w:eastAsia="Calibri"/>
          <w:szCs w:val="24"/>
        </w:rPr>
        <w:t> </w:t>
      </w:r>
      <w:r w:rsidRPr="000C37D3">
        <w:rPr>
          <w:rFonts w:eastAsia="Calibri"/>
          <w:szCs w:val="24"/>
        </w:rPr>
        <w:t>000</w:t>
      </w:r>
      <w:r w:rsidR="001353E0" w:rsidRPr="00056445">
        <w:rPr>
          <w:rFonts w:eastAsia="Calibri"/>
          <w:szCs w:val="24"/>
        </w:rPr>
        <w:t>°</w:t>
      </w:r>
      <w:r w:rsidRPr="000C37D3">
        <w:rPr>
          <w:rFonts w:eastAsia="Calibri"/>
          <w:szCs w:val="24"/>
        </w:rPr>
        <w:t>000 FCFA a été dépensé au 31 décembre 2023 sur une prévision de 16 836</w:t>
      </w:r>
      <w:r w:rsidR="001353E0">
        <w:rPr>
          <w:rFonts w:eastAsia="Calibri"/>
          <w:szCs w:val="24"/>
        </w:rPr>
        <w:t> </w:t>
      </w:r>
      <w:r w:rsidRPr="000C37D3">
        <w:rPr>
          <w:rFonts w:eastAsia="Calibri"/>
          <w:szCs w:val="24"/>
        </w:rPr>
        <w:t>600</w:t>
      </w:r>
      <w:r w:rsidR="001353E0" w:rsidRPr="00056445">
        <w:rPr>
          <w:rFonts w:eastAsia="Calibri"/>
          <w:szCs w:val="24"/>
        </w:rPr>
        <w:t>°</w:t>
      </w:r>
      <w:r w:rsidRPr="000C37D3">
        <w:rPr>
          <w:rFonts w:eastAsia="Calibri"/>
          <w:szCs w:val="24"/>
        </w:rPr>
        <w:t>000 FCFA. Il convient donc de poursuivre la mobilisation des ressources pour le financement des investissements.</w:t>
      </w:r>
    </w:p>
    <w:p w14:paraId="26F7168D" w14:textId="7777777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Concernant le domaine de la promotion de l’artisanat</w:t>
      </w:r>
      <w:r w:rsidRPr="000C37D3">
        <w:rPr>
          <w:rFonts w:eastAsia="Calibri"/>
          <w:szCs w:val="24"/>
        </w:rPr>
        <w:t>, deux (02) actions contribuent à sa mise en œuvre. Il s’agit du financement et la promotion commerciale des produits de l’artisanat (03086) et de l’opérationnalisation de la stratégie nationale de la culture et du tourisme (03080).</w:t>
      </w:r>
    </w:p>
    <w:p w14:paraId="7028E9D9" w14:textId="0195471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Au terme de l’exécution de </w:t>
      </w:r>
      <w:r w:rsidRPr="00AD7C42">
        <w:rPr>
          <w:rFonts w:eastAsia="Calibri"/>
          <w:szCs w:val="24"/>
        </w:rPr>
        <w:t xml:space="preserve">l’action </w:t>
      </w:r>
      <w:r w:rsidR="00AD7C42" w:rsidRPr="008139E1">
        <w:rPr>
          <w:rFonts w:eastAsia="Calibri"/>
          <w:szCs w:val="24"/>
        </w:rPr>
        <w:t>portant sur le</w:t>
      </w:r>
      <w:r w:rsidR="00AD7C42">
        <w:rPr>
          <w:rFonts w:eastAsia="Calibri"/>
          <w:b/>
          <w:szCs w:val="24"/>
        </w:rPr>
        <w:t xml:space="preserve"> </w:t>
      </w:r>
      <w:r w:rsidR="00AD7C42" w:rsidRPr="008139E1">
        <w:rPr>
          <w:rFonts w:eastAsia="Calibri"/>
          <w:b/>
          <w:szCs w:val="24"/>
        </w:rPr>
        <w:t>financement et la promotion commerciale des produits de l’artisanat (03086)</w:t>
      </w:r>
      <w:r w:rsidRPr="000C37D3">
        <w:rPr>
          <w:rFonts w:eastAsia="Calibri"/>
          <w:szCs w:val="24"/>
        </w:rPr>
        <w:t xml:space="preserve"> en 2023, la proportion des artisans ayant bénéfici</w:t>
      </w:r>
      <w:r w:rsidR="00DF1B68">
        <w:rPr>
          <w:rFonts w:eastAsia="Calibri"/>
          <w:szCs w:val="24"/>
        </w:rPr>
        <w:t>é</w:t>
      </w:r>
      <w:r w:rsidRPr="000C37D3">
        <w:rPr>
          <w:rFonts w:eastAsia="Calibri"/>
          <w:szCs w:val="24"/>
        </w:rPr>
        <w:t xml:space="preserve"> d’un financement a pu être porté</w:t>
      </w:r>
      <w:r w:rsidR="001C3AE4">
        <w:rPr>
          <w:rFonts w:eastAsia="Calibri"/>
          <w:szCs w:val="24"/>
        </w:rPr>
        <w:t>e</w:t>
      </w:r>
      <w:r w:rsidRPr="000C37D3">
        <w:rPr>
          <w:rFonts w:eastAsia="Calibri"/>
          <w:szCs w:val="24"/>
        </w:rPr>
        <w:t xml:space="preserve"> à 1,05% pour une cible annuelle de 0,32</w:t>
      </w:r>
      <w:r w:rsidR="001C3AE4">
        <w:rPr>
          <w:rFonts w:eastAsia="Calibri"/>
          <w:szCs w:val="24"/>
        </w:rPr>
        <w:t>%</w:t>
      </w:r>
      <w:r w:rsidRPr="000C37D3">
        <w:rPr>
          <w:rFonts w:eastAsia="Calibri"/>
          <w:szCs w:val="24"/>
        </w:rPr>
        <w:t>. En revanche, ce sont 2,29% des artisans qui ont eu accès aux commandes publiques pour une cible annuelle fixée 2,37%. Pour ce qui est de la mise en œuvre de l’action 03080, au terme de l’année, il n’a été possible de porter le taux d’accroissement du nombre d’œuvres d’art</w:t>
      </w:r>
      <w:r w:rsidR="00DF1B68">
        <w:rPr>
          <w:rFonts w:eastAsia="Calibri"/>
          <w:szCs w:val="24"/>
        </w:rPr>
        <w:t>s</w:t>
      </w:r>
      <w:r w:rsidRPr="000C37D3">
        <w:rPr>
          <w:rFonts w:eastAsia="Calibri"/>
          <w:szCs w:val="24"/>
        </w:rPr>
        <w:t xml:space="preserve"> plastique</w:t>
      </w:r>
      <w:r w:rsidR="00DF1B68">
        <w:rPr>
          <w:rFonts w:eastAsia="Calibri"/>
          <w:szCs w:val="24"/>
        </w:rPr>
        <w:t>s</w:t>
      </w:r>
      <w:r w:rsidRPr="000C37D3">
        <w:rPr>
          <w:rFonts w:eastAsia="Calibri"/>
          <w:szCs w:val="24"/>
        </w:rPr>
        <w:t xml:space="preserve"> déclarées que de 20,08 pour une cible de 49. Quant au niveau </w:t>
      </w:r>
      <w:r w:rsidR="00DF1B68">
        <w:rPr>
          <w:rFonts w:eastAsia="Calibri"/>
          <w:szCs w:val="24"/>
        </w:rPr>
        <w:t>d</w:t>
      </w:r>
      <w:r w:rsidRPr="000C37D3">
        <w:rPr>
          <w:rFonts w:eastAsia="Calibri"/>
          <w:szCs w:val="24"/>
        </w:rPr>
        <w:t xml:space="preserve">u second indicateur de cette action, à savoir le taux d’accroissement des titres édités, il a été porté à 29,06 pour une cible de 69%. </w:t>
      </w:r>
    </w:p>
    <w:p w14:paraId="6CA026BC" w14:textId="56D4F879"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lastRenderedPageBreak/>
        <w:t xml:space="preserve">La situation d’exécution des produits attendus relatifs aux deux </w:t>
      </w:r>
      <w:r w:rsidR="001C3AE4">
        <w:rPr>
          <w:rFonts w:eastAsia="Calibri"/>
          <w:szCs w:val="24"/>
        </w:rPr>
        <w:t xml:space="preserve">(02) </w:t>
      </w:r>
      <w:r w:rsidRPr="000C37D3">
        <w:rPr>
          <w:rFonts w:eastAsia="Calibri"/>
          <w:szCs w:val="24"/>
        </w:rPr>
        <w:t>actions est présentée dans le tableau ci-dessous.</w:t>
      </w:r>
    </w:p>
    <w:p w14:paraId="56FAF2B5" w14:textId="2860609A" w:rsidR="000C37D3" w:rsidRPr="0042784A" w:rsidRDefault="00051522" w:rsidP="008139E1">
      <w:pPr>
        <w:pStyle w:val="Lgende"/>
        <w:rPr>
          <w:color w:val="auto"/>
        </w:rPr>
      </w:pPr>
      <w:bookmarkStart w:id="146" w:name="_Toc164503659"/>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72</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 l’action 03086 au 31 décembre 2023</w:t>
      </w:r>
      <w:bookmarkEnd w:id="146"/>
    </w:p>
    <w:tbl>
      <w:tblPr>
        <w:tblStyle w:val="GridTable4-Accent111"/>
        <w:tblW w:w="5000" w:type="pct"/>
        <w:tblLook w:val="04A0" w:firstRow="1" w:lastRow="0" w:firstColumn="1" w:lastColumn="0" w:noHBand="0" w:noVBand="1"/>
      </w:tblPr>
      <w:tblGrid>
        <w:gridCol w:w="5238"/>
        <w:gridCol w:w="1315"/>
        <w:gridCol w:w="1246"/>
        <w:gridCol w:w="1217"/>
      </w:tblGrid>
      <w:tr w:rsidR="000C37D3" w:rsidRPr="005006BF" w14:paraId="704E5A62"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shd w:val="clear" w:color="auto" w:fill="4472C4" w:themeFill="accent1"/>
          </w:tcPr>
          <w:p w14:paraId="743DDFB2" w14:textId="6E48A084" w:rsidR="000C37D3" w:rsidRPr="005006BF" w:rsidRDefault="000C37D3" w:rsidP="00F175A7">
            <w:pPr>
              <w:spacing w:after="0" w:line="240" w:lineRule="auto"/>
              <w:rPr>
                <w:sz w:val="22"/>
              </w:rPr>
            </w:pPr>
            <w:r w:rsidRPr="005006BF">
              <w:rPr>
                <w:sz w:val="22"/>
              </w:rPr>
              <w:t>Indicateur</w:t>
            </w:r>
            <w:r w:rsidR="00C32F9E">
              <w:rPr>
                <w:sz w:val="22"/>
              </w:rPr>
              <w:t>s</w:t>
            </w:r>
          </w:p>
        </w:tc>
        <w:tc>
          <w:tcPr>
            <w:tcW w:w="729" w:type="pct"/>
            <w:shd w:val="clear" w:color="auto" w:fill="4472C4" w:themeFill="accent1"/>
          </w:tcPr>
          <w:p w14:paraId="04BB969F"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2022</w:t>
            </w:r>
          </w:p>
        </w:tc>
        <w:tc>
          <w:tcPr>
            <w:tcW w:w="691" w:type="pct"/>
            <w:shd w:val="clear" w:color="auto" w:fill="4472C4" w:themeFill="accent1"/>
          </w:tcPr>
          <w:p w14:paraId="2B8DF50E"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Réal. 2023</w:t>
            </w:r>
          </w:p>
        </w:tc>
        <w:tc>
          <w:tcPr>
            <w:tcW w:w="675" w:type="pct"/>
            <w:shd w:val="clear" w:color="auto" w:fill="4472C4" w:themeFill="accent1"/>
          </w:tcPr>
          <w:p w14:paraId="7FFEE2C3" w14:textId="77777777" w:rsidR="000C37D3" w:rsidRPr="005006BF"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006BF">
              <w:rPr>
                <w:sz w:val="22"/>
              </w:rPr>
              <w:t>Cible 2023</w:t>
            </w:r>
          </w:p>
        </w:tc>
      </w:tr>
      <w:tr w:rsidR="000C37D3" w:rsidRPr="005006BF" w14:paraId="39CF48BE"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08EE5213" w14:textId="77777777" w:rsidR="000C37D3" w:rsidRPr="005006BF" w:rsidRDefault="000C37D3" w:rsidP="00F175A7">
            <w:pPr>
              <w:spacing w:after="0" w:line="240" w:lineRule="auto"/>
              <w:rPr>
                <w:sz w:val="22"/>
              </w:rPr>
            </w:pPr>
            <w:r w:rsidRPr="005006BF">
              <w:rPr>
                <w:sz w:val="22"/>
              </w:rPr>
              <w:t>Action 03080 : Opérationnalisation de la stratégie nationale de la culture et du tourisme</w:t>
            </w:r>
          </w:p>
        </w:tc>
      </w:tr>
      <w:tr w:rsidR="000C37D3" w:rsidRPr="005006BF" w14:paraId="03F897D6"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05" w:type="pct"/>
          </w:tcPr>
          <w:p w14:paraId="60267072" w14:textId="77777777" w:rsidR="000C37D3" w:rsidRPr="005006BF" w:rsidRDefault="000C37D3" w:rsidP="00F175A7">
            <w:pPr>
              <w:spacing w:after="0" w:line="240" w:lineRule="auto"/>
              <w:rPr>
                <w:sz w:val="22"/>
              </w:rPr>
            </w:pPr>
            <w:r w:rsidRPr="005006BF">
              <w:rPr>
                <w:sz w:val="22"/>
              </w:rPr>
              <w:t>Nombre d’objets culturels exportés</w:t>
            </w:r>
          </w:p>
        </w:tc>
        <w:tc>
          <w:tcPr>
            <w:tcW w:w="729" w:type="pct"/>
          </w:tcPr>
          <w:p w14:paraId="3DB4B3EF"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155 237</w:t>
            </w:r>
          </w:p>
        </w:tc>
        <w:tc>
          <w:tcPr>
            <w:tcW w:w="691" w:type="pct"/>
          </w:tcPr>
          <w:p w14:paraId="5867AE97"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156 841</w:t>
            </w:r>
          </w:p>
        </w:tc>
        <w:tc>
          <w:tcPr>
            <w:tcW w:w="675" w:type="pct"/>
          </w:tcPr>
          <w:p w14:paraId="1CA1BDBC"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160 000</w:t>
            </w:r>
          </w:p>
        </w:tc>
      </w:tr>
      <w:tr w:rsidR="000C37D3" w:rsidRPr="005006BF" w14:paraId="00523829" w14:textId="77777777" w:rsidTr="00E5283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05" w:type="pct"/>
          </w:tcPr>
          <w:p w14:paraId="72E5AB9B" w14:textId="434D1FDC" w:rsidR="000C37D3" w:rsidRPr="005006BF" w:rsidRDefault="000C37D3" w:rsidP="00DF1B68">
            <w:pPr>
              <w:spacing w:after="0" w:line="240" w:lineRule="auto"/>
              <w:rPr>
                <w:sz w:val="22"/>
              </w:rPr>
            </w:pPr>
            <w:r w:rsidRPr="005006BF">
              <w:rPr>
                <w:sz w:val="22"/>
              </w:rPr>
              <w:t xml:space="preserve">Nombre d’artistes formés </w:t>
            </w:r>
            <w:r w:rsidR="00DF1B68">
              <w:rPr>
                <w:sz w:val="22"/>
              </w:rPr>
              <w:t>aux</w:t>
            </w:r>
            <w:r w:rsidRPr="005006BF">
              <w:rPr>
                <w:sz w:val="22"/>
              </w:rPr>
              <w:t xml:space="preserve"> art</w:t>
            </w:r>
            <w:r w:rsidR="00DF1B68">
              <w:rPr>
                <w:sz w:val="22"/>
              </w:rPr>
              <w:t>s</w:t>
            </w:r>
            <w:r w:rsidRPr="005006BF">
              <w:rPr>
                <w:sz w:val="22"/>
              </w:rPr>
              <w:t xml:space="preserve"> plastique</w:t>
            </w:r>
            <w:r w:rsidR="00DF1B68">
              <w:rPr>
                <w:sz w:val="22"/>
              </w:rPr>
              <w:t>s</w:t>
            </w:r>
          </w:p>
        </w:tc>
        <w:tc>
          <w:tcPr>
            <w:tcW w:w="729" w:type="pct"/>
          </w:tcPr>
          <w:p w14:paraId="6FF5425B"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265</w:t>
            </w:r>
          </w:p>
        </w:tc>
        <w:tc>
          <w:tcPr>
            <w:tcW w:w="691" w:type="pct"/>
          </w:tcPr>
          <w:p w14:paraId="2EFF9060"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6 063</w:t>
            </w:r>
          </w:p>
        </w:tc>
        <w:tc>
          <w:tcPr>
            <w:tcW w:w="675" w:type="pct"/>
          </w:tcPr>
          <w:p w14:paraId="1D527B5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400</w:t>
            </w:r>
          </w:p>
        </w:tc>
      </w:tr>
      <w:tr w:rsidR="000C37D3" w:rsidRPr="005006BF" w14:paraId="344E9D29"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05" w:type="pct"/>
          </w:tcPr>
          <w:p w14:paraId="6D412CEC" w14:textId="78F293F2" w:rsidR="000C37D3" w:rsidRPr="005006BF" w:rsidRDefault="000C37D3" w:rsidP="00F175A7">
            <w:pPr>
              <w:spacing w:after="0" w:line="240" w:lineRule="auto"/>
              <w:rPr>
                <w:sz w:val="22"/>
              </w:rPr>
            </w:pPr>
            <w:r w:rsidRPr="005006BF">
              <w:rPr>
                <w:sz w:val="22"/>
              </w:rPr>
              <w:t xml:space="preserve">Nombre de manifestations </w:t>
            </w:r>
            <w:r w:rsidR="00DF1B68">
              <w:rPr>
                <w:sz w:val="22"/>
              </w:rPr>
              <w:t xml:space="preserve">de </w:t>
            </w:r>
            <w:r w:rsidRPr="005006BF">
              <w:rPr>
                <w:sz w:val="22"/>
              </w:rPr>
              <w:t>promotion du livre soutenues</w:t>
            </w:r>
          </w:p>
        </w:tc>
        <w:tc>
          <w:tcPr>
            <w:tcW w:w="729" w:type="pct"/>
          </w:tcPr>
          <w:p w14:paraId="78654422"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7</w:t>
            </w:r>
          </w:p>
        </w:tc>
        <w:tc>
          <w:tcPr>
            <w:tcW w:w="691" w:type="pct"/>
          </w:tcPr>
          <w:p w14:paraId="5FF3B1E1"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7</w:t>
            </w:r>
          </w:p>
        </w:tc>
        <w:tc>
          <w:tcPr>
            <w:tcW w:w="675" w:type="pct"/>
          </w:tcPr>
          <w:p w14:paraId="22FBE360"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5</w:t>
            </w:r>
          </w:p>
        </w:tc>
      </w:tr>
      <w:tr w:rsidR="000C37D3" w:rsidRPr="005006BF" w14:paraId="13582597"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tcPr>
          <w:p w14:paraId="46F00C14" w14:textId="77777777" w:rsidR="000C37D3" w:rsidRPr="005006BF" w:rsidRDefault="000C37D3" w:rsidP="00F175A7">
            <w:pPr>
              <w:spacing w:after="0" w:line="240" w:lineRule="auto"/>
              <w:rPr>
                <w:sz w:val="22"/>
              </w:rPr>
            </w:pPr>
            <w:r w:rsidRPr="005006BF">
              <w:rPr>
                <w:sz w:val="22"/>
              </w:rPr>
              <w:t>Nombre d’œuvres littéraires éditées</w:t>
            </w:r>
          </w:p>
        </w:tc>
        <w:tc>
          <w:tcPr>
            <w:tcW w:w="729" w:type="pct"/>
          </w:tcPr>
          <w:p w14:paraId="020C4179"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258</w:t>
            </w:r>
          </w:p>
        </w:tc>
        <w:tc>
          <w:tcPr>
            <w:tcW w:w="691" w:type="pct"/>
          </w:tcPr>
          <w:p w14:paraId="2B38692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333</w:t>
            </w:r>
          </w:p>
        </w:tc>
        <w:tc>
          <w:tcPr>
            <w:tcW w:w="675" w:type="pct"/>
          </w:tcPr>
          <w:p w14:paraId="2E266E09"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250</w:t>
            </w:r>
          </w:p>
        </w:tc>
      </w:tr>
      <w:tr w:rsidR="000C37D3" w:rsidRPr="005006BF" w14:paraId="466C4B53"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05" w:type="pct"/>
          </w:tcPr>
          <w:p w14:paraId="37A6CEEC" w14:textId="00CC216E" w:rsidR="000C37D3" w:rsidRPr="005006BF" w:rsidRDefault="000C37D3" w:rsidP="00F175A7">
            <w:pPr>
              <w:spacing w:after="0" w:line="240" w:lineRule="auto"/>
              <w:rPr>
                <w:sz w:val="22"/>
              </w:rPr>
            </w:pPr>
            <w:r w:rsidRPr="005006BF">
              <w:rPr>
                <w:sz w:val="22"/>
              </w:rPr>
              <w:t xml:space="preserve">Nombre de jeunes formés </w:t>
            </w:r>
            <w:r w:rsidR="00DF1B68">
              <w:rPr>
                <w:sz w:val="22"/>
              </w:rPr>
              <w:t xml:space="preserve">à la </w:t>
            </w:r>
            <w:r w:rsidRPr="005006BF">
              <w:rPr>
                <w:sz w:val="22"/>
              </w:rPr>
              <w:t xml:space="preserve">technique d’écriture </w:t>
            </w:r>
          </w:p>
        </w:tc>
        <w:tc>
          <w:tcPr>
            <w:tcW w:w="729" w:type="pct"/>
          </w:tcPr>
          <w:p w14:paraId="155D0F00"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18</w:t>
            </w:r>
          </w:p>
        </w:tc>
        <w:tc>
          <w:tcPr>
            <w:tcW w:w="691" w:type="pct"/>
          </w:tcPr>
          <w:p w14:paraId="2E152F9E"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64</w:t>
            </w:r>
          </w:p>
        </w:tc>
        <w:tc>
          <w:tcPr>
            <w:tcW w:w="675" w:type="pct"/>
          </w:tcPr>
          <w:p w14:paraId="7DD09836"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15</w:t>
            </w:r>
          </w:p>
        </w:tc>
      </w:tr>
      <w:tr w:rsidR="000C37D3" w:rsidRPr="005006BF" w14:paraId="3BA53B67"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tcPr>
          <w:p w14:paraId="439284CC" w14:textId="322B18A8" w:rsidR="000C37D3" w:rsidRPr="005006BF" w:rsidRDefault="000C37D3" w:rsidP="00F175A7">
            <w:pPr>
              <w:spacing w:after="0" w:line="240" w:lineRule="auto"/>
              <w:rPr>
                <w:sz w:val="22"/>
              </w:rPr>
            </w:pPr>
            <w:r w:rsidRPr="005006BF">
              <w:rPr>
                <w:sz w:val="22"/>
              </w:rPr>
              <w:t xml:space="preserve">Nombre de jeunes formés </w:t>
            </w:r>
            <w:r w:rsidR="00DF1B68">
              <w:rPr>
                <w:sz w:val="22"/>
              </w:rPr>
              <w:t>à la</w:t>
            </w:r>
            <w:r w:rsidRPr="005006BF">
              <w:rPr>
                <w:sz w:val="22"/>
              </w:rPr>
              <w:t xml:space="preserve"> technique éditoriale</w:t>
            </w:r>
          </w:p>
        </w:tc>
        <w:tc>
          <w:tcPr>
            <w:tcW w:w="729" w:type="pct"/>
          </w:tcPr>
          <w:p w14:paraId="66FD512F"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15</w:t>
            </w:r>
          </w:p>
        </w:tc>
        <w:tc>
          <w:tcPr>
            <w:tcW w:w="691" w:type="pct"/>
          </w:tcPr>
          <w:p w14:paraId="1F20786E"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0</w:t>
            </w:r>
          </w:p>
        </w:tc>
        <w:tc>
          <w:tcPr>
            <w:tcW w:w="675" w:type="pct"/>
          </w:tcPr>
          <w:p w14:paraId="3BB8CD3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10</w:t>
            </w:r>
          </w:p>
        </w:tc>
      </w:tr>
      <w:tr w:rsidR="000C37D3" w:rsidRPr="005006BF" w14:paraId="7BDCC066"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4CE4AD64" w14:textId="3A5DB881" w:rsidR="000C37D3" w:rsidRPr="005006BF" w:rsidRDefault="000C37D3" w:rsidP="00F175A7">
            <w:pPr>
              <w:spacing w:after="0" w:line="240" w:lineRule="auto"/>
              <w:rPr>
                <w:sz w:val="22"/>
              </w:rPr>
            </w:pPr>
            <w:r w:rsidRPr="005006BF">
              <w:rPr>
                <w:sz w:val="22"/>
              </w:rPr>
              <w:t>Action 03086 : Financement et promotion commerciale des produits de l’artisanat</w:t>
            </w:r>
          </w:p>
        </w:tc>
      </w:tr>
      <w:tr w:rsidR="000C37D3" w:rsidRPr="005006BF" w14:paraId="1F67D04C"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tcPr>
          <w:p w14:paraId="5ECDF88C" w14:textId="77777777" w:rsidR="000C37D3" w:rsidRPr="005006BF" w:rsidRDefault="000C37D3" w:rsidP="00F175A7">
            <w:pPr>
              <w:spacing w:after="0" w:line="240" w:lineRule="auto"/>
              <w:rPr>
                <w:sz w:val="22"/>
              </w:rPr>
            </w:pPr>
            <w:r w:rsidRPr="005006BF">
              <w:rPr>
                <w:sz w:val="22"/>
              </w:rPr>
              <w:t>Nombre de manifestations promotionnelles de l’artisanat organisées</w:t>
            </w:r>
          </w:p>
        </w:tc>
        <w:tc>
          <w:tcPr>
            <w:tcW w:w="729" w:type="pct"/>
          </w:tcPr>
          <w:p w14:paraId="1EC4F77E"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w:t>
            </w:r>
          </w:p>
        </w:tc>
        <w:tc>
          <w:tcPr>
            <w:tcW w:w="691" w:type="pct"/>
          </w:tcPr>
          <w:p w14:paraId="05574E15"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w:t>
            </w:r>
          </w:p>
        </w:tc>
        <w:tc>
          <w:tcPr>
            <w:tcW w:w="675" w:type="pct"/>
          </w:tcPr>
          <w:p w14:paraId="015B1CAD"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w:t>
            </w:r>
          </w:p>
        </w:tc>
      </w:tr>
      <w:tr w:rsidR="000C37D3" w:rsidRPr="005006BF" w14:paraId="0C7C37F6"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05" w:type="pct"/>
          </w:tcPr>
          <w:p w14:paraId="6CAEB6F8" w14:textId="4ADB5B37" w:rsidR="000C37D3" w:rsidRPr="005006BF" w:rsidRDefault="000C37D3" w:rsidP="00F175A7">
            <w:pPr>
              <w:spacing w:after="0" w:line="240" w:lineRule="auto"/>
              <w:rPr>
                <w:sz w:val="22"/>
              </w:rPr>
            </w:pPr>
            <w:r w:rsidRPr="005006BF">
              <w:rPr>
                <w:sz w:val="22"/>
              </w:rPr>
              <w:t xml:space="preserve">Volume de crédits octroyés </w:t>
            </w:r>
            <w:r w:rsidR="00DF1B68">
              <w:rPr>
                <w:sz w:val="22"/>
              </w:rPr>
              <w:t xml:space="preserve">aux </w:t>
            </w:r>
            <w:r w:rsidRPr="005006BF">
              <w:rPr>
                <w:sz w:val="22"/>
              </w:rPr>
              <w:t>artisans (En millions FCFA)</w:t>
            </w:r>
          </w:p>
        </w:tc>
        <w:tc>
          <w:tcPr>
            <w:tcW w:w="729" w:type="pct"/>
          </w:tcPr>
          <w:p w14:paraId="05AE38C1"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351</w:t>
            </w:r>
          </w:p>
        </w:tc>
        <w:tc>
          <w:tcPr>
            <w:tcW w:w="691" w:type="pct"/>
          </w:tcPr>
          <w:p w14:paraId="07C3E828"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943, 79</w:t>
            </w:r>
          </w:p>
        </w:tc>
        <w:tc>
          <w:tcPr>
            <w:tcW w:w="675" w:type="pct"/>
          </w:tcPr>
          <w:p w14:paraId="01AE082C"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375</w:t>
            </w:r>
          </w:p>
        </w:tc>
      </w:tr>
      <w:tr w:rsidR="000C37D3" w:rsidRPr="005006BF" w14:paraId="3C2FF129"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tcPr>
          <w:p w14:paraId="147B7FC9" w14:textId="77777777" w:rsidR="000C37D3" w:rsidRPr="005006BF" w:rsidRDefault="000C37D3" w:rsidP="00F175A7">
            <w:pPr>
              <w:spacing w:after="0" w:line="240" w:lineRule="auto"/>
              <w:rPr>
                <w:sz w:val="22"/>
              </w:rPr>
            </w:pPr>
            <w:r w:rsidRPr="005006BF">
              <w:rPr>
                <w:sz w:val="22"/>
              </w:rPr>
              <w:t>Nombre d’infrastructures de promotion de l’artisanat construites</w:t>
            </w:r>
          </w:p>
        </w:tc>
        <w:tc>
          <w:tcPr>
            <w:tcW w:w="729" w:type="pct"/>
          </w:tcPr>
          <w:p w14:paraId="60E1FAF4"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16</w:t>
            </w:r>
          </w:p>
        </w:tc>
        <w:tc>
          <w:tcPr>
            <w:tcW w:w="691" w:type="pct"/>
          </w:tcPr>
          <w:p w14:paraId="58655564"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2</w:t>
            </w:r>
          </w:p>
        </w:tc>
        <w:tc>
          <w:tcPr>
            <w:tcW w:w="675" w:type="pct"/>
          </w:tcPr>
          <w:p w14:paraId="4289D151" w14:textId="77777777" w:rsidR="000C37D3" w:rsidRPr="005006BF"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5006BF">
              <w:rPr>
                <w:sz w:val="22"/>
              </w:rPr>
              <w:t>11</w:t>
            </w:r>
          </w:p>
        </w:tc>
      </w:tr>
      <w:tr w:rsidR="000C37D3" w:rsidRPr="005006BF" w14:paraId="48B9D15A"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05" w:type="pct"/>
          </w:tcPr>
          <w:p w14:paraId="1643787B" w14:textId="387BF92E" w:rsidR="000C37D3" w:rsidRPr="005006BF" w:rsidRDefault="000C37D3" w:rsidP="00DF1B68">
            <w:pPr>
              <w:spacing w:after="0" w:line="240" w:lineRule="auto"/>
              <w:rPr>
                <w:sz w:val="22"/>
              </w:rPr>
            </w:pPr>
            <w:r w:rsidRPr="005006BF">
              <w:rPr>
                <w:sz w:val="22"/>
              </w:rPr>
              <w:t>Nombre d’institutions (établissement</w:t>
            </w:r>
            <w:r w:rsidR="00DF1B68">
              <w:rPr>
                <w:sz w:val="22"/>
              </w:rPr>
              <w:t>s</w:t>
            </w:r>
            <w:r w:rsidRPr="005006BF">
              <w:rPr>
                <w:sz w:val="22"/>
              </w:rPr>
              <w:t xml:space="preserve"> scolaire</w:t>
            </w:r>
            <w:r w:rsidR="00DF1B68">
              <w:rPr>
                <w:sz w:val="22"/>
              </w:rPr>
              <w:t>s</w:t>
            </w:r>
            <w:r w:rsidRPr="005006BF">
              <w:rPr>
                <w:sz w:val="22"/>
              </w:rPr>
              <w:t>, caserne</w:t>
            </w:r>
            <w:r w:rsidR="00DF1B68">
              <w:rPr>
                <w:sz w:val="22"/>
              </w:rPr>
              <w:t>s</w:t>
            </w:r>
            <w:r w:rsidRPr="005006BF">
              <w:rPr>
                <w:sz w:val="22"/>
              </w:rPr>
              <w:t xml:space="preserve"> militaire</w:t>
            </w:r>
            <w:r w:rsidR="00DF1B68">
              <w:rPr>
                <w:sz w:val="22"/>
              </w:rPr>
              <w:t>s</w:t>
            </w:r>
            <w:r w:rsidRPr="005006BF">
              <w:rPr>
                <w:sz w:val="22"/>
              </w:rPr>
              <w:t xml:space="preserve">, hôtels…) ayant adopté le Faso dan </w:t>
            </w:r>
            <w:proofErr w:type="spellStart"/>
            <w:r w:rsidRPr="005006BF">
              <w:rPr>
                <w:sz w:val="22"/>
              </w:rPr>
              <w:t>fani</w:t>
            </w:r>
            <w:proofErr w:type="spellEnd"/>
            <w:r w:rsidRPr="005006BF">
              <w:rPr>
                <w:sz w:val="22"/>
              </w:rPr>
              <w:t xml:space="preserve"> comme uniforme</w:t>
            </w:r>
          </w:p>
        </w:tc>
        <w:tc>
          <w:tcPr>
            <w:tcW w:w="729" w:type="pct"/>
          </w:tcPr>
          <w:p w14:paraId="3571BE35"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0</w:t>
            </w:r>
          </w:p>
        </w:tc>
        <w:tc>
          <w:tcPr>
            <w:tcW w:w="691" w:type="pct"/>
          </w:tcPr>
          <w:p w14:paraId="679AC195"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2</w:t>
            </w:r>
          </w:p>
        </w:tc>
        <w:tc>
          <w:tcPr>
            <w:tcW w:w="675" w:type="pct"/>
          </w:tcPr>
          <w:p w14:paraId="37015229" w14:textId="77777777" w:rsidR="000C37D3" w:rsidRPr="005006BF"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5006BF">
              <w:rPr>
                <w:sz w:val="22"/>
              </w:rPr>
              <w:t>2</w:t>
            </w:r>
          </w:p>
        </w:tc>
      </w:tr>
    </w:tbl>
    <w:p w14:paraId="1BA13719" w14:textId="7342ECF3" w:rsidR="000C37D3" w:rsidRPr="00E97624" w:rsidRDefault="000C37D3" w:rsidP="000C37D3">
      <w:pPr>
        <w:rPr>
          <w:sz w:val="20"/>
          <w:szCs w:val="20"/>
        </w:rPr>
      </w:pPr>
      <w:r w:rsidRPr="00E97624">
        <w:rPr>
          <w:b/>
          <w:bCs/>
          <w:sz w:val="20"/>
          <w:szCs w:val="20"/>
          <w:u w:val="single"/>
        </w:rPr>
        <w:t>Source</w:t>
      </w:r>
      <w:r w:rsidRPr="00E97624">
        <w:rPr>
          <w:sz w:val="20"/>
          <w:szCs w:val="20"/>
        </w:rPr>
        <w:t xml:space="preserve"> : rapport annuel de performance 2023 du </w:t>
      </w:r>
      <w:r w:rsidR="00C32F9E">
        <w:rPr>
          <w:sz w:val="20"/>
          <w:szCs w:val="20"/>
        </w:rPr>
        <w:t>CSD-</w:t>
      </w:r>
      <w:r w:rsidRPr="00E97624">
        <w:rPr>
          <w:sz w:val="20"/>
          <w:szCs w:val="20"/>
        </w:rPr>
        <w:t>TIA, février 2024</w:t>
      </w:r>
    </w:p>
    <w:p w14:paraId="7AB0BB7B" w14:textId="4A0681A6" w:rsidR="00AD7C42" w:rsidRPr="00AD7C42" w:rsidRDefault="00AD7C42" w:rsidP="00AD7C42">
      <w:pPr>
        <w:numPr>
          <w:ilvl w:val="0"/>
          <w:numId w:val="8"/>
        </w:numPr>
        <w:shd w:val="clear" w:color="auto" w:fill="FFFFFF"/>
        <w:spacing w:before="120" w:after="120" w:line="240" w:lineRule="auto"/>
        <w:ind w:left="0"/>
        <w:rPr>
          <w:rFonts w:eastAsia="Calibri"/>
          <w:szCs w:val="24"/>
        </w:rPr>
      </w:pPr>
      <w:r w:rsidRPr="00AD7C42">
        <w:rPr>
          <w:rFonts w:eastAsia="Calibri"/>
          <w:szCs w:val="24"/>
        </w:rPr>
        <w:t xml:space="preserve">Relativement à l’exécution des produits attendus, excepté le fait que la cible du nombre d'infrastructures de promotion de l’artisanat à construire n’a pas été atteinte, les cibles de réalisation des trois </w:t>
      </w:r>
      <w:r>
        <w:rPr>
          <w:rFonts w:eastAsia="Calibri"/>
          <w:szCs w:val="24"/>
        </w:rPr>
        <w:t xml:space="preserve">(03) </w:t>
      </w:r>
      <w:r w:rsidRPr="00AD7C42">
        <w:rPr>
          <w:rFonts w:eastAsia="Calibri"/>
          <w:szCs w:val="24"/>
        </w:rPr>
        <w:t>autres extrants ont été réalisées. La non</w:t>
      </w:r>
      <w:r w:rsidR="00DF1B68">
        <w:rPr>
          <w:rFonts w:eastAsia="Calibri"/>
          <w:szCs w:val="24"/>
        </w:rPr>
        <w:t>-</w:t>
      </w:r>
      <w:r w:rsidRPr="00AD7C42">
        <w:rPr>
          <w:rFonts w:eastAsia="Calibri"/>
          <w:szCs w:val="24"/>
        </w:rPr>
        <w:t>atteinte du nombre d’infrastructures de promotion de l’artisanat construites s’explique par la non</w:t>
      </w:r>
      <w:r w:rsidR="00DF1B68">
        <w:rPr>
          <w:rFonts w:eastAsia="Calibri"/>
          <w:szCs w:val="24"/>
        </w:rPr>
        <w:t>-</w:t>
      </w:r>
      <w:r w:rsidRPr="00AD7C42">
        <w:rPr>
          <w:rFonts w:eastAsia="Calibri"/>
          <w:szCs w:val="24"/>
        </w:rPr>
        <w:t xml:space="preserve">réalisation des infrastructures du CNATAC </w:t>
      </w:r>
      <w:r w:rsidR="00DF1B68">
        <w:rPr>
          <w:rFonts w:eastAsia="Calibri"/>
          <w:szCs w:val="24"/>
        </w:rPr>
        <w:t xml:space="preserve">à la </w:t>
      </w:r>
      <w:r w:rsidRPr="00AD7C42">
        <w:rPr>
          <w:rFonts w:eastAsia="Calibri"/>
          <w:szCs w:val="24"/>
        </w:rPr>
        <w:t xml:space="preserve">suite </w:t>
      </w:r>
      <w:r w:rsidR="00DF1B68">
        <w:rPr>
          <w:rFonts w:eastAsia="Calibri"/>
          <w:szCs w:val="24"/>
        </w:rPr>
        <w:t>de</w:t>
      </w:r>
      <w:r w:rsidRPr="00AD7C42">
        <w:rPr>
          <w:rFonts w:eastAsia="Calibri"/>
          <w:szCs w:val="24"/>
        </w:rPr>
        <w:t xml:space="preserve"> l’obtention tardive des Avis de non</w:t>
      </w:r>
      <w:r w:rsidR="00DF1B68">
        <w:rPr>
          <w:rFonts w:eastAsia="Calibri"/>
          <w:szCs w:val="24"/>
        </w:rPr>
        <w:t>-</w:t>
      </w:r>
      <w:r w:rsidRPr="00AD7C42">
        <w:rPr>
          <w:rFonts w:eastAsia="Calibri"/>
          <w:szCs w:val="24"/>
        </w:rPr>
        <w:t>objection</w:t>
      </w:r>
      <w:r w:rsidR="00DF1B68">
        <w:rPr>
          <w:rFonts w:eastAsia="Calibri"/>
          <w:szCs w:val="24"/>
        </w:rPr>
        <w:t xml:space="preserve"> (ANO)</w:t>
      </w:r>
      <w:r w:rsidRPr="00AD7C42">
        <w:rPr>
          <w:rFonts w:eastAsia="Calibri"/>
          <w:szCs w:val="24"/>
        </w:rPr>
        <w:t xml:space="preserve"> des résultats de la commission d’attribution des marchés. Toutefois, l’approbation des contrats des entreprises et de la notification des ordres de services sont intervenues en décembre 2023. </w:t>
      </w:r>
    </w:p>
    <w:p w14:paraId="69156766" w14:textId="55BA192C" w:rsidR="00AD7C42" w:rsidRPr="000C37D3" w:rsidRDefault="00AD7C42" w:rsidP="00AD7C42">
      <w:pPr>
        <w:numPr>
          <w:ilvl w:val="0"/>
          <w:numId w:val="8"/>
        </w:numPr>
        <w:shd w:val="clear" w:color="auto" w:fill="FFFFFF"/>
        <w:spacing w:before="120" w:after="120" w:line="240" w:lineRule="auto"/>
        <w:ind w:left="0"/>
        <w:rPr>
          <w:rFonts w:eastAsia="Calibri"/>
          <w:szCs w:val="24"/>
        </w:rPr>
      </w:pPr>
      <w:r w:rsidRPr="000C37D3">
        <w:rPr>
          <w:rFonts w:eastAsia="Calibri"/>
          <w:szCs w:val="24"/>
        </w:rPr>
        <w:t>Sur le plan financier, les quatre produits de l’action 03086 ont été exécutés à hauteur de 1 903</w:t>
      </w:r>
      <w:r w:rsidR="00DF1B68">
        <w:rPr>
          <w:rFonts w:eastAsia="Calibri"/>
          <w:szCs w:val="24"/>
        </w:rPr>
        <w:t> </w:t>
      </w:r>
      <w:r w:rsidRPr="000C37D3">
        <w:rPr>
          <w:rFonts w:eastAsia="Calibri"/>
          <w:szCs w:val="24"/>
        </w:rPr>
        <w:t>720</w:t>
      </w:r>
      <w:r w:rsidR="00DF1B68" w:rsidRPr="00056445">
        <w:rPr>
          <w:rFonts w:eastAsia="Calibri"/>
          <w:szCs w:val="24"/>
        </w:rPr>
        <w:t>°</w:t>
      </w:r>
      <w:r w:rsidRPr="000C37D3">
        <w:rPr>
          <w:rFonts w:eastAsia="Calibri"/>
          <w:szCs w:val="24"/>
        </w:rPr>
        <w:t>000 FCFA sur une prévision de 2</w:t>
      </w:r>
      <w:r w:rsidR="00DF1B68" w:rsidRPr="00056445">
        <w:rPr>
          <w:rFonts w:eastAsia="Calibri"/>
          <w:szCs w:val="24"/>
        </w:rPr>
        <w:t>°</w:t>
      </w:r>
      <w:r w:rsidRPr="000C37D3">
        <w:rPr>
          <w:rFonts w:eastAsia="Calibri"/>
          <w:szCs w:val="24"/>
        </w:rPr>
        <w:t>392</w:t>
      </w:r>
      <w:r w:rsidR="00DF1B68">
        <w:rPr>
          <w:rFonts w:eastAsia="Calibri"/>
          <w:szCs w:val="24"/>
        </w:rPr>
        <w:t> </w:t>
      </w:r>
      <w:r w:rsidRPr="000C37D3">
        <w:rPr>
          <w:rFonts w:eastAsia="Calibri"/>
          <w:szCs w:val="24"/>
        </w:rPr>
        <w:t>700</w:t>
      </w:r>
      <w:r w:rsidR="00DF1B68" w:rsidRPr="00056445">
        <w:rPr>
          <w:rFonts w:eastAsia="Calibri"/>
          <w:szCs w:val="24"/>
        </w:rPr>
        <w:t>°</w:t>
      </w:r>
      <w:r w:rsidRPr="000C37D3">
        <w:rPr>
          <w:rFonts w:eastAsia="Calibri"/>
          <w:szCs w:val="24"/>
        </w:rPr>
        <w:t>000 FCFA.</w:t>
      </w:r>
    </w:p>
    <w:p w14:paraId="12CB85EA" w14:textId="5F648E04"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Concernant l’action (</w:t>
      </w:r>
      <w:r w:rsidRPr="00F175A7">
        <w:rPr>
          <w:rFonts w:eastAsia="Calibri"/>
          <w:b/>
          <w:szCs w:val="24"/>
        </w:rPr>
        <w:t>03080) « </w:t>
      </w:r>
      <w:r w:rsidR="00DF1B68">
        <w:rPr>
          <w:rFonts w:eastAsia="Calibri"/>
          <w:b/>
          <w:szCs w:val="24"/>
        </w:rPr>
        <w:t>o</w:t>
      </w:r>
      <w:r w:rsidRPr="00F175A7">
        <w:rPr>
          <w:rFonts w:eastAsia="Calibri"/>
          <w:b/>
          <w:szCs w:val="24"/>
        </w:rPr>
        <w:t>pérationnalisation de la stratégie nationale de la culture et du tourisme »</w:t>
      </w:r>
      <w:r w:rsidRPr="000C37D3">
        <w:rPr>
          <w:rFonts w:eastAsia="Calibri"/>
          <w:szCs w:val="24"/>
        </w:rPr>
        <w:t>, le nombre d’objets culturels exportés n’</w:t>
      </w:r>
      <w:r w:rsidR="001C3AE4">
        <w:rPr>
          <w:rFonts w:eastAsia="Calibri"/>
          <w:szCs w:val="24"/>
        </w:rPr>
        <w:t>a</w:t>
      </w:r>
      <w:r w:rsidRPr="000C37D3">
        <w:rPr>
          <w:rFonts w:eastAsia="Calibri"/>
          <w:szCs w:val="24"/>
        </w:rPr>
        <w:t xml:space="preserve"> pas atteint </w:t>
      </w:r>
      <w:r w:rsidR="001C3AE4">
        <w:rPr>
          <w:rFonts w:eastAsia="Calibri"/>
          <w:szCs w:val="24"/>
        </w:rPr>
        <w:t>sa</w:t>
      </w:r>
      <w:r w:rsidRPr="000C37D3">
        <w:rPr>
          <w:rFonts w:eastAsia="Calibri"/>
          <w:szCs w:val="24"/>
        </w:rPr>
        <w:t xml:space="preserve"> cible annuelle fixée</w:t>
      </w:r>
      <w:r w:rsidR="001C3AE4">
        <w:rPr>
          <w:rFonts w:eastAsia="Calibri"/>
          <w:szCs w:val="24"/>
        </w:rPr>
        <w:t xml:space="preserve"> tandis que la cible du</w:t>
      </w:r>
      <w:r w:rsidRPr="000C37D3">
        <w:rPr>
          <w:rFonts w:eastAsia="Calibri"/>
          <w:szCs w:val="24"/>
        </w:rPr>
        <w:t xml:space="preserve"> nombre d’artistes formés</w:t>
      </w:r>
      <w:r w:rsidR="001C3AE4">
        <w:rPr>
          <w:rFonts w:eastAsia="Calibri"/>
          <w:szCs w:val="24"/>
        </w:rPr>
        <w:t xml:space="preserve"> a été largement dépas</w:t>
      </w:r>
      <w:r w:rsidR="00AD7C42">
        <w:rPr>
          <w:rFonts w:eastAsia="Calibri"/>
          <w:szCs w:val="24"/>
        </w:rPr>
        <w:t>sée. Cette</w:t>
      </w:r>
      <w:r w:rsidRPr="000C37D3">
        <w:rPr>
          <w:rFonts w:eastAsia="Calibri"/>
          <w:szCs w:val="24"/>
        </w:rPr>
        <w:t xml:space="preserve"> performance a été rendue possible grâce aux subventions accordées par l’Etat à travers les fonds et l’intensification des formations à l’endroit des PDI. </w:t>
      </w:r>
    </w:p>
    <w:p w14:paraId="286152DF" w14:textId="7BD60961" w:rsidR="00AD7C42" w:rsidRPr="000C37D3" w:rsidRDefault="000C37D3" w:rsidP="00AD7C42">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En termes d’exécution financière, au 31 décembre 2023, le montant engagé pour </w:t>
      </w:r>
      <w:r w:rsidR="00AD7C42" w:rsidRPr="00AB5CA1">
        <w:rPr>
          <w:rFonts w:eastAsia="Calibri"/>
          <w:szCs w:val="24"/>
        </w:rPr>
        <w:t xml:space="preserve">la réalisation des deux produits de </w:t>
      </w:r>
      <w:r w:rsidR="00AD7C42" w:rsidRPr="000C37D3">
        <w:rPr>
          <w:rFonts w:eastAsia="Calibri"/>
          <w:szCs w:val="24"/>
        </w:rPr>
        <w:t>l’action s’élève à 28</w:t>
      </w:r>
      <w:r w:rsidR="00AD7C42">
        <w:rPr>
          <w:rFonts w:eastAsia="Calibri"/>
          <w:szCs w:val="24"/>
        </w:rPr>
        <w:t>4</w:t>
      </w:r>
      <w:r w:rsidR="00DF1B68">
        <w:rPr>
          <w:rFonts w:eastAsia="Calibri"/>
          <w:szCs w:val="24"/>
        </w:rPr>
        <w:t> </w:t>
      </w:r>
      <w:r w:rsidR="00AD7C42">
        <w:rPr>
          <w:rFonts w:eastAsia="Calibri"/>
          <w:szCs w:val="24"/>
        </w:rPr>
        <w:t>0</w:t>
      </w:r>
      <w:r w:rsidR="00AD7C42" w:rsidRPr="000C37D3">
        <w:rPr>
          <w:rFonts w:eastAsia="Calibri"/>
          <w:szCs w:val="24"/>
        </w:rPr>
        <w:t>03</w:t>
      </w:r>
      <w:r w:rsidR="00DF1B68" w:rsidRPr="00056445">
        <w:rPr>
          <w:rFonts w:eastAsia="Calibri"/>
          <w:szCs w:val="24"/>
        </w:rPr>
        <w:t>°</w:t>
      </w:r>
      <w:r w:rsidR="00AD7C42">
        <w:rPr>
          <w:rFonts w:eastAsia="Calibri"/>
          <w:szCs w:val="24"/>
        </w:rPr>
        <w:t>000 F</w:t>
      </w:r>
      <w:r w:rsidR="00AD7C42" w:rsidRPr="000C37D3">
        <w:rPr>
          <w:rFonts w:eastAsia="Calibri"/>
          <w:szCs w:val="24"/>
        </w:rPr>
        <w:t xml:space="preserve">CFA sur une prévision de </w:t>
      </w:r>
      <w:r w:rsidR="00AD7C42">
        <w:rPr>
          <w:rFonts w:eastAsia="Calibri"/>
          <w:szCs w:val="24"/>
        </w:rPr>
        <w:t>47</w:t>
      </w:r>
      <w:r w:rsidR="00DF1B68">
        <w:rPr>
          <w:rFonts w:eastAsia="Calibri"/>
          <w:szCs w:val="24"/>
        </w:rPr>
        <w:t> </w:t>
      </w:r>
      <w:r w:rsidR="00AD7C42">
        <w:rPr>
          <w:rFonts w:eastAsia="Calibri"/>
          <w:szCs w:val="24"/>
        </w:rPr>
        <w:t>0</w:t>
      </w:r>
      <w:r w:rsidR="00AD7C42" w:rsidRPr="000C37D3">
        <w:rPr>
          <w:rFonts w:eastAsia="Calibri"/>
          <w:szCs w:val="24"/>
        </w:rPr>
        <w:t>00</w:t>
      </w:r>
      <w:r w:rsidR="00DF1B68" w:rsidRPr="00056445">
        <w:rPr>
          <w:rFonts w:eastAsia="Calibri"/>
          <w:szCs w:val="24"/>
        </w:rPr>
        <w:t>°</w:t>
      </w:r>
      <w:r w:rsidR="00AD7C42">
        <w:rPr>
          <w:rFonts w:eastAsia="Calibri"/>
          <w:szCs w:val="24"/>
        </w:rPr>
        <w:t>000 F</w:t>
      </w:r>
      <w:r w:rsidR="00AD7C42" w:rsidRPr="000C37D3">
        <w:rPr>
          <w:rFonts w:eastAsia="Calibri"/>
          <w:szCs w:val="24"/>
        </w:rPr>
        <w:t>CFA.</w:t>
      </w:r>
    </w:p>
    <w:p w14:paraId="1D0EB45F" w14:textId="7777777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lastRenderedPageBreak/>
        <w:t>S’agissant du domaine du développement de l’industrie minière</w:t>
      </w:r>
      <w:r w:rsidRPr="000C37D3">
        <w:rPr>
          <w:rFonts w:eastAsia="Calibri"/>
          <w:szCs w:val="24"/>
        </w:rPr>
        <w:t>, il est mis en œuvre par dix (10) actions du PA-SD portées par le secteur TIA.</w:t>
      </w:r>
    </w:p>
    <w:p w14:paraId="582A56FC" w14:textId="177F9A2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Au titre de la première des 10 action</w:t>
      </w:r>
      <w:r w:rsidR="00DF1B68">
        <w:rPr>
          <w:rFonts w:eastAsia="Calibri"/>
          <w:szCs w:val="24"/>
        </w:rPr>
        <w:t>s</w:t>
      </w:r>
      <w:r w:rsidRPr="000C37D3">
        <w:rPr>
          <w:rFonts w:eastAsia="Calibri"/>
          <w:szCs w:val="24"/>
        </w:rPr>
        <w:t>, à savoir, « </w:t>
      </w:r>
      <w:r w:rsidR="00DF1B68">
        <w:rPr>
          <w:rFonts w:eastAsia="Calibri"/>
          <w:b/>
          <w:szCs w:val="24"/>
        </w:rPr>
        <w:t>p</w:t>
      </w:r>
      <w:r w:rsidRPr="008139E1">
        <w:rPr>
          <w:rFonts w:eastAsia="Calibri"/>
          <w:b/>
          <w:szCs w:val="24"/>
        </w:rPr>
        <w:t>romotion de la fourniture locale des biens et services miniers et la responsabilité sociale des entreprises (03088)</w:t>
      </w:r>
      <w:r w:rsidRPr="000C37D3">
        <w:rPr>
          <w:rFonts w:eastAsia="Calibri"/>
          <w:szCs w:val="24"/>
        </w:rPr>
        <w:t> », il a été possible de porter le niveau de son indicateur, la part des entreprises nationales bénéficiaires dans la commande du secteur minier à la cible annuelle projeté</w:t>
      </w:r>
      <w:r w:rsidR="00DF1B68">
        <w:rPr>
          <w:rFonts w:eastAsia="Calibri"/>
          <w:szCs w:val="24"/>
        </w:rPr>
        <w:t>e</w:t>
      </w:r>
      <w:r w:rsidRPr="000C37D3">
        <w:rPr>
          <w:rFonts w:eastAsia="Calibri"/>
          <w:szCs w:val="24"/>
        </w:rPr>
        <w:t xml:space="preserve"> de 26%. Aussi, la situation d’exécution des produits programmés a été la suivante. La loi sur le contenu local a effectivement été adoptée</w:t>
      </w:r>
      <w:r w:rsidR="00030819">
        <w:rPr>
          <w:rFonts w:eastAsia="Calibri"/>
          <w:szCs w:val="24"/>
        </w:rPr>
        <w:t xml:space="preserve"> </w:t>
      </w:r>
      <w:r w:rsidRPr="000C37D3">
        <w:rPr>
          <w:rFonts w:eastAsia="Calibri"/>
          <w:szCs w:val="24"/>
        </w:rPr>
        <w:t>en 2023, tandis que la situation d’exécution des textes sur la fourniture locale des mines, appréci</w:t>
      </w:r>
      <w:r w:rsidR="00DF1B68">
        <w:rPr>
          <w:rFonts w:eastAsia="Calibri"/>
          <w:szCs w:val="24"/>
        </w:rPr>
        <w:t>ée</w:t>
      </w:r>
      <w:r w:rsidRPr="000C37D3">
        <w:rPr>
          <w:rFonts w:eastAsia="Calibri"/>
          <w:szCs w:val="24"/>
        </w:rPr>
        <w:t xml:space="preserve"> par la proportion des sociétés minières respectant les quotas d’approvisionnement dédiés aux entreprises burkinabè, les données pour son suivi ne sont pas disponibles. L’enveloppe financière prévisionnelle de 18 340 000 FCFA destinée à l’action a été entièrement consommée.</w:t>
      </w:r>
    </w:p>
    <w:p w14:paraId="6B57DD68" w14:textId="52EC528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 travers </w:t>
      </w:r>
      <w:r w:rsidRPr="00F175A7">
        <w:rPr>
          <w:rFonts w:eastAsia="Calibri"/>
          <w:b/>
          <w:szCs w:val="24"/>
        </w:rPr>
        <w:t>l’action (03090) « </w:t>
      </w:r>
      <w:r w:rsidR="00DF1B68">
        <w:rPr>
          <w:rFonts w:eastAsia="Calibri"/>
          <w:b/>
          <w:szCs w:val="24"/>
        </w:rPr>
        <w:t>p</w:t>
      </w:r>
      <w:r w:rsidRPr="00F175A7">
        <w:rPr>
          <w:rFonts w:eastAsia="Calibri"/>
          <w:b/>
          <w:szCs w:val="24"/>
        </w:rPr>
        <w:t>romotion de l’exploitation minière industrielle et de l’investissement national</w:t>
      </w:r>
      <w:r w:rsidRPr="000C37D3">
        <w:rPr>
          <w:rFonts w:eastAsia="Calibri"/>
          <w:szCs w:val="24"/>
        </w:rPr>
        <w:t xml:space="preserve">, l’exécution du PA-SD en 2023 n’a permis que de porter le taux d’accroissement des recettes minières à 12,9% pour une cible de 35%. La situation d’exécution de trois (03) produits contribuant à la réalisation de cette action figure dans le tableau ci-après.  </w:t>
      </w:r>
    </w:p>
    <w:p w14:paraId="24D5D326" w14:textId="4F72B5C7" w:rsidR="000C37D3" w:rsidRPr="0042784A" w:rsidRDefault="00051522" w:rsidP="008139E1">
      <w:pPr>
        <w:pStyle w:val="Lgende"/>
        <w:rPr>
          <w:color w:val="auto"/>
          <w:sz w:val="22"/>
        </w:rPr>
      </w:pPr>
      <w:bookmarkStart w:id="147" w:name="_Toc164503660"/>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73</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 l’action 03090 au 31 décembre 2023</w:t>
      </w:r>
      <w:bookmarkEnd w:id="147"/>
    </w:p>
    <w:tbl>
      <w:tblPr>
        <w:tblStyle w:val="GridTable4-Accent111"/>
        <w:tblW w:w="5000" w:type="pct"/>
        <w:tblLook w:val="04A0" w:firstRow="1" w:lastRow="0" w:firstColumn="1" w:lastColumn="0" w:noHBand="0" w:noVBand="1"/>
      </w:tblPr>
      <w:tblGrid>
        <w:gridCol w:w="5240"/>
        <w:gridCol w:w="1275"/>
        <w:gridCol w:w="1277"/>
        <w:gridCol w:w="1224"/>
      </w:tblGrid>
      <w:tr w:rsidR="000C37D3" w:rsidRPr="00F175A7" w14:paraId="69E80073" w14:textId="77777777" w:rsidTr="009A28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3A120FBA" w14:textId="16EFC9AF" w:rsidR="000C37D3" w:rsidRPr="00F175A7" w:rsidRDefault="000C37D3" w:rsidP="00F175A7">
            <w:pPr>
              <w:spacing w:after="0" w:line="240" w:lineRule="auto"/>
              <w:rPr>
                <w:sz w:val="22"/>
              </w:rPr>
            </w:pPr>
            <w:r w:rsidRPr="00F175A7">
              <w:rPr>
                <w:sz w:val="22"/>
              </w:rPr>
              <w:t>Indicateur</w:t>
            </w:r>
            <w:r w:rsidR="00C32F9E" w:rsidRPr="00F175A7">
              <w:rPr>
                <w:sz w:val="22"/>
              </w:rPr>
              <w:t>s</w:t>
            </w:r>
            <w:r w:rsidRPr="00F175A7">
              <w:rPr>
                <w:sz w:val="22"/>
              </w:rPr>
              <w:t xml:space="preserve"> </w:t>
            </w:r>
          </w:p>
        </w:tc>
        <w:tc>
          <w:tcPr>
            <w:tcW w:w="707" w:type="pct"/>
          </w:tcPr>
          <w:p w14:paraId="61F231E1"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Réal. 2022</w:t>
            </w:r>
          </w:p>
        </w:tc>
        <w:tc>
          <w:tcPr>
            <w:tcW w:w="708" w:type="pct"/>
          </w:tcPr>
          <w:p w14:paraId="23706061"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Réal. 2023</w:t>
            </w:r>
          </w:p>
        </w:tc>
        <w:tc>
          <w:tcPr>
            <w:tcW w:w="679" w:type="pct"/>
          </w:tcPr>
          <w:p w14:paraId="292E2256"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Cible 2023</w:t>
            </w:r>
          </w:p>
        </w:tc>
      </w:tr>
      <w:tr w:rsidR="000C37D3" w:rsidRPr="00F175A7" w14:paraId="76CFD1B3"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0466395C" w14:textId="77777777" w:rsidR="000C37D3" w:rsidRPr="00F175A7" w:rsidRDefault="000C37D3" w:rsidP="00F175A7">
            <w:pPr>
              <w:spacing w:after="0" w:line="240" w:lineRule="auto"/>
              <w:rPr>
                <w:sz w:val="22"/>
              </w:rPr>
            </w:pPr>
            <w:r w:rsidRPr="00F175A7">
              <w:rPr>
                <w:sz w:val="22"/>
              </w:rPr>
              <w:t>Nombre de nouveaux projets miniers à petites échelles en exploitation</w:t>
            </w:r>
          </w:p>
        </w:tc>
        <w:tc>
          <w:tcPr>
            <w:tcW w:w="707" w:type="pct"/>
          </w:tcPr>
          <w:p w14:paraId="60B34261"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5</w:t>
            </w:r>
          </w:p>
        </w:tc>
        <w:tc>
          <w:tcPr>
            <w:tcW w:w="708" w:type="pct"/>
          </w:tcPr>
          <w:p w14:paraId="580679C6"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10</w:t>
            </w:r>
          </w:p>
        </w:tc>
        <w:tc>
          <w:tcPr>
            <w:tcW w:w="679" w:type="pct"/>
          </w:tcPr>
          <w:p w14:paraId="0B7A8869"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5</w:t>
            </w:r>
          </w:p>
        </w:tc>
      </w:tr>
      <w:tr w:rsidR="000C37D3" w:rsidRPr="00F175A7" w14:paraId="2196D46F" w14:textId="77777777" w:rsidTr="009A288B">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3033C98F" w14:textId="77777777" w:rsidR="000C37D3" w:rsidRPr="00F175A7" w:rsidRDefault="000C37D3" w:rsidP="00F175A7">
            <w:pPr>
              <w:spacing w:after="0" w:line="240" w:lineRule="auto"/>
              <w:rPr>
                <w:sz w:val="22"/>
              </w:rPr>
            </w:pPr>
            <w:r w:rsidRPr="00F175A7">
              <w:rPr>
                <w:sz w:val="22"/>
              </w:rPr>
              <w:t>Nombre d’actifs miniers opérationnalisés</w:t>
            </w:r>
          </w:p>
        </w:tc>
        <w:tc>
          <w:tcPr>
            <w:tcW w:w="707" w:type="pct"/>
          </w:tcPr>
          <w:p w14:paraId="4DC8443F"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0</w:t>
            </w:r>
          </w:p>
        </w:tc>
        <w:tc>
          <w:tcPr>
            <w:tcW w:w="708" w:type="pct"/>
          </w:tcPr>
          <w:p w14:paraId="16EF01CD" w14:textId="17E4CCF9" w:rsidR="000C37D3" w:rsidRPr="00F175A7" w:rsidRDefault="00102CBF"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3</w:t>
            </w:r>
          </w:p>
        </w:tc>
        <w:tc>
          <w:tcPr>
            <w:tcW w:w="679" w:type="pct"/>
          </w:tcPr>
          <w:p w14:paraId="6A24D1F0"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1</w:t>
            </w:r>
          </w:p>
        </w:tc>
      </w:tr>
      <w:tr w:rsidR="000C37D3" w:rsidRPr="00F175A7" w14:paraId="28A92A83"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32605D8C" w14:textId="77777777" w:rsidR="000C37D3" w:rsidRPr="00F175A7" w:rsidRDefault="000C37D3" w:rsidP="00F175A7">
            <w:pPr>
              <w:spacing w:after="0" w:line="240" w:lineRule="auto"/>
              <w:rPr>
                <w:sz w:val="22"/>
              </w:rPr>
            </w:pPr>
            <w:r w:rsidRPr="00F175A7">
              <w:rPr>
                <w:sz w:val="22"/>
              </w:rPr>
              <w:t>Nombre de projets de recherche géologique et minière avancés détenus par des locaux</w:t>
            </w:r>
          </w:p>
        </w:tc>
        <w:tc>
          <w:tcPr>
            <w:tcW w:w="707" w:type="pct"/>
          </w:tcPr>
          <w:p w14:paraId="35F198AE"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0</w:t>
            </w:r>
          </w:p>
        </w:tc>
        <w:tc>
          <w:tcPr>
            <w:tcW w:w="708" w:type="pct"/>
          </w:tcPr>
          <w:p w14:paraId="107B165E" w14:textId="3F98342A" w:rsidR="000C37D3" w:rsidRPr="00F175A7" w:rsidRDefault="00102CBF"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3</w:t>
            </w:r>
          </w:p>
        </w:tc>
        <w:tc>
          <w:tcPr>
            <w:tcW w:w="679" w:type="pct"/>
          </w:tcPr>
          <w:p w14:paraId="5D15CEBE"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3</w:t>
            </w:r>
          </w:p>
        </w:tc>
      </w:tr>
    </w:tbl>
    <w:p w14:paraId="7CD0B51C" w14:textId="4EBFBCA9" w:rsidR="000C37D3" w:rsidRPr="00106BB2" w:rsidRDefault="000C37D3" w:rsidP="000C37D3">
      <w:pPr>
        <w:rPr>
          <w:sz w:val="20"/>
          <w:szCs w:val="20"/>
        </w:rPr>
      </w:pPr>
      <w:r w:rsidRPr="00106BB2">
        <w:rPr>
          <w:b/>
          <w:bCs/>
          <w:sz w:val="20"/>
          <w:szCs w:val="20"/>
          <w:u w:val="single"/>
        </w:rPr>
        <w:t>Source</w:t>
      </w:r>
      <w:r w:rsidRPr="00106BB2">
        <w:rPr>
          <w:sz w:val="20"/>
          <w:szCs w:val="20"/>
        </w:rPr>
        <w:t xml:space="preserve"> : rapport annuel de performance 2023 du </w:t>
      </w:r>
      <w:r w:rsidR="00287D1E">
        <w:rPr>
          <w:sz w:val="20"/>
          <w:szCs w:val="20"/>
        </w:rPr>
        <w:t>CSD</w:t>
      </w:r>
      <w:r w:rsidRPr="00106BB2">
        <w:rPr>
          <w:sz w:val="20"/>
          <w:szCs w:val="20"/>
        </w:rPr>
        <w:t xml:space="preserve"> TIA, février 2024</w:t>
      </w:r>
    </w:p>
    <w:p w14:paraId="6DC0E4FC" w14:textId="4F26E733" w:rsidR="000C37D3" w:rsidRPr="008139E1" w:rsidRDefault="000C37D3" w:rsidP="00F175A7">
      <w:pPr>
        <w:numPr>
          <w:ilvl w:val="0"/>
          <w:numId w:val="8"/>
        </w:numPr>
        <w:shd w:val="clear" w:color="auto" w:fill="FFFFFF"/>
        <w:spacing w:before="120" w:after="120" w:line="240" w:lineRule="auto"/>
        <w:ind w:left="0"/>
        <w:rPr>
          <w:rFonts w:eastAsia="Calibri"/>
          <w:szCs w:val="24"/>
        </w:rPr>
      </w:pPr>
      <w:r w:rsidRPr="008139E1">
        <w:rPr>
          <w:rFonts w:eastAsia="Calibri"/>
          <w:szCs w:val="24"/>
        </w:rPr>
        <w:t xml:space="preserve">Les cibles des indicateurs annuelles des trois (03) produits ont été entièrement atteintes. Pour les projets miniers à petites échelles, sept </w:t>
      </w:r>
      <w:r w:rsidR="00102CBF" w:rsidRPr="008139E1">
        <w:rPr>
          <w:rFonts w:eastAsia="Calibri"/>
          <w:szCs w:val="24"/>
        </w:rPr>
        <w:t xml:space="preserve">(07) </w:t>
      </w:r>
      <w:r w:rsidRPr="008139E1">
        <w:rPr>
          <w:rFonts w:eastAsia="Calibri"/>
          <w:szCs w:val="24"/>
        </w:rPr>
        <w:t xml:space="preserve">d’entre eux ont été cédés en Conseil des ministres à la Société nationale de substances précieuses (SONASP) pour exploitation. Quant aux actifs miniers, trois </w:t>
      </w:r>
      <w:r w:rsidR="00102CBF" w:rsidRPr="008139E1">
        <w:rPr>
          <w:rFonts w:eastAsia="Calibri"/>
          <w:szCs w:val="24"/>
        </w:rPr>
        <w:t xml:space="preserve">(03) </w:t>
      </w:r>
      <w:r w:rsidRPr="008139E1">
        <w:rPr>
          <w:rFonts w:eastAsia="Calibri"/>
          <w:szCs w:val="24"/>
        </w:rPr>
        <w:t>titres miniers (</w:t>
      </w:r>
      <w:proofErr w:type="spellStart"/>
      <w:r w:rsidRPr="008139E1">
        <w:rPr>
          <w:rFonts w:eastAsia="Calibri"/>
          <w:szCs w:val="24"/>
        </w:rPr>
        <w:t>Inata</w:t>
      </w:r>
      <w:proofErr w:type="spellEnd"/>
      <w:r w:rsidRPr="008139E1">
        <w:rPr>
          <w:rFonts w:eastAsia="Calibri"/>
          <w:szCs w:val="24"/>
        </w:rPr>
        <w:t xml:space="preserve">, </w:t>
      </w:r>
      <w:proofErr w:type="spellStart"/>
      <w:r w:rsidRPr="008139E1">
        <w:rPr>
          <w:rFonts w:eastAsia="Calibri"/>
          <w:szCs w:val="24"/>
        </w:rPr>
        <w:t>Tambao</w:t>
      </w:r>
      <w:proofErr w:type="spellEnd"/>
      <w:r w:rsidRPr="008139E1">
        <w:rPr>
          <w:rFonts w:eastAsia="Calibri"/>
          <w:szCs w:val="24"/>
        </w:rPr>
        <w:t xml:space="preserve"> et </w:t>
      </w:r>
      <w:proofErr w:type="spellStart"/>
      <w:r w:rsidRPr="008139E1">
        <w:rPr>
          <w:rFonts w:eastAsia="Calibri"/>
          <w:szCs w:val="24"/>
        </w:rPr>
        <w:t>Poura</w:t>
      </w:r>
      <w:proofErr w:type="spellEnd"/>
      <w:r w:rsidRPr="008139E1">
        <w:rPr>
          <w:rFonts w:eastAsia="Calibri"/>
          <w:szCs w:val="24"/>
        </w:rPr>
        <w:t xml:space="preserve">) précédemment comptabilisés dans le portefeuille des actifs miniers de l’Etat ont eux aussi été cédés en Conseil des ministres. En ce qui concerne les projets de recherche géologique et minière, trois </w:t>
      </w:r>
      <w:r w:rsidR="00102CBF" w:rsidRPr="008139E1">
        <w:rPr>
          <w:rFonts w:eastAsia="Calibri"/>
          <w:szCs w:val="24"/>
        </w:rPr>
        <w:t xml:space="preserve">(03) </w:t>
      </w:r>
      <w:r w:rsidRPr="008139E1">
        <w:rPr>
          <w:rFonts w:eastAsia="Calibri"/>
          <w:szCs w:val="24"/>
        </w:rPr>
        <w:t>permis (</w:t>
      </w:r>
      <w:proofErr w:type="spellStart"/>
      <w:r w:rsidRPr="008139E1">
        <w:rPr>
          <w:rFonts w:eastAsia="Calibri"/>
          <w:szCs w:val="24"/>
        </w:rPr>
        <w:t>Labola</w:t>
      </w:r>
      <w:proofErr w:type="spellEnd"/>
      <w:r w:rsidRPr="008139E1">
        <w:rPr>
          <w:rFonts w:eastAsia="Calibri"/>
          <w:szCs w:val="24"/>
        </w:rPr>
        <w:t xml:space="preserve">, </w:t>
      </w:r>
      <w:proofErr w:type="spellStart"/>
      <w:r w:rsidRPr="008139E1">
        <w:rPr>
          <w:rFonts w:eastAsia="Calibri"/>
          <w:szCs w:val="24"/>
        </w:rPr>
        <w:t>Batiara</w:t>
      </w:r>
      <w:proofErr w:type="spellEnd"/>
      <w:r w:rsidRPr="008139E1">
        <w:rPr>
          <w:rFonts w:eastAsia="Calibri"/>
          <w:szCs w:val="24"/>
        </w:rPr>
        <w:t xml:space="preserve"> et </w:t>
      </w:r>
      <w:proofErr w:type="spellStart"/>
      <w:r w:rsidRPr="008139E1">
        <w:rPr>
          <w:rFonts w:eastAsia="Calibri"/>
          <w:szCs w:val="24"/>
        </w:rPr>
        <w:t>Kougni</w:t>
      </w:r>
      <w:proofErr w:type="spellEnd"/>
      <w:r w:rsidRPr="008139E1">
        <w:rPr>
          <w:rFonts w:eastAsia="Calibri"/>
          <w:szCs w:val="24"/>
        </w:rPr>
        <w:t>) sont détenus par des locaux</w:t>
      </w:r>
      <w:r w:rsidR="00102CBF" w:rsidRPr="008139E1">
        <w:rPr>
          <w:rFonts w:eastAsia="Calibri"/>
          <w:szCs w:val="24"/>
        </w:rPr>
        <w:t>.</w:t>
      </w:r>
      <w:r w:rsidR="00C32F9E" w:rsidRPr="008139E1">
        <w:rPr>
          <w:rFonts w:eastAsia="Calibri"/>
          <w:szCs w:val="24"/>
        </w:rPr>
        <w:t xml:space="preserve"> </w:t>
      </w:r>
    </w:p>
    <w:p w14:paraId="1C1D9474" w14:textId="17B8A978"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La réalisation financière de cette action est de 12 000 000 FCFA sur une prévision de 19 000 000 FCFA</w:t>
      </w:r>
      <w:r w:rsidR="00DF1B68">
        <w:rPr>
          <w:rFonts w:eastAsia="Calibri"/>
          <w:szCs w:val="24"/>
        </w:rPr>
        <w:t>,</w:t>
      </w:r>
      <w:r w:rsidRPr="000C37D3">
        <w:rPr>
          <w:rFonts w:eastAsia="Calibri"/>
          <w:szCs w:val="24"/>
        </w:rPr>
        <w:t xml:space="preserve"> soit un taux d’exécution de 63,2%.</w:t>
      </w:r>
    </w:p>
    <w:p w14:paraId="35D4F830" w14:textId="330C502F"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 travers la 3</w:t>
      </w:r>
      <w:r w:rsidR="00102CBF" w:rsidRPr="008139E1">
        <w:rPr>
          <w:rFonts w:eastAsia="Calibri"/>
          <w:szCs w:val="24"/>
          <w:vertAlign w:val="superscript"/>
        </w:rPr>
        <w:t>è</w:t>
      </w:r>
      <w:r w:rsidR="00102CBF">
        <w:rPr>
          <w:rFonts w:eastAsia="Calibri"/>
          <w:szCs w:val="24"/>
        </w:rPr>
        <w:t xml:space="preserve"> </w:t>
      </w:r>
      <w:r w:rsidRPr="000C37D3">
        <w:rPr>
          <w:rFonts w:eastAsia="Calibri"/>
          <w:szCs w:val="24"/>
        </w:rPr>
        <w:t xml:space="preserve">action du domaine, </w:t>
      </w:r>
      <w:r w:rsidRPr="008139E1">
        <w:rPr>
          <w:rFonts w:eastAsia="Calibri"/>
          <w:b/>
          <w:szCs w:val="24"/>
        </w:rPr>
        <w:t xml:space="preserve">la </w:t>
      </w:r>
      <w:r w:rsidR="00DF1B68">
        <w:rPr>
          <w:rFonts w:eastAsia="Calibri"/>
          <w:b/>
          <w:szCs w:val="24"/>
        </w:rPr>
        <w:t>m</w:t>
      </w:r>
      <w:r w:rsidRPr="008139E1">
        <w:rPr>
          <w:rFonts w:eastAsia="Calibri"/>
          <w:b/>
          <w:szCs w:val="24"/>
        </w:rPr>
        <w:t>ise en place d'une stratégie nationale de lutte contre la fraude, le faux, le blanchiment des capitaux et financement du terrorisme dans le secteur des mines (03091)</w:t>
      </w:r>
      <w:r w:rsidRPr="000C37D3">
        <w:rPr>
          <w:rFonts w:eastAsia="Calibri"/>
          <w:szCs w:val="24"/>
        </w:rPr>
        <w:t xml:space="preserve">, la Stratégie nationale de lutte contre la fraude de l’or, le blanchiment des capitaux et le financement du terrorisme dans le secteur des mines (SNLFO-BC/LT 2024-2028) et son plan d’action ont été validés le 13 décembre 2023 par la Commission nationale de planification du développement (CNPD). Dans le cadre de </w:t>
      </w:r>
      <w:r w:rsidRPr="000C37D3">
        <w:rPr>
          <w:rFonts w:eastAsia="Calibri"/>
          <w:szCs w:val="24"/>
        </w:rPr>
        <w:lastRenderedPageBreak/>
        <w:t xml:space="preserve">l’opérationnalisation de </w:t>
      </w:r>
      <w:r w:rsidR="00102CBF">
        <w:rPr>
          <w:rFonts w:eastAsia="Calibri"/>
          <w:szCs w:val="24"/>
        </w:rPr>
        <w:t xml:space="preserve">cette </w:t>
      </w:r>
      <w:r w:rsidRPr="000C37D3">
        <w:rPr>
          <w:rFonts w:eastAsia="Calibri"/>
          <w:szCs w:val="24"/>
        </w:rPr>
        <w:t xml:space="preserve">action, les acquis sont la saisie de 10 075,63 grammes d’or sur une prévision de 30 000 grammes pour le compte du produit attendu « la lutte contre la fraude de l'or est renforcée » et l’élaboration d’un texte juridique de réforme pour encadrer l’activité minière au titre du produit « des textes juridiques pour encadrer l'activité minière sont élaborés ». </w:t>
      </w:r>
    </w:p>
    <w:p w14:paraId="46421F4E" w14:textId="27690A3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Pour y arriver, des ressources financières ont été déployées à hauteur de 41 250 000 FCFA sur une prévision de 71 250 000 FCFA</w:t>
      </w:r>
      <w:r w:rsidR="00DF1B68">
        <w:rPr>
          <w:rFonts w:eastAsia="Calibri"/>
          <w:szCs w:val="24"/>
        </w:rPr>
        <w:t>,</w:t>
      </w:r>
      <w:r w:rsidRPr="000C37D3">
        <w:rPr>
          <w:rFonts w:eastAsia="Calibri"/>
          <w:szCs w:val="24"/>
        </w:rPr>
        <w:t xml:space="preserve"> soit un taux d’exécution de 57,89%.</w:t>
      </w:r>
    </w:p>
    <w:p w14:paraId="71B7D351" w14:textId="7A6CEC85"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Au titre de l’action </w:t>
      </w:r>
      <w:r w:rsidRPr="008139E1">
        <w:rPr>
          <w:rFonts w:eastAsia="Calibri"/>
          <w:b/>
          <w:szCs w:val="24"/>
        </w:rPr>
        <w:t>(03092) « </w:t>
      </w:r>
      <w:r w:rsidR="00DF1B68">
        <w:rPr>
          <w:rFonts w:eastAsia="Calibri"/>
          <w:b/>
          <w:szCs w:val="24"/>
        </w:rPr>
        <w:t>a</w:t>
      </w:r>
      <w:r w:rsidRPr="008139E1">
        <w:rPr>
          <w:rFonts w:eastAsia="Calibri"/>
          <w:b/>
          <w:szCs w:val="24"/>
        </w:rPr>
        <w:t>ssainissement du cadastre minier »,</w:t>
      </w:r>
      <w:r w:rsidRPr="000C37D3">
        <w:rPr>
          <w:rFonts w:eastAsia="Calibri"/>
          <w:szCs w:val="24"/>
        </w:rPr>
        <w:t xml:space="preserve"> l’indicateur « Disponibilité d'une base de données intégrée sur le cadastre minier fonctionnel » n’a pas évolué. Toutefois, en termes de produits réalisés en 2023, des textes législatifs et règlementaires ont été pris, encadrant le processus d'octroi des titres miniers et l’interconnexion en cours de la base de données du Cadastre minier, le SIG du BUMIGEB et l'infocentre de la DGI.</w:t>
      </w:r>
    </w:p>
    <w:p w14:paraId="3432BE6A" w14:textId="358F11A9"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Sur le plan financier, la réalisation en fin 2023 de l’action 03092 a nécessité des dépenses d’un montant de 10 000 000 FCFA sur des prévisions de 25 000 000 FCFA</w:t>
      </w:r>
      <w:r w:rsidR="00DF1B68">
        <w:rPr>
          <w:rFonts w:eastAsia="Calibri"/>
          <w:szCs w:val="24"/>
        </w:rPr>
        <w:t>,</w:t>
      </w:r>
      <w:r w:rsidRPr="000C37D3">
        <w:rPr>
          <w:rFonts w:eastAsia="Calibri"/>
          <w:szCs w:val="24"/>
        </w:rPr>
        <w:t xml:space="preserve"> soit un taux d’exécution de 40%.</w:t>
      </w:r>
    </w:p>
    <w:p w14:paraId="19BFC93E" w14:textId="73F946FE"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Concernant l’action (</w:t>
      </w:r>
      <w:r w:rsidRPr="008139E1">
        <w:rPr>
          <w:rFonts w:eastAsia="Calibri"/>
          <w:b/>
          <w:szCs w:val="24"/>
        </w:rPr>
        <w:t>03093) « </w:t>
      </w:r>
      <w:r w:rsidR="00DF1B68">
        <w:rPr>
          <w:rFonts w:eastAsia="Calibri"/>
          <w:b/>
          <w:szCs w:val="24"/>
        </w:rPr>
        <w:t>p</w:t>
      </w:r>
      <w:r w:rsidRPr="008139E1">
        <w:rPr>
          <w:rFonts w:eastAsia="Calibri"/>
          <w:b/>
          <w:szCs w:val="24"/>
        </w:rPr>
        <w:t>romotion de l’expertise nationale et des emplois locaux dans le domaine des mines »</w:t>
      </w:r>
      <w:r w:rsidRPr="000C37D3">
        <w:rPr>
          <w:rFonts w:eastAsia="Calibri"/>
          <w:szCs w:val="24"/>
        </w:rPr>
        <w:t xml:space="preserve"> le niveau de réalisation en fin d’année de l’indicateur « Proportion d’emplois occupé</w:t>
      </w:r>
      <w:r w:rsidR="00DF1B68">
        <w:rPr>
          <w:rFonts w:eastAsia="Calibri"/>
          <w:szCs w:val="24"/>
        </w:rPr>
        <w:t>s</w:t>
      </w:r>
      <w:r w:rsidRPr="000C37D3">
        <w:rPr>
          <w:rFonts w:eastAsia="Calibri"/>
          <w:szCs w:val="24"/>
        </w:rPr>
        <w:t xml:space="preserve"> par les nationaux dans les mines » est de 95% sur une prévision de 100%. En termes de produits réalisés, sur la prévision de l’adoption de trois (03) textes encadrant l'emploi décent dans le secteur minier industriel, un (01) texte a été adopté en 2023. En termes de réalisation financière, le taux est ressorti à 100%</w:t>
      </w:r>
      <w:r w:rsidR="00DF1B68">
        <w:rPr>
          <w:rFonts w:eastAsia="Calibri"/>
          <w:szCs w:val="24"/>
        </w:rPr>
        <w:t>,</w:t>
      </w:r>
      <w:r w:rsidRPr="000C37D3">
        <w:rPr>
          <w:rFonts w:eastAsia="Calibri"/>
          <w:szCs w:val="24"/>
        </w:rPr>
        <w:t xml:space="preserve"> soit l’utilisation complète de l’enveloppe prévisionnelle qui est de 5 000 000 FCFA. </w:t>
      </w:r>
    </w:p>
    <w:p w14:paraId="6D98161A" w14:textId="6241025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S’agissant de l’action (</w:t>
      </w:r>
      <w:r w:rsidRPr="008139E1">
        <w:rPr>
          <w:rFonts w:eastAsia="Calibri"/>
          <w:b/>
          <w:szCs w:val="24"/>
        </w:rPr>
        <w:t>03094) « </w:t>
      </w:r>
      <w:r w:rsidR="00DF1B68">
        <w:rPr>
          <w:rFonts w:eastAsia="Calibri"/>
          <w:b/>
          <w:szCs w:val="24"/>
        </w:rPr>
        <w:t>d</w:t>
      </w:r>
      <w:r w:rsidRPr="008139E1">
        <w:rPr>
          <w:rFonts w:eastAsia="Calibri"/>
          <w:b/>
          <w:szCs w:val="24"/>
        </w:rPr>
        <w:t>éveloppement de la recherche des substances stratégiques et énergétiques »</w:t>
      </w:r>
      <w:r w:rsidRPr="000C37D3">
        <w:rPr>
          <w:rFonts w:eastAsia="Calibri"/>
          <w:szCs w:val="24"/>
        </w:rPr>
        <w:t>, en fin 2023 sur une prévision de 510 gîtes et indices minéraux mis en évidence, ce sont 600 qui l’ont été. Aussi, les niveaux de réalisation des (02) produits</w:t>
      </w:r>
      <w:r w:rsidR="00DF1B68">
        <w:rPr>
          <w:rFonts w:eastAsia="Calibri"/>
          <w:szCs w:val="24"/>
        </w:rPr>
        <w:t xml:space="preserve"> qui</w:t>
      </w:r>
      <w:r w:rsidRPr="000C37D3">
        <w:rPr>
          <w:rFonts w:eastAsia="Calibri"/>
          <w:szCs w:val="24"/>
        </w:rPr>
        <w:t xml:space="preserve"> participent à la réalisation de l’action 03094 ont été de 60% pour ce qui est de la réalisation de l’étude de faisabilité sur la prospection des hydrocarbures dans les bassins sédimentaires de l'Ouest et du Nord du pays et de 70% en ce qui concerne </w:t>
      </w:r>
      <w:r w:rsidR="00106BB2" w:rsidRPr="000C37D3">
        <w:rPr>
          <w:rFonts w:eastAsia="Calibri"/>
          <w:szCs w:val="24"/>
        </w:rPr>
        <w:t>la conduite</w:t>
      </w:r>
      <w:r w:rsidRPr="000C37D3">
        <w:rPr>
          <w:rFonts w:eastAsia="Calibri"/>
          <w:szCs w:val="24"/>
        </w:rPr>
        <w:t xml:space="preserve"> des études géophysiques, géologiques et géochimiques réalisées. En terme</w:t>
      </w:r>
      <w:r w:rsidR="00DF1B68">
        <w:rPr>
          <w:rFonts w:eastAsia="Calibri"/>
          <w:szCs w:val="24"/>
        </w:rPr>
        <w:t>s</w:t>
      </w:r>
      <w:r w:rsidRPr="000C37D3">
        <w:rPr>
          <w:rFonts w:eastAsia="Calibri"/>
          <w:szCs w:val="24"/>
        </w:rPr>
        <w:t xml:space="preserve"> financier</w:t>
      </w:r>
      <w:r w:rsidR="00DF1B68">
        <w:rPr>
          <w:rFonts w:eastAsia="Calibri"/>
          <w:szCs w:val="24"/>
        </w:rPr>
        <w:t>s</w:t>
      </w:r>
      <w:r w:rsidRPr="000C37D3">
        <w:rPr>
          <w:rFonts w:eastAsia="Calibri"/>
          <w:szCs w:val="24"/>
        </w:rPr>
        <w:t xml:space="preserve">, ce sont 510 000 000 FCFA qui ont été exécutés sur une prévision de 700 000 000 FCFA, représentant 72,85%. </w:t>
      </w:r>
    </w:p>
    <w:p w14:paraId="7E94E7B1" w14:textId="33FDF982"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Relativement à l’action </w:t>
      </w:r>
      <w:r w:rsidRPr="008139E1">
        <w:rPr>
          <w:rFonts w:eastAsia="Calibri"/>
          <w:b/>
          <w:szCs w:val="24"/>
        </w:rPr>
        <w:t>(03095) « </w:t>
      </w:r>
      <w:r w:rsidR="00DF1B68">
        <w:rPr>
          <w:rFonts w:eastAsia="Calibri"/>
          <w:b/>
          <w:szCs w:val="24"/>
        </w:rPr>
        <w:t>m</w:t>
      </w:r>
      <w:r w:rsidRPr="008139E1">
        <w:rPr>
          <w:rFonts w:eastAsia="Calibri"/>
          <w:b/>
          <w:szCs w:val="24"/>
        </w:rPr>
        <w:t>ise en place d'une raffinerie d'or »</w:t>
      </w:r>
      <w:r w:rsidRPr="000C37D3">
        <w:rPr>
          <w:rFonts w:eastAsia="Calibri"/>
          <w:szCs w:val="24"/>
        </w:rPr>
        <w:t xml:space="preserve">, elle a connu la pose de la première pierre intervenue le 23 novembre 2023 sous la présidence de </w:t>
      </w:r>
      <w:r w:rsidR="00DF1B68">
        <w:rPr>
          <w:rFonts w:eastAsia="Calibri"/>
          <w:szCs w:val="24"/>
        </w:rPr>
        <w:t>S</w:t>
      </w:r>
      <w:r w:rsidRPr="000C37D3">
        <w:rPr>
          <w:rFonts w:eastAsia="Calibri"/>
          <w:szCs w:val="24"/>
        </w:rPr>
        <w:t xml:space="preserve">on Excellence le Président du Faso. Pour booster ledit projet impulsé par le Gouvernement, en partenariat avec un promoteur privé </w:t>
      </w:r>
      <w:r w:rsidR="00DF1B68">
        <w:rPr>
          <w:rFonts w:eastAsia="Calibri"/>
          <w:szCs w:val="24"/>
        </w:rPr>
        <w:t>a</w:t>
      </w:r>
      <w:r w:rsidRPr="000C37D3">
        <w:rPr>
          <w:rFonts w:eastAsia="Calibri"/>
          <w:szCs w:val="24"/>
        </w:rPr>
        <w:t xml:space="preserve">fricain, un comité interministériel de suivi du projet a été mis en place suivi des signatures le 29 décembre 2023 d’un protocole d’accord entre l’Etat du Burkina Faso et </w:t>
      </w:r>
      <w:proofErr w:type="spellStart"/>
      <w:r w:rsidRPr="000C37D3">
        <w:rPr>
          <w:rFonts w:eastAsia="Calibri"/>
          <w:szCs w:val="24"/>
        </w:rPr>
        <w:t>Marena</w:t>
      </w:r>
      <w:proofErr w:type="spellEnd"/>
      <w:r w:rsidRPr="000C37D3">
        <w:rPr>
          <w:rFonts w:eastAsia="Calibri"/>
          <w:szCs w:val="24"/>
        </w:rPr>
        <w:t xml:space="preserve"> gold Mali et du pacte d’actionnaire entre </w:t>
      </w:r>
      <w:proofErr w:type="spellStart"/>
      <w:r w:rsidRPr="000C37D3">
        <w:rPr>
          <w:rFonts w:eastAsia="Calibri"/>
          <w:szCs w:val="24"/>
        </w:rPr>
        <w:t>Marena</w:t>
      </w:r>
      <w:proofErr w:type="spellEnd"/>
      <w:r w:rsidRPr="000C37D3">
        <w:rPr>
          <w:rFonts w:eastAsia="Calibri"/>
          <w:szCs w:val="24"/>
        </w:rPr>
        <w:t xml:space="preserve"> gold Burkina SA et la SONASP. L’action (03095) est réalisée à travers trois (03) produits dont les niveaux de de réalisation sont indiqué</w:t>
      </w:r>
      <w:r w:rsidR="00DF1B68">
        <w:rPr>
          <w:rFonts w:eastAsia="Calibri"/>
          <w:szCs w:val="24"/>
        </w:rPr>
        <w:t>s</w:t>
      </w:r>
      <w:r w:rsidRPr="000C37D3">
        <w:rPr>
          <w:rFonts w:eastAsia="Calibri"/>
          <w:szCs w:val="24"/>
        </w:rPr>
        <w:t xml:space="preserve"> dans le tableau suivant.</w:t>
      </w:r>
    </w:p>
    <w:p w14:paraId="31896212" w14:textId="0DDA70A0" w:rsidR="000C37D3" w:rsidRPr="0042784A" w:rsidRDefault="00051522" w:rsidP="008139E1">
      <w:pPr>
        <w:pStyle w:val="Lgende"/>
        <w:rPr>
          <w:color w:val="auto"/>
          <w:sz w:val="22"/>
        </w:rPr>
      </w:pPr>
      <w:bookmarkStart w:id="148" w:name="_Toc164503661"/>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74</w:t>
      </w:r>
      <w:r w:rsidRPr="0042784A">
        <w:rPr>
          <w:b/>
          <w:i w:val="0"/>
          <w:color w:val="auto"/>
          <w:sz w:val="22"/>
          <w:szCs w:val="22"/>
          <w:u w:val="single"/>
        </w:rPr>
        <w:fldChar w:fldCharType="end"/>
      </w:r>
      <w:r w:rsidRPr="0042784A">
        <w:rPr>
          <w:i w:val="0"/>
          <w:color w:val="auto"/>
          <w:sz w:val="24"/>
          <w:szCs w:val="24"/>
        </w:rPr>
        <w:t>: situation des indicateurs de produits de l’action 03095 au 31 décembre 2023</w:t>
      </w:r>
      <w:bookmarkEnd w:id="148"/>
    </w:p>
    <w:tbl>
      <w:tblPr>
        <w:tblStyle w:val="GridTable4-Accent111"/>
        <w:tblW w:w="5000" w:type="pct"/>
        <w:tblLook w:val="04A0" w:firstRow="1" w:lastRow="0" w:firstColumn="1" w:lastColumn="0" w:noHBand="0" w:noVBand="1"/>
      </w:tblPr>
      <w:tblGrid>
        <w:gridCol w:w="5097"/>
        <w:gridCol w:w="1277"/>
        <w:gridCol w:w="1275"/>
        <w:gridCol w:w="1367"/>
      </w:tblGrid>
      <w:tr w:rsidR="000C37D3" w:rsidRPr="00F175A7" w14:paraId="53F9C612"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7" w:type="pct"/>
          </w:tcPr>
          <w:p w14:paraId="7E840E3F" w14:textId="69891000" w:rsidR="000C37D3" w:rsidRPr="00F175A7" w:rsidRDefault="000C37D3" w:rsidP="00F175A7">
            <w:pPr>
              <w:spacing w:after="0" w:line="240" w:lineRule="auto"/>
              <w:rPr>
                <w:sz w:val="22"/>
              </w:rPr>
            </w:pPr>
            <w:r w:rsidRPr="00F175A7">
              <w:rPr>
                <w:sz w:val="22"/>
              </w:rPr>
              <w:t>Indicateur</w:t>
            </w:r>
            <w:r w:rsidR="00C32F9E" w:rsidRPr="00F175A7">
              <w:rPr>
                <w:sz w:val="22"/>
              </w:rPr>
              <w:t>s</w:t>
            </w:r>
          </w:p>
        </w:tc>
        <w:tc>
          <w:tcPr>
            <w:tcW w:w="708" w:type="pct"/>
          </w:tcPr>
          <w:p w14:paraId="2B23928E"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Réal. 2022</w:t>
            </w:r>
          </w:p>
        </w:tc>
        <w:tc>
          <w:tcPr>
            <w:tcW w:w="707" w:type="pct"/>
          </w:tcPr>
          <w:p w14:paraId="0EBA1B3E"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Réal. 2023</w:t>
            </w:r>
          </w:p>
        </w:tc>
        <w:tc>
          <w:tcPr>
            <w:tcW w:w="758" w:type="pct"/>
          </w:tcPr>
          <w:p w14:paraId="14B3E235" w14:textId="77777777" w:rsidR="000C37D3" w:rsidRPr="00F175A7"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Cible 2023</w:t>
            </w:r>
          </w:p>
        </w:tc>
      </w:tr>
      <w:tr w:rsidR="000C37D3" w:rsidRPr="00F175A7" w14:paraId="58E278F5"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7" w:type="pct"/>
          </w:tcPr>
          <w:p w14:paraId="303090EF" w14:textId="3159C13A" w:rsidR="000C37D3" w:rsidRPr="00F175A7" w:rsidRDefault="000C37D3" w:rsidP="00F175A7">
            <w:pPr>
              <w:spacing w:after="0" w:line="240" w:lineRule="auto"/>
              <w:rPr>
                <w:sz w:val="22"/>
              </w:rPr>
            </w:pPr>
            <w:r w:rsidRPr="00F175A7">
              <w:rPr>
                <w:sz w:val="22"/>
              </w:rPr>
              <w:t>Disponibilité des rapports d’études de faisabilité et d’étude d’impact environnemental</w:t>
            </w:r>
          </w:p>
        </w:tc>
        <w:tc>
          <w:tcPr>
            <w:tcW w:w="708" w:type="pct"/>
          </w:tcPr>
          <w:p w14:paraId="5234E5FB"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0</w:t>
            </w:r>
          </w:p>
        </w:tc>
        <w:tc>
          <w:tcPr>
            <w:tcW w:w="707" w:type="pct"/>
          </w:tcPr>
          <w:p w14:paraId="5267C11F"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2</w:t>
            </w:r>
          </w:p>
        </w:tc>
        <w:tc>
          <w:tcPr>
            <w:tcW w:w="758" w:type="pct"/>
          </w:tcPr>
          <w:p w14:paraId="7168B486"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2</w:t>
            </w:r>
          </w:p>
        </w:tc>
      </w:tr>
      <w:tr w:rsidR="000C37D3" w:rsidRPr="00F175A7" w14:paraId="4F40916F"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827" w:type="pct"/>
          </w:tcPr>
          <w:p w14:paraId="034727A6" w14:textId="77777777" w:rsidR="000C37D3" w:rsidRPr="00F175A7" w:rsidRDefault="000C37D3" w:rsidP="00F175A7">
            <w:pPr>
              <w:spacing w:after="0" w:line="240" w:lineRule="auto"/>
              <w:rPr>
                <w:sz w:val="22"/>
              </w:rPr>
            </w:pPr>
            <w:r w:rsidRPr="00F175A7">
              <w:rPr>
                <w:sz w:val="22"/>
              </w:rPr>
              <w:t xml:space="preserve">Disponibilité du terrain d’implantation de l’unité   </w:t>
            </w:r>
          </w:p>
        </w:tc>
        <w:tc>
          <w:tcPr>
            <w:tcW w:w="708" w:type="pct"/>
          </w:tcPr>
          <w:p w14:paraId="5BC8BA35"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 xml:space="preserve">0 </w:t>
            </w:r>
          </w:p>
        </w:tc>
        <w:tc>
          <w:tcPr>
            <w:tcW w:w="707" w:type="pct"/>
          </w:tcPr>
          <w:p w14:paraId="3E9C7838"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1</w:t>
            </w:r>
          </w:p>
        </w:tc>
        <w:tc>
          <w:tcPr>
            <w:tcW w:w="758" w:type="pct"/>
          </w:tcPr>
          <w:p w14:paraId="13BCDB95" w14:textId="77777777" w:rsidR="000C37D3" w:rsidRPr="00F175A7"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1</w:t>
            </w:r>
          </w:p>
        </w:tc>
      </w:tr>
      <w:tr w:rsidR="000C37D3" w:rsidRPr="00F175A7" w14:paraId="5F8B2DF4"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7" w:type="pct"/>
          </w:tcPr>
          <w:p w14:paraId="7B1832E7" w14:textId="77777777" w:rsidR="000C37D3" w:rsidRPr="00F175A7" w:rsidRDefault="000C37D3" w:rsidP="00F175A7">
            <w:pPr>
              <w:spacing w:after="0" w:line="240" w:lineRule="auto"/>
              <w:rPr>
                <w:sz w:val="22"/>
              </w:rPr>
            </w:pPr>
            <w:r w:rsidRPr="00F175A7">
              <w:rPr>
                <w:sz w:val="22"/>
              </w:rPr>
              <w:t>Raffinerie d’or construite et équipée</w:t>
            </w:r>
          </w:p>
        </w:tc>
        <w:tc>
          <w:tcPr>
            <w:tcW w:w="708" w:type="pct"/>
          </w:tcPr>
          <w:p w14:paraId="6A65B11D"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0</w:t>
            </w:r>
          </w:p>
        </w:tc>
        <w:tc>
          <w:tcPr>
            <w:tcW w:w="707" w:type="pct"/>
          </w:tcPr>
          <w:p w14:paraId="5A48A6A3"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0</w:t>
            </w:r>
          </w:p>
        </w:tc>
        <w:tc>
          <w:tcPr>
            <w:tcW w:w="758" w:type="pct"/>
          </w:tcPr>
          <w:p w14:paraId="302D93C8" w14:textId="77777777" w:rsidR="000C37D3" w:rsidRPr="00F175A7"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0</w:t>
            </w:r>
          </w:p>
        </w:tc>
      </w:tr>
    </w:tbl>
    <w:p w14:paraId="796EE2B9" w14:textId="4A37B53A" w:rsidR="000C37D3" w:rsidRPr="00106BB2" w:rsidRDefault="000C37D3" w:rsidP="000C37D3">
      <w:pPr>
        <w:rPr>
          <w:sz w:val="20"/>
          <w:szCs w:val="20"/>
        </w:rPr>
      </w:pPr>
      <w:r w:rsidRPr="00106BB2">
        <w:rPr>
          <w:b/>
          <w:bCs/>
          <w:sz w:val="20"/>
          <w:szCs w:val="20"/>
          <w:u w:val="single"/>
        </w:rPr>
        <w:t>Source</w:t>
      </w:r>
      <w:r w:rsidRPr="00106BB2">
        <w:rPr>
          <w:sz w:val="20"/>
          <w:szCs w:val="20"/>
        </w:rPr>
        <w:t xml:space="preserve"> : rapport annuel de performance 2023 du </w:t>
      </w:r>
      <w:r w:rsidR="00C32F9E">
        <w:rPr>
          <w:sz w:val="20"/>
          <w:szCs w:val="20"/>
        </w:rPr>
        <w:t>CSD-</w:t>
      </w:r>
      <w:r w:rsidRPr="00106BB2">
        <w:rPr>
          <w:sz w:val="20"/>
          <w:szCs w:val="20"/>
        </w:rPr>
        <w:t>TIA, février 2024</w:t>
      </w:r>
    </w:p>
    <w:p w14:paraId="2DFCC16E" w14:textId="68B8DA5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Sur </w:t>
      </w:r>
      <w:r w:rsidR="00102CBF">
        <w:rPr>
          <w:rFonts w:eastAsia="Calibri"/>
          <w:szCs w:val="24"/>
        </w:rPr>
        <w:t>une</w:t>
      </w:r>
      <w:r w:rsidRPr="000C37D3">
        <w:rPr>
          <w:rFonts w:eastAsia="Calibri"/>
          <w:szCs w:val="24"/>
        </w:rPr>
        <w:t xml:space="preserve"> prévision financière de 7 000 000 000 FCFA, seule l’étude de faisabilité a été exécutée à fin décembre à hauteur de 50 000 000 FCFA.</w:t>
      </w:r>
    </w:p>
    <w:p w14:paraId="549553EE" w14:textId="474BABC8"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En vue de la réalisation de l’action </w:t>
      </w:r>
      <w:r w:rsidRPr="008139E1">
        <w:rPr>
          <w:rFonts w:eastAsia="Calibri"/>
          <w:b/>
          <w:szCs w:val="24"/>
        </w:rPr>
        <w:t>(03096) « </w:t>
      </w:r>
      <w:r w:rsidR="00DF1B68">
        <w:rPr>
          <w:rFonts w:eastAsia="Calibri"/>
          <w:b/>
          <w:szCs w:val="24"/>
        </w:rPr>
        <w:t>m</w:t>
      </w:r>
      <w:r w:rsidRPr="008139E1">
        <w:rPr>
          <w:rFonts w:eastAsia="Calibri"/>
          <w:b/>
          <w:szCs w:val="24"/>
        </w:rPr>
        <w:t>ise en place d'une unité de traitement des rejets des mines »</w:t>
      </w:r>
      <w:r w:rsidR="00DF1B68">
        <w:rPr>
          <w:rFonts w:eastAsia="Calibri"/>
          <w:b/>
          <w:szCs w:val="24"/>
        </w:rPr>
        <w:t>,</w:t>
      </w:r>
      <w:r w:rsidRPr="000C37D3">
        <w:rPr>
          <w:rFonts w:eastAsia="Calibri"/>
          <w:szCs w:val="24"/>
        </w:rPr>
        <w:t xml:space="preserve"> les extrants réalisés concernent notamment l’adoption du décret portant conditions d’octroi et de renouvellement de l’agrément pour le traitement des résidus miniers au Burkina Faso comme le charbon fin, suivie de la délivrance d’un agrément à un promoteur privé burkinabè. L’unité de traitement des rejets miniers est installée et son opérationnalisation est en cours. Son objectif est de traiter le charbon fin et créer de l’emploi à quelques centaines de jeunes et de femmes. La situation d’exécution des produits attendus relatifs à l’action indique que les cibles des indicateurs des produits portant sur le « nombre d’inventaires quantitatifs des rejets des mines réalisés » et la « disponibilité du terrain pour l’implantation de l’unité » ont été entièrement réalisées. Sur </w:t>
      </w:r>
      <w:r w:rsidR="00102CBF">
        <w:rPr>
          <w:rFonts w:eastAsia="Calibri"/>
          <w:szCs w:val="24"/>
        </w:rPr>
        <w:t xml:space="preserve">une </w:t>
      </w:r>
      <w:r w:rsidRPr="000C37D3">
        <w:rPr>
          <w:rFonts w:eastAsia="Calibri"/>
          <w:szCs w:val="24"/>
        </w:rPr>
        <w:t xml:space="preserve">prévision globale de 220 000 000 FCFA, seul le produit </w:t>
      </w:r>
      <w:r w:rsidR="00102CBF">
        <w:rPr>
          <w:rFonts w:eastAsia="Calibri"/>
          <w:szCs w:val="24"/>
        </w:rPr>
        <w:t xml:space="preserve">relatif à la réalisation de </w:t>
      </w:r>
      <w:r w:rsidRPr="000C37D3">
        <w:rPr>
          <w:rFonts w:eastAsia="Calibri"/>
          <w:szCs w:val="24"/>
        </w:rPr>
        <w:t xml:space="preserve">l’inventaire quantitatif des rejets des mines a connu une </w:t>
      </w:r>
      <w:r w:rsidR="00102CBF">
        <w:rPr>
          <w:rFonts w:eastAsia="Calibri"/>
          <w:szCs w:val="24"/>
        </w:rPr>
        <w:t xml:space="preserve">exécution financière </w:t>
      </w:r>
      <w:r w:rsidRPr="000C37D3">
        <w:rPr>
          <w:rFonts w:eastAsia="Calibri"/>
          <w:szCs w:val="24"/>
        </w:rPr>
        <w:t>de 20 000 000 FCFA</w:t>
      </w:r>
      <w:r w:rsidR="00102CBF">
        <w:rPr>
          <w:rFonts w:eastAsia="Calibri"/>
          <w:szCs w:val="24"/>
        </w:rPr>
        <w:t>. La réalisation financière ne prend pas en compte la contribution du partenaire privé.</w:t>
      </w:r>
    </w:p>
    <w:p w14:paraId="7FC1A96C" w14:textId="43EF4AE0"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Pour ce qui est de l’action </w:t>
      </w:r>
      <w:r w:rsidRPr="008139E1">
        <w:rPr>
          <w:rFonts w:eastAsia="Calibri"/>
          <w:b/>
          <w:szCs w:val="24"/>
        </w:rPr>
        <w:t>03097 relative à la « </w:t>
      </w:r>
      <w:r w:rsidR="00DF1B68">
        <w:rPr>
          <w:rFonts w:eastAsia="Calibri"/>
          <w:b/>
          <w:szCs w:val="24"/>
        </w:rPr>
        <w:t>c</w:t>
      </w:r>
      <w:r w:rsidRPr="008139E1">
        <w:rPr>
          <w:rFonts w:eastAsia="Calibri"/>
          <w:b/>
          <w:szCs w:val="24"/>
        </w:rPr>
        <w:t>réation d'une unité de production industrielle d'or </w:t>
      </w:r>
      <w:r w:rsidRPr="000C37D3">
        <w:rPr>
          <w:rFonts w:eastAsia="Calibri"/>
          <w:szCs w:val="24"/>
        </w:rPr>
        <w:t>», il s’agissait, en 2023, de rendre disponible</w:t>
      </w:r>
      <w:r w:rsidR="00DF1B68">
        <w:rPr>
          <w:rFonts w:eastAsia="Calibri"/>
          <w:szCs w:val="24"/>
        </w:rPr>
        <w:t>s</w:t>
      </w:r>
      <w:r w:rsidRPr="000C37D3">
        <w:rPr>
          <w:rFonts w:eastAsia="Calibri"/>
          <w:szCs w:val="24"/>
        </w:rPr>
        <w:t xml:space="preserve"> les documents des études de faisabilité et d’impact environnemental ainsi que le site d'installation de l'unité. Au terme de l’année, aucune cible n’a été atteinte. Aussi l’enveloppe financière de 60 000 000 000 FCFA prévue à cet effet n’a pas été consommée.</w:t>
      </w:r>
    </w:p>
    <w:p w14:paraId="438D9DE1" w14:textId="4E1844F9"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Au titre de l’action </w:t>
      </w:r>
      <w:r w:rsidRPr="008139E1">
        <w:rPr>
          <w:rFonts w:eastAsia="Calibri"/>
          <w:b/>
          <w:szCs w:val="24"/>
        </w:rPr>
        <w:t>03098 « </w:t>
      </w:r>
      <w:r w:rsidR="00BB3841">
        <w:rPr>
          <w:rFonts w:eastAsia="Calibri"/>
          <w:b/>
          <w:szCs w:val="24"/>
        </w:rPr>
        <w:t>c</w:t>
      </w:r>
      <w:r w:rsidRPr="008139E1">
        <w:rPr>
          <w:rFonts w:eastAsia="Calibri"/>
          <w:b/>
          <w:szCs w:val="24"/>
        </w:rPr>
        <w:t>réation d'une unité de production semi mécanisé d'or</w:t>
      </w:r>
      <w:r w:rsidRPr="000C37D3">
        <w:rPr>
          <w:rFonts w:eastAsia="Calibri"/>
          <w:szCs w:val="24"/>
        </w:rPr>
        <w:t> », aucun extrant n’a été programmé pour 2023, de sorte que la prévision budgétaire de 1 500 000 000 FCFA n’a pas non plus été exécutée.</w:t>
      </w:r>
    </w:p>
    <w:p w14:paraId="2AEE8E24" w14:textId="77777777"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D’une manière générale dans le domaine de la promotion des mines, les difficultés rencontrées dans la mise en œuvre des actions portent entre autres sur : (i) la situation sécuritaire nationale, (ii) l’insuffisance de mobilisation des ressources financières pour la mise en place des unités industrielles.</w:t>
      </w:r>
    </w:p>
    <w:p w14:paraId="1CCFC6E8" w14:textId="794451FE"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En matière de promotion des industries culturelles touristiques et sportives compétitives et à forte valeur ajoutée</w:t>
      </w:r>
      <w:r w:rsidRPr="000C37D3">
        <w:rPr>
          <w:rFonts w:eastAsia="Calibri"/>
          <w:szCs w:val="24"/>
        </w:rPr>
        <w:t xml:space="preserve">, le PA-SD a mis l’accent sur deux (02) actions suivantes portées par le secteur de planification Culture, Tourisme, Sport et Loisir (CTSL). Il s’agit de </w:t>
      </w:r>
      <w:r w:rsidRPr="008139E1">
        <w:rPr>
          <w:rFonts w:eastAsia="Calibri"/>
          <w:b/>
          <w:szCs w:val="24"/>
        </w:rPr>
        <w:t>l’opérationnalisation de la stratégie nationale de la culture et du tourisme (03080)</w:t>
      </w:r>
      <w:r w:rsidRPr="000C37D3">
        <w:rPr>
          <w:rFonts w:eastAsia="Calibri"/>
          <w:szCs w:val="24"/>
        </w:rPr>
        <w:t xml:space="preserve"> dont les cibles d’action 2023 étaient de faire progresser de 12%, les emplois culturels et touristiques, de porter la proportion des entreprises culturelles et touristiques formelles à 13% et de tenir </w:t>
      </w:r>
      <w:r w:rsidRPr="000C37D3">
        <w:rPr>
          <w:rFonts w:eastAsia="Calibri"/>
          <w:szCs w:val="24"/>
        </w:rPr>
        <w:lastRenderedPageBreak/>
        <w:t>au moins 5</w:t>
      </w:r>
      <w:r w:rsidRPr="000C37D3">
        <w:rPr>
          <w:rFonts w:eastAsia="Calibri"/>
          <w:szCs w:val="24"/>
        </w:rPr>
        <w:footnoteReference w:id="5"/>
      </w:r>
      <w:r w:rsidRPr="000C37D3">
        <w:rPr>
          <w:rFonts w:eastAsia="Calibri"/>
          <w:szCs w:val="24"/>
        </w:rPr>
        <w:t xml:space="preserve"> manifestations culturelles et touristiques d’envergure. </w:t>
      </w:r>
      <w:r w:rsidR="00413CF3">
        <w:rPr>
          <w:rFonts w:eastAsia="Calibri"/>
          <w:szCs w:val="24"/>
        </w:rPr>
        <w:t xml:space="preserve">Quant à la deuxième action portant sur </w:t>
      </w:r>
      <w:r w:rsidRPr="008139E1">
        <w:rPr>
          <w:rFonts w:eastAsia="Calibri"/>
          <w:b/>
          <w:szCs w:val="24"/>
        </w:rPr>
        <w:t>l’amélioration de l'offre et de la qualité des infrastructures sportives (03099)</w:t>
      </w:r>
      <w:r w:rsidRPr="000C37D3">
        <w:rPr>
          <w:rFonts w:eastAsia="Calibri"/>
          <w:szCs w:val="24"/>
        </w:rPr>
        <w:t xml:space="preserve">, l’ambition était de construire ou de réhabiliter 02 nouvelles infrastructures. Au terme de l’année 2023, les cinq 05) manifestations culturelles et touristiques d'envergure ont toutes été tenues. En revanche, aucune nouvelle infrastructure sportive n’a été livrée. Le tableau ci-dessous fournit la situation d’exécution des produits attendus relevant des deux actions ci-dessus présentées. </w:t>
      </w:r>
    </w:p>
    <w:p w14:paraId="6A0E853A" w14:textId="7AB2FF2E" w:rsidR="000C37D3" w:rsidRPr="0042784A" w:rsidRDefault="00051522" w:rsidP="008139E1">
      <w:pPr>
        <w:pStyle w:val="Lgende"/>
        <w:rPr>
          <w:color w:val="auto"/>
          <w:sz w:val="22"/>
        </w:rPr>
      </w:pPr>
      <w:bookmarkStart w:id="149" w:name="_Toc164503662"/>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75</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des actions relatives aux industries culturelles, touristiques et sportives au 31 décembre 2023</w:t>
      </w:r>
      <w:bookmarkEnd w:id="149"/>
    </w:p>
    <w:tbl>
      <w:tblPr>
        <w:tblStyle w:val="GridTable4-Accent111"/>
        <w:tblW w:w="5000" w:type="pct"/>
        <w:tblLook w:val="04A0" w:firstRow="1" w:lastRow="0" w:firstColumn="1" w:lastColumn="0" w:noHBand="0" w:noVBand="1"/>
      </w:tblPr>
      <w:tblGrid>
        <w:gridCol w:w="4934"/>
        <w:gridCol w:w="1500"/>
        <w:gridCol w:w="1302"/>
        <w:gridCol w:w="1280"/>
      </w:tblGrid>
      <w:tr w:rsidR="000C37D3" w:rsidRPr="00106BB2" w14:paraId="530C664F" w14:textId="77777777" w:rsidTr="00F8185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36" w:type="pct"/>
            <w:vAlign w:val="center"/>
          </w:tcPr>
          <w:p w14:paraId="4A19DED5" w14:textId="56305B1E" w:rsidR="000C37D3" w:rsidRPr="00106BB2" w:rsidRDefault="000C37D3" w:rsidP="00F175A7">
            <w:pPr>
              <w:spacing w:after="0" w:line="240" w:lineRule="auto"/>
              <w:rPr>
                <w:sz w:val="22"/>
              </w:rPr>
            </w:pPr>
            <w:r w:rsidRPr="00106BB2">
              <w:rPr>
                <w:sz w:val="22"/>
              </w:rPr>
              <w:t>Indicateur</w:t>
            </w:r>
            <w:r w:rsidR="00AF54E8">
              <w:rPr>
                <w:sz w:val="22"/>
              </w:rPr>
              <w:t>s</w:t>
            </w:r>
          </w:p>
        </w:tc>
        <w:tc>
          <w:tcPr>
            <w:tcW w:w="832" w:type="pct"/>
            <w:vAlign w:val="center"/>
          </w:tcPr>
          <w:p w14:paraId="5D866645" w14:textId="77777777" w:rsidR="000C37D3" w:rsidRPr="00106BB2"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2022</w:t>
            </w:r>
          </w:p>
        </w:tc>
        <w:tc>
          <w:tcPr>
            <w:tcW w:w="722" w:type="pct"/>
            <w:vAlign w:val="center"/>
          </w:tcPr>
          <w:p w14:paraId="080E5D8E" w14:textId="77777777" w:rsidR="000C37D3" w:rsidRPr="00106BB2"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2023</w:t>
            </w:r>
          </w:p>
        </w:tc>
        <w:tc>
          <w:tcPr>
            <w:tcW w:w="710" w:type="pct"/>
            <w:vAlign w:val="center"/>
          </w:tcPr>
          <w:p w14:paraId="2A27C70F" w14:textId="77777777" w:rsidR="000C37D3" w:rsidRPr="00106BB2" w:rsidRDefault="000C37D3"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Cible 2023</w:t>
            </w:r>
          </w:p>
        </w:tc>
      </w:tr>
      <w:tr w:rsidR="000C37D3" w:rsidRPr="00106BB2" w14:paraId="173D1807"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vAlign w:val="center"/>
          </w:tcPr>
          <w:p w14:paraId="1DBDD911" w14:textId="77777777" w:rsidR="000C37D3" w:rsidRPr="00106BB2" w:rsidRDefault="000C37D3" w:rsidP="00F175A7">
            <w:pPr>
              <w:spacing w:after="0" w:line="240" w:lineRule="auto"/>
              <w:rPr>
                <w:sz w:val="22"/>
              </w:rPr>
            </w:pPr>
            <w:r w:rsidRPr="00106BB2">
              <w:rPr>
                <w:sz w:val="22"/>
              </w:rPr>
              <w:t>Action 03080 « opérationnalisation de la stratégie nationale de la culture et du tourisme </w:t>
            </w:r>
          </w:p>
        </w:tc>
      </w:tr>
      <w:tr w:rsidR="00106BB2" w:rsidRPr="00106BB2" w14:paraId="668E7A66" w14:textId="77777777" w:rsidTr="00F81859">
        <w:trPr>
          <w:trHeight w:val="20"/>
        </w:trPr>
        <w:tc>
          <w:tcPr>
            <w:cnfStyle w:val="001000000000" w:firstRow="0" w:lastRow="0" w:firstColumn="1" w:lastColumn="0" w:oddVBand="0" w:evenVBand="0" w:oddHBand="0" w:evenHBand="0" w:firstRowFirstColumn="0" w:firstRowLastColumn="0" w:lastRowFirstColumn="0" w:lastRowLastColumn="0"/>
            <w:tcW w:w="2736" w:type="pct"/>
            <w:vAlign w:val="center"/>
          </w:tcPr>
          <w:p w14:paraId="1DCF7686" w14:textId="77777777" w:rsidR="000C37D3" w:rsidRPr="00106BB2" w:rsidRDefault="000C37D3" w:rsidP="00F175A7">
            <w:pPr>
              <w:spacing w:after="0" w:line="240" w:lineRule="auto"/>
              <w:rPr>
                <w:sz w:val="22"/>
              </w:rPr>
            </w:pPr>
            <w:r w:rsidRPr="00106BB2">
              <w:rPr>
                <w:sz w:val="22"/>
              </w:rPr>
              <w:t xml:space="preserve">Nombre d’opérateurs culturels et touristiques (femmes/hommes) soutenus </w:t>
            </w:r>
          </w:p>
        </w:tc>
        <w:tc>
          <w:tcPr>
            <w:tcW w:w="832" w:type="pct"/>
            <w:vAlign w:val="center"/>
          </w:tcPr>
          <w:p w14:paraId="3B02AC13"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200 (dont 47 femmes)</w:t>
            </w:r>
          </w:p>
        </w:tc>
        <w:tc>
          <w:tcPr>
            <w:tcW w:w="722" w:type="pct"/>
            <w:vAlign w:val="center"/>
          </w:tcPr>
          <w:p w14:paraId="709033FC"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106BB2">
              <w:rPr>
                <w:sz w:val="22"/>
              </w:rPr>
              <w:t>33 (dont 05 femmes)</w:t>
            </w:r>
          </w:p>
        </w:tc>
        <w:tc>
          <w:tcPr>
            <w:tcW w:w="710" w:type="pct"/>
            <w:vAlign w:val="center"/>
          </w:tcPr>
          <w:p w14:paraId="672737A4"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75</w:t>
            </w:r>
          </w:p>
        </w:tc>
      </w:tr>
      <w:tr w:rsidR="00F81859" w:rsidRPr="00106BB2" w14:paraId="6AEC65E7" w14:textId="77777777" w:rsidTr="00F818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36" w:type="pct"/>
            <w:vAlign w:val="center"/>
          </w:tcPr>
          <w:p w14:paraId="02FA8382" w14:textId="1B9043AC" w:rsidR="000C37D3" w:rsidRPr="00106BB2" w:rsidRDefault="000C37D3" w:rsidP="00F175A7">
            <w:pPr>
              <w:spacing w:after="0" w:line="240" w:lineRule="auto"/>
              <w:rPr>
                <w:sz w:val="22"/>
              </w:rPr>
            </w:pPr>
            <w:r w:rsidRPr="00106BB2">
              <w:rPr>
                <w:sz w:val="22"/>
              </w:rPr>
              <w:t>Nombre d'initiatives de développement de tourisme mis</w:t>
            </w:r>
            <w:r w:rsidR="00BB3841">
              <w:rPr>
                <w:sz w:val="22"/>
              </w:rPr>
              <w:t>es</w:t>
            </w:r>
            <w:r w:rsidRPr="00106BB2">
              <w:rPr>
                <w:sz w:val="22"/>
              </w:rPr>
              <w:t xml:space="preserve"> en œuvre</w:t>
            </w:r>
          </w:p>
        </w:tc>
        <w:tc>
          <w:tcPr>
            <w:tcW w:w="832" w:type="pct"/>
            <w:vAlign w:val="center"/>
          </w:tcPr>
          <w:p w14:paraId="5F93CDA5" w14:textId="77777777" w:rsidR="000C37D3" w:rsidRPr="00106BB2"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106BB2">
              <w:rPr>
                <w:sz w:val="22"/>
              </w:rPr>
              <w:t>13</w:t>
            </w:r>
          </w:p>
        </w:tc>
        <w:tc>
          <w:tcPr>
            <w:tcW w:w="722" w:type="pct"/>
            <w:vAlign w:val="center"/>
          </w:tcPr>
          <w:p w14:paraId="44450E5B" w14:textId="77777777" w:rsidR="000C37D3" w:rsidRPr="00106BB2"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106BB2">
              <w:rPr>
                <w:sz w:val="22"/>
              </w:rPr>
              <w:t>13</w:t>
            </w:r>
          </w:p>
        </w:tc>
        <w:tc>
          <w:tcPr>
            <w:tcW w:w="710" w:type="pct"/>
            <w:vAlign w:val="center"/>
          </w:tcPr>
          <w:p w14:paraId="28449A9E" w14:textId="77777777" w:rsidR="000C37D3" w:rsidRPr="00106BB2"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106BB2">
              <w:rPr>
                <w:sz w:val="22"/>
              </w:rPr>
              <w:t>13</w:t>
            </w:r>
          </w:p>
        </w:tc>
      </w:tr>
      <w:tr w:rsidR="000C37D3" w:rsidRPr="00106BB2" w14:paraId="70B7909D" w14:textId="77777777" w:rsidTr="00F81859">
        <w:trPr>
          <w:trHeight w:val="20"/>
        </w:trPr>
        <w:tc>
          <w:tcPr>
            <w:cnfStyle w:val="001000000000" w:firstRow="0" w:lastRow="0" w:firstColumn="1" w:lastColumn="0" w:oddVBand="0" w:evenVBand="0" w:oddHBand="0" w:evenHBand="0" w:firstRowFirstColumn="0" w:firstRowLastColumn="0" w:lastRowFirstColumn="0" w:lastRowLastColumn="0"/>
            <w:tcW w:w="2736" w:type="pct"/>
            <w:vAlign w:val="center"/>
          </w:tcPr>
          <w:p w14:paraId="0A0E4C34" w14:textId="77777777" w:rsidR="000C37D3" w:rsidRPr="00106BB2" w:rsidRDefault="000C37D3" w:rsidP="00F175A7">
            <w:pPr>
              <w:spacing w:after="0" w:line="240" w:lineRule="auto"/>
              <w:rPr>
                <w:sz w:val="22"/>
              </w:rPr>
            </w:pPr>
            <w:r w:rsidRPr="00106BB2">
              <w:rPr>
                <w:sz w:val="22"/>
              </w:rPr>
              <w:t xml:space="preserve">Nombre de manifestations majeures de promotion culturelle et touristique organisées </w:t>
            </w:r>
          </w:p>
        </w:tc>
        <w:tc>
          <w:tcPr>
            <w:tcW w:w="832" w:type="pct"/>
            <w:vAlign w:val="center"/>
          </w:tcPr>
          <w:p w14:paraId="618E0EFA"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2</w:t>
            </w:r>
          </w:p>
        </w:tc>
        <w:tc>
          <w:tcPr>
            <w:tcW w:w="722" w:type="pct"/>
            <w:vAlign w:val="center"/>
          </w:tcPr>
          <w:p w14:paraId="21E16D7B"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106BB2">
              <w:rPr>
                <w:sz w:val="22"/>
              </w:rPr>
              <w:t>5</w:t>
            </w:r>
          </w:p>
        </w:tc>
        <w:tc>
          <w:tcPr>
            <w:tcW w:w="710" w:type="pct"/>
            <w:vAlign w:val="center"/>
          </w:tcPr>
          <w:p w14:paraId="6031C74C"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5</w:t>
            </w:r>
          </w:p>
        </w:tc>
      </w:tr>
      <w:tr w:rsidR="000C37D3" w:rsidRPr="00106BB2" w14:paraId="5673AC53"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vAlign w:val="center"/>
          </w:tcPr>
          <w:p w14:paraId="4D33C75A" w14:textId="77777777" w:rsidR="000C37D3" w:rsidRPr="00106BB2" w:rsidRDefault="000C37D3" w:rsidP="00F175A7">
            <w:pPr>
              <w:spacing w:after="0" w:line="240" w:lineRule="auto"/>
              <w:rPr>
                <w:sz w:val="22"/>
              </w:rPr>
            </w:pPr>
            <w:r w:rsidRPr="00106BB2">
              <w:rPr>
                <w:sz w:val="22"/>
              </w:rPr>
              <w:t>Action 03099 « Amélioration de l'offre et de la qualité des infrastructures sportives »</w:t>
            </w:r>
          </w:p>
        </w:tc>
      </w:tr>
      <w:tr w:rsidR="000C37D3" w:rsidRPr="00106BB2" w14:paraId="1EACBF5E" w14:textId="77777777" w:rsidTr="00F81859">
        <w:trPr>
          <w:trHeight w:val="20"/>
        </w:trPr>
        <w:tc>
          <w:tcPr>
            <w:cnfStyle w:val="001000000000" w:firstRow="0" w:lastRow="0" w:firstColumn="1" w:lastColumn="0" w:oddVBand="0" w:evenVBand="0" w:oddHBand="0" w:evenHBand="0" w:firstRowFirstColumn="0" w:firstRowLastColumn="0" w:lastRowFirstColumn="0" w:lastRowLastColumn="0"/>
            <w:tcW w:w="2736" w:type="pct"/>
            <w:vAlign w:val="center"/>
          </w:tcPr>
          <w:p w14:paraId="2EA6C3D2" w14:textId="59011537" w:rsidR="000C37D3" w:rsidRPr="00106BB2" w:rsidRDefault="000C37D3" w:rsidP="00F175A7">
            <w:pPr>
              <w:spacing w:after="0" w:line="240" w:lineRule="auto"/>
              <w:rPr>
                <w:sz w:val="22"/>
              </w:rPr>
            </w:pPr>
            <w:r w:rsidRPr="00106BB2">
              <w:rPr>
                <w:sz w:val="22"/>
              </w:rPr>
              <w:t>Disponibilité du stade du 4</w:t>
            </w:r>
            <w:r w:rsidR="00BB3841">
              <w:rPr>
                <w:sz w:val="22"/>
              </w:rPr>
              <w:t>-A</w:t>
            </w:r>
            <w:r w:rsidRPr="00106BB2">
              <w:rPr>
                <w:sz w:val="22"/>
              </w:rPr>
              <w:t>o</w:t>
            </w:r>
            <w:r w:rsidR="00BB3841">
              <w:rPr>
                <w:sz w:val="22"/>
              </w:rPr>
              <w:t>û</w:t>
            </w:r>
            <w:r w:rsidRPr="00106BB2">
              <w:rPr>
                <w:sz w:val="22"/>
              </w:rPr>
              <w:t>t (taux d’exécution physique)</w:t>
            </w:r>
          </w:p>
        </w:tc>
        <w:tc>
          <w:tcPr>
            <w:tcW w:w="832" w:type="pct"/>
            <w:vAlign w:val="center"/>
          </w:tcPr>
          <w:p w14:paraId="4EB316B2"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Non (57%)</w:t>
            </w:r>
          </w:p>
        </w:tc>
        <w:tc>
          <w:tcPr>
            <w:tcW w:w="722" w:type="pct"/>
            <w:vAlign w:val="center"/>
          </w:tcPr>
          <w:p w14:paraId="477A8879"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Non (79%)</w:t>
            </w:r>
          </w:p>
        </w:tc>
        <w:tc>
          <w:tcPr>
            <w:tcW w:w="710" w:type="pct"/>
            <w:vAlign w:val="center"/>
          </w:tcPr>
          <w:p w14:paraId="42D273AE" w14:textId="77777777" w:rsidR="000C37D3" w:rsidRPr="00106BB2" w:rsidRDefault="000C37D3"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106BB2">
              <w:rPr>
                <w:sz w:val="22"/>
              </w:rPr>
              <w:t>Oui</w:t>
            </w:r>
          </w:p>
        </w:tc>
      </w:tr>
      <w:tr w:rsidR="000C37D3" w:rsidRPr="00106BB2" w14:paraId="799FA7E9" w14:textId="77777777" w:rsidTr="00F81859">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736" w:type="pct"/>
            <w:vAlign w:val="center"/>
          </w:tcPr>
          <w:p w14:paraId="643634DD" w14:textId="77777777" w:rsidR="000C37D3" w:rsidRPr="00106BB2" w:rsidRDefault="000C37D3" w:rsidP="00F175A7">
            <w:pPr>
              <w:spacing w:after="0" w:line="240" w:lineRule="auto"/>
              <w:rPr>
                <w:sz w:val="22"/>
              </w:rPr>
            </w:pPr>
            <w:r w:rsidRPr="00106BB2">
              <w:rPr>
                <w:sz w:val="22"/>
              </w:rPr>
              <w:t>Nombre d’infrastructures de sports construites/normalisées</w:t>
            </w:r>
          </w:p>
        </w:tc>
        <w:tc>
          <w:tcPr>
            <w:tcW w:w="832" w:type="pct"/>
            <w:vAlign w:val="center"/>
          </w:tcPr>
          <w:p w14:paraId="0E96F993" w14:textId="77777777" w:rsidR="000C37D3" w:rsidRPr="00106BB2"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106BB2">
              <w:rPr>
                <w:sz w:val="22"/>
              </w:rPr>
              <w:t>2</w:t>
            </w:r>
          </w:p>
        </w:tc>
        <w:tc>
          <w:tcPr>
            <w:tcW w:w="722" w:type="pct"/>
            <w:vAlign w:val="center"/>
          </w:tcPr>
          <w:p w14:paraId="50F13679" w14:textId="77777777" w:rsidR="000C37D3" w:rsidRPr="00106BB2"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highlight w:val="yellow"/>
              </w:rPr>
            </w:pPr>
            <w:r w:rsidRPr="00106BB2">
              <w:rPr>
                <w:sz w:val="22"/>
              </w:rPr>
              <w:t>0</w:t>
            </w:r>
          </w:p>
        </w:tc>
        <w:tc>
          <w:tcPr>
            <w:tcW w:w="710" w:type="pct"/>
            <w:vAlign w:val="center"/>
          </w:tcPr>
          <w:p w14:paraId="50C39107" w14:textId="77777777" w:rsidR="000C37D3" w:rsidRPr="00106BB2" w:rsidRDefault="000C37D3"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106BB2">
              <w:rPr>
                <w:sz w:val="22"/>
              </w:rPr>
              <w:t>1</w:t>
            </w:r>
          </w:p>
        </w:tc>
      </w:tr>
    </w:tbl>
    <w:p w14:paraId="7CF984D6" w14:textId="4B78239F" w:rsidR="000C37D3" w:rsidRPr="00106BB2" w:rsidRDefault="000C37D3" w:rsidP="000C37D3">
      <w:pPr>
        <w:rPr>
          <w:sz w:val="20"/>
          <w:szCs w:val="20"/>
        </w:rPr>
      </w:pPr>
      <w:r w:rsidRPr="00106BB2">
        <w:rPr>
          <w:b/>
          <w:bCs/>
          <w:sz w:val="20"/>
          <w:szCs w:val="20"/>
          <w:u w:val="single"/>
        </w:rPr>
        <w:t>Source</w:t>
      </w:r>
      <w:r w:rsidRPr="00106BB2">
        <w:rPr>
          <w:sz w:val="20"/>
          <w:szCs w:val="20"/>
        </w:rPr>
        <w:t xml:space="preserve"> : rapport annuel de performance 2023 du </w:t>
      </w:r>
      <w:r w:rsidR="006A343F">
        <w:rPr>
          <w:sz w:val="20"/>
          <w:szCs w:val="20"/>
        </w:rPr>
        <w:t>CSD-</w:t>
      </w:r>
      <w:r w:rsidRPr="00106BB2">
        <w:rPr>
          <w:sz w:val="20"/>
          <w:szCs w:val="20"/>
        </w:rPr>
        <w:t>CTSL, février 2024</w:t>
      </w:r>
    </w:p>
    <w:p w14:paraId="0B69F4DD" w14:textId="1997B1A1"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L’analyse du tableau ci-dessus montre que les cibles annuelles des produits de l’action 03080 sont atteintes pour deux (02) indicateurs de produit, à savoir le nombre d'initiatives de développement de tourisme mises en œuvre et le nombre de manifestations majeures de promotion culturelle et touristique organisées. En revanche, la cible en termes de </w:t>
      </w:r>
      <w:r w:rsidR="00BB3841">
        <w:rPr>
          <w:rFonts w:eastAsia="Calibri"/>
          <w:szCs w:val="24"/>
        </w:rPr>
        <w:t>n</w:t>
      </w:r>
      <w:r w:rsidRPr="000C37D3">
        <w:rPr>
          <w:rFonts w:eastAsia="Calibri"/>
          <w:szCs w:val="24"/>
        </w:rPr>
        <w:t xml:space="preserve">ombre d’opérateurs culturels et touristiques à soutenir par le FDCT n’a pas été atteinte. Ce résultat s’explique par les régulations budgétaires intervenues au cours de l’année. </w:t>
      </w:r>
    </w:p>
    <w:p w14:paraId="7AE38425" w14:textId="15ADFE42"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Au titre de l’action 03099 relative à l’amélioration de l'offre et de la qualité des infrastructures sportives, l’exécution du produit relatif à la réhabilitation et la mise aux normes du stade du 4</w:t>
      </w:r>
      <w:r w:rsidR="00BB3841">
        <w:rPr>
          <w:rFonts w:eastAsia="Calibri"/>
          <w:szCs w:val="24"/>
        </w:rPr>
        <w:t>-A</w:t>
      </w:r>
      <w:r w:rsidRPr="000C37D3">
        <w:rPr>
          <w:rFonts w:eastAsia="Calibri"/>
          <w:szCs w:val="24"/>
        </w:rPr>
        <w:t xml:space="preserve">oût affiche un taux d’exécution physique des travaux </w:t>
      </w:r>
      <w:r w:rsidR="00BB3841">
        <w:rPr>
          <w:rFonts w:eastAsia="Calibri"/>
          <w:szCs w:val="24"/>
        </w:rPr>
        <w:t xml:space="preserve">de </w:t>
      </w:r>
      <w:r w:rsidRPr="000C37D3">
        <w:rPr>
          <w:rFonts w:eastAsia="Calibri"/>
          <w:szCs w:val="24"/>
        </w:rPr>
        <w:t xml:space="preserve">79% au 31 décembre 2023 contre 57% en 2022, en raison de l’installation des projecteurs et </w:t>
      </w:r>
      <w:r w:rsidRPr="000C37D3">
        <w:rPr>
          <w:rFonts w:eastAsia="Calibri"/>
          <w:szCs w:val="24"/>
        </w:rPr>
        <w:lastRenderedPageBreak/>
        <w:t xml:space="preserve">l’implantation des chaises. En ce qui concerne les investissements infrastructurels dans les régions, les travaux de réalisation de la seule infrastructure inscrite dans le PA-SD, à savoir le stade provincial de </w:t>
      </w:r>
      <w:proofErr w:type="spellStart"/>
      <w:r w:rsidRPr="000C37D3">
        <w:rPr>
          <w:rFonts w:eastAsia="Calibri"/>
          <w:szCs w:val="24"/>
        </w:rPr>
        <w:t>Zorgho</w:t>
      </w:r>
      <w:proofErr w:type="spellEnd"/>
      <w:r w:rsidRPr="000C37D3">
        <w:rPr>
          <w:rFonts w:eastAsia="Calibri"/>
          <w:szCs w:val="24"/>
        </w:rPr>
        <w:t>, n’ont pas connu de progression en raison de la suspension des festivités du 11</w:t>
      </w:r>
      <w:r w:rsidR="00BB3841">
        <w:rPr>
          <w:rFonts w:eastAsia="Calibri"/>
          <w:szCs w:val="24"/>
        </w:rPr>
        <w:t>-D</w:t>
      </w:r>
      <w:r w:rsidRPr="000C37D3">
        <w:rPr>
          <w:rFonts w:eastAsia="Calibri"/>
          <w:szCs w:val="24"/>
        </w:rPr>
        <w:t xml:space="preserve">écembre. Cependant, les efforts consentis ont permis de réaliser quatre (04) plateaux omnisports respectivement à Koudougou, </w:t>
      </w:r>
      <w:proofErr w:type="spellStart"/>
      <w:r w:rsidRPr="000C37D3">
        <w:rPr>
          <w:rFonts w:eastAsia="Calibri"/>
          <w:szCs w:val="24"/>
        </w:rPr>
        <w:t>Boussé</w:t>
      </w:r>
      <w:proofErr w:type="spellEnd"/>
      <w:r w:rsidRPr="000C37D3">
        <w:rPr>
          <w:rFonts w:eastAsia="Calibri"/>
          <w:szCs w:val="24"/>
        </w:rPr>
        <w:t xml:space="preserve">, </w:t>
      </w:r>
      <w:proofErr w:type="spellStart"/>
      <w:r w:rsidRPr="000C37D3">
        <w:rPr>
          <w:rFonts w:eastAsia="Calibri"/>
          <w:szCs w:val="24"/>
        </w:rPr>
        <w:t>Ziniaré</w:t>
      </w:r>
      <w:proofErr w:type="spellEnd"/>
      <w:r w:rsidRPr="000C37D3">
        <w:rPr>
          <w:rFonts w:eastAsia="Calibri"/>
          <w:szCs w:val="24"/>
        </w:rPr>
        <w:t xml:space="preserve"> et </w:t>
      </w:r>
      <w:proofErr w:type="spellStart"/>
      <w:r w:rsidRPr="000C37D3">
        <w:rPr>
          <w:rFonts w:eastAsia="Calibri"/>
          <w:szCs w:val="24"/>
        </w:rPr>
        <w:t>Zorgho</w:t>
      </w:r>
      <w:proofErr w:type="spellEnd"/>
      <w:r w:rsidRPr="000C37D3">
        <w:rPr>
          <w:rFonts w:eastAsia="Calibri"/>
          <w:szCs w:val="24"/>
        </w:rPr>
        <w:t xml:space="preserve">. </w:t>
      </w:r>
    </w:p>
    <w:p w14:paraId="055172AF" w14:textId="4EFFD44F" w:rsidR="000C37D3"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S’agissant de l’exécution financière des actions, les ressources prévues pour l’action 03080 ont été exécutées à hauteur de 1,3 milliard FCFA sur une prévision de 2,26 milliards FCFA, soit un taux d’exécution de 57,3%. Quant à l’action 03099, le taux d’exécution financière s’établit à 46,04%, soit 3,5 milliards FCFA exécutés sur une prévision de 7,6 milliards FCFA.</w:t>
      </w:r>
    </w:p>
    <w:p w14:paraId="38F48B69" w14:textId="08FC5623" w:rsidR="00C93C67" w:rsidRPr="000C37D3" w:rsidRDefault="000C37D3" w:rsidP="00F175A7">
      <w:pPr>
        <w:numPr>
          <w:ilvl w:val="0"/>
          <w:numId w:val="8"/>
        </w:numPr>
        <w:shd w:val="clear" w:color="auto" w:fill="FFFFFF"/>
        <w:spacing w:before="120" w:after="120" w:line="240" w:lineRule="auto"/>
        <w:ind w:left="0"/>
        <w:rPr>
          <w:rFonts w:eastAsia="Calibri"/>
          <w:szCs w:val="24"/>
        </w:rPr>
      </w:pPr>
      <w:r w:rsidRPr="000C37D3">
        <w:rPr>
          <w:rFonts w:eastAsia="Calibri"/>
          <w:szCs w:val="24"/>
        </w:rPr>
        <w:t xml:space="preserve">La contribution du secteur Gouvernance économique à la réalisation de cet objectif se fait à travers l’augmentation du taux </w:t>
      </w:r>
      <w:proofErr w:type="gramStart"/>
      <w:r w:rsidRPr="000C37D3">
        <w:rPr>
          <w:rFonts w:eastAsia="Calibri"/>
          <w:szCs w:val="24"/>
        </w:rPr>
        <w:t>des royalties matérialisée</w:t>
      </w:r>
      <w:proofErr w:type="gramEnd"/>
      <w:r w:rsidRPr="000C37D3">
        <w:rPr>
          <w:rFonts w:eastAsia="Calibri"/>
          <w:szCs w:val="24"/>
        </w:rPr>
        <w:t xml:space="preserve"> par la relecture du décret sur les taxes et redevances minières (03087). A fin juin 2023, le décret n’est pas disponible. La réalisation du produit est sans incidence financière.</w:t>
      </w:r>
    </w:p>
    <w:p w14:paraId="0F8409B3" w14:textId="77777777" w:rsidR="00C93C67" w:rsidRPr="0080326C" w:rsidRDefault="00C93C67" w:rsidP="008279B8">
      <w:pPr>
        <w:shd w:val="clear" w:color="auto" w:fill="FFFFFF"/>
        <w:spacing w:before="120" w:after="120" w:line="240" w:lineRule="auto"/>
        <w:rPr>
          <w:szCs w:val="24"/>
        </w:rPr>
      </w:pPr>
    </w:p>
    <w:p w14:paraId="4770DB24" w14:textId="49069C79" w:rsidR="00036AFD" w:rsidRPr="00036AFD" w:rsidRDefault="00EA252D" w:rsidP="00036AFD">
      <w:pPr>
        <w:pStyle w:val="PAT4"/>
      </w:pPr>
      <w:bookmarkStart w:id="150" w:name="_Toc163141239"/>
      <w:r w:rsidRPr="008D2129">
        <w:t>Objectif stratégique 4.3 : Promouvoir le commerce et l'expansion des industries de services à forte valeur ajoutée et créatrices d'emplois décents</w:t>
      </w:r>
      <w:bookmarkEnd w:id="150"/>
    </w:p>
    <w:p w14:paraId="1F88D0F6" w14:textId="07BBD843"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La promotion du commerce et l’expansion des industries de service</w:t>
      </w:r>
      <w:r w:rsidR="00BB3841">
        <w:rPr>
          <w:rFonts w:eastAsia="Calibri"/>
          <w:szCs w:val="24"/>
        </w:rPr>
        <w:t>s</w:t>
      </w:r>
      <w:r w:rsidRPr="00036AFD">
        <w:rPr>
          <w:rFonts w:eastAsia="Calibri"/>
          <w:szCs w:val="24"/>
        </w:rPr>
        <w:t xml:space="preserve"> à forte valeur ajoutée passe</w:t>
      </w:r>
      <w:r w:rsidR="00BB3841">
        <w:rPr>
          <w:rFonts w:eastAsia="Calibri"/>
          <w:szCs w:val="24"/>
        </w:rPr>
        <w:t>nt</w:t>
      </w:r>
      <w:r w:rsidRPr="00036AFD">
        <w:rPr>
          <w:rFonts w:eastAsia="Calibri"/>
          <w:szCs w:val="24"/>
        </w:rPr>
        <w:t xml:space="preserve"> par la réalisation de cinq (05) actions dont une action du PA-SD du secteur CSM. Ces actions couvrent les domaines suivants : les services de commerce, des postes et télécommunications, de communication, de transport et des services financiers. </w:t>
      </w:r>
    </w:p>
    <w:p w14:paraId="5EC51EBE" w14:textId="5AFB5850"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 xml:space="preserve">En matière de développement des services de commerce, l’exécution de l’action 03100 « promotion du commerce intérieur » a permis de contenir la part des produits alimentaires de consommation dans les importations de biens à 12% pour une cible à 12,4%. En revanche, le taux de couverture des importations par les exportations qui atteignait 80,7% en 2022 n’a été que de 75,8% pour une cible de 84. </w:t>
      </w:r>
    </w:p>
    <w:p w14:paraId="4B3953C3" w14:textId="251A159C" w:rsid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Le niveau atteint par ces indicateurs est rendu possible grâce à la mise en œuvre des produits dont la situation est consignée dans le tableau ci-dessous.</w:t>
      </w:r>
    </w:p>
    <w:p w14:paraId="74BBD18B" w14:textId="3810DDF3" w:rsidR="008008C3" w:rsidRDefault="008008C3">
      <w:pPr>
        <w:spacing w:after="0" w:line="240" w:lineRule="auto"/>
        <w:jc w:val="left"/>
        <w:rPr>
          <w:rFonts w:eastAsia="Calibri"/>
          <w:szCs w:val="24"/>
        </w:rPr>
      </w:pPr>
      <w:r>
        <w:rPr>
          <w:rFonts w:eastAsia="Calibri"/>
          <w:szCs w:val="24"/>
        </w:rPr>
        <w:br w:type="page"/>
      </w:r>
    </w:p>
    <w:p w14:paraId="714F3987" w14:textId="6DFC7E0C" w:rsidR="00036AFD" w:rsidRPr="0042784A" w:rsidRDefault="00051522" w:rsidP="008139E1">
      <w:pPr>
        <w:pStyle w:val="Lgende"/>
        <w:rPr>
          <w:color w:val="auto"/>
          <w:sz w:val="22"/>
        </w:rPr>
      </w:pPr>
      <w:bookmarkStart w:id="151" w:name="_Toc164503663"/>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76</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 l’action 03100 au 31 décembre 2023</w:t>
      </w:r>
      <w:bookmarkEnd w:id="151"/>
    </w:p>
    <w:tbl>
      <w:tblPr>
        <w:tblStyle w:val="GridTable4-Accent111"/>
        <w:tblW w:w="5000" w:type="pct"/>
        <w:tblLook w:val="04A0" w:firstRow="1" w:lastRow="0" w:firstColumn="1" w:lastColumn="0" w:noHBand="0" w:noVBand="1"/>
      </w:tblPr>
      <w:tblGrid>
        <w:gridCol w:w="5395"/>
        <w:gridCol w:w="1203"/>
        <w:gridCol w:w="1208"/>
        <w:gridCol w:w="1210"/>
      </w:tblGrid>
      <w:tr w:rsidR="00036AFD" w:rsidRPr="00106BB2" w14:paraId="43879D47"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shd w:val="clear" w:color="auto" w:fill="4472C4" w:themeFill="accent1"/>
          </w:tcPr>
          <w:p w14:paraId="075EDA25" w14:textId="7777CED3" w:rsidR="00036AFD" w:rsidRPr="00106BB2" w:rsidRDefault="00036AFD" w:rsidP="00E52836">
            <w:pPr>
              <w:keepNext/>
              <w:keepLines/>
              <w:spacing w:after="0" w:line="240" w:lineRule="auto"/>
              <w:rPr>
                <w:sz w:val="22"/>
              </w:rPr>
            </w:pPr>
            <w:r w:rsidRPr="00106BB2">
              <w:rPr>
                <w:sz w:val="22"/>
              </w:rPr>
              <w:t>Indicateur</w:t>
            </w:r>
            <w:r w:rsidR="006A343F">
              <w:rPr>
                <w:sz w:val="22"/>
              </w:rPr>
              <w:t>s</w:t>
            </w:r>
          </w:p>
        </w:tc>
        <w:tc>
          <w:tcPr>
            <w:tcW w:w="667" w:type="pct"/>
            <w:shd w:val="clear" w:color="auto" w:fill="4472C4" w:themeFill="accent1"/>
          </w:tcPr>
          <w:p w14:paraId="5CE378B5"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2022</w:t>
            </w:r>
          </w:p>
        </w:tc>
        <w:tc>
          <w:tcPr>
            <w:tcW w:w="670" w:type="pct"/>
            <w:shd w:val="clear" w:color="auto" w:fill="4472C4" w:themeFill="accent1"/>
          </w:tcPr>
          <w:p w14:paraId="1D9AAB98"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2023</w:t>
            </w:r>
          </w:p>
        </w:tc>
        <w:tc>
          <w:tcPr>
            <w:tcW w:w="671" w:type="pct"/>
            <w:shd w:val="clear" w:color="auto" w:fill="4472C4" w:themeFill="accent1"/>
          </w:tcPr>
          <w:p w14:paraId="51B5B904"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Cible 2023</w:t>
            </w:r>
          </w:p>
        </w:tc>
      </w:tr>
      <w:tr w:rsidR="00036AFD" w:rsidRPr="00106BB2" w14:paraId="5CCB6B31"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44A989EE" w14:textId="643B43B6" w:rsidR="00036AFD" w:rsidRPr="00106BB2" w:rsidRDefault="00036AFD" w:rsidP="00E52836">
            <w:pPr>
              <w:keepNext/>
              <w:keepLines/>
              <w:spacing w:after="0" w:line="240" w:lineRule="auto"/>
              <w:rPr>
                <w:sz w:val="22"/>
              </w:rPr>
            </w:pPr>
            <w:r w:rsidRPr="00106BB2">
              <w:rPr>
                <w:sz w:val="22"/>
              </w:rPr>
              <w:t>Nombre d’entreprises du e-commerce certifié</w:t>
            </w:r>
            <w:r w:rsidR="00BB3841">
              <w:rPr>
                <w:sz w:val="22"/>
              </w:rPr>
              <w:t>e</w:t>
            </w:r>
            <w:r w:rsidRPr="00106BB2">
              <w:rPr>
                <w:sz w:val="22"/>
              </w:rPr>
              <w:t>s</w:t>
            </w:r>
          </w:p>
        </w:tc>
        <w:tc>
          <w:tcPr>
            <w:tcW w:w="667" w:type="pct"/>
          </w:tcPr>
          <w:p w14:paraId="371D40D5"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w:t>
            </w:r>
          </w:p>
        </w:tc>
        <w:tc>
          <w:tcPr>
            <w:tcW w:w="670" w:type="pct"/>
          </w:tcPr>
          <w:p w14:paraId="784D0F41"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0</w:t>
            </w:r>
          </w:p>
        </w:tc>
        <w:tc>
          <w:tcPr>
            <w:tcW w:w="671" w:type="pct"/>
          </w:tcPr>
          <w:p w14:paraId="3F4F35B0"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3</w:t>
            </w:r>
          </w:p>
        </w:tc>
      </w:tr>
      <w:tr w:rsidR="00036AFD" w:rsidRPr="00106BB2" w14:paraId="5E84DF24" w14:textId="77777777" w:rsidTr="00106BB2">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02DC10DE" w14:textId="33359A4B" w:rsidR="00036AFD" w:rsidRPr="00106BB2" w:rsidRDefault="00036AFD" w:rsidP="00E52836">
            <w:pPr>
              <w:keepNext/>
              <w:keepLines/>
              <w:spacing w:after="0" w:line="240" w:lineRule="auto"/>
              <w:rPr>
                <w:sz w:val="22"/>
              </w:rPr>
            </w:pPr>
            <w:r w:rsidRPr="00106BB2">
              <w:rPr>
                <w:sz w:val="22"/>
              </w:rPr>
              <w:t xml:space="preserve">Nombre de projets montés et financés dans le cadre de la mise en œuvre du </w:t>
            </w:r>
            <w:r w:rsidRPr="00106BB2">
              <w:rPr>
                <w:color w:val="000000"/>
                <w:sz w:val="22"/>
              </w:rPr>
              <w:t xml:space="preserve">programme Cadre </w:t>
            </w:r>
            <w:r w:rsidR="00BB3841">
              <w:rPr>
                <w:color w:val="000000"/>
                <w:sz w:val="22"/>
              </w:rPr>
              <w:t>i</w:t>
            </w:r>
            <w:r w:rsidRPr="00106BB2">
              <w:rPr>
                <w:color w:val="000000"/>
                <w:sz w:val="22"/>
              </w:rPr>
              <w:t xml:space="preserve">ntégré </w:t>
            </w:r>
            <w:r w:rsidR="00BB3841">
              <w:rPr>
                <w:color w:val="000000"/>
                <w:sz w:val="22"/>
              </w:rPr>
              <w:t>r</w:t>
            </w:r>
            <w:r w:rsidRPr="00106BB2">
              <w:rPr>
                <w:color w:val="000000"/>
                <w:sz w:val="22"/>
              </w:rPr>
              <w:t>enforcé</w:t>
            </w:r>
          </w:p>
        </w:tc>
        <w:tc>
          <w:tcPr>
            <w:tcW w:w="667" w:type="pct"/>
          </w:tcPr>
          <w:p w14:paraId="4F7FD4DD"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w:t>
            </w:r>
          </w:p>
        </w:tc>
        <w:tc>
          <w:tcPr>
            <w:tcW w:w="670" w:type="pct"/>
          </w:tcPr>
          <w:p w14:paraId="7615EF50"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w:t>
            </w:r>
          </w:p>
        </w:tc>
        <w:tc>
          <w:tcPr>
            <w:tcW w:w="671" w:type="pct"/>
          </w:tcPr>
          <w:p w14:paraId="428AB66A"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w:t>
            </w:r>
          </w:p>
        </w:tc>
      </w:tr>
      <w:tr w:rsidR="00106BB2" w:rsidRPr="00106BB2" w14:paraId="09C22F7D"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2A7151BB" w14:textId="2A6CF621" w:rsidR="00036AFD" w:rsidRPr="00106BB2" w:rsidRDefault="00036AFD" w:rsidP="00E52836">
            <w:pPr>
              <w:keepNext/>
              <w:keepLines/>
              <w:spacing w:after="0" w:line="240" w:lineRule="auto"/>
              <w:rPr>
                <w:sz w:val="22"/>
              </w:rPr>
            </w:pPr>
            <w:r w:rsidRPr="00106BB2">
              <w:rPr>
                <w:sz w:val="22"/>
              </w:rPr>
              <w:t>Coût (en milliards FCFA) des achats publics des produits locaux</w:t>
            </w:r>
          </w:p>
        </w:tc>
        <w:tc>
          <w:tcPr>
            <w:tcW w:w="667" w:type="pct"/>
          </w:tcPr>
          <w:p w14:paraId="58592AC1"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35,440</w:t>
            </w:r>
          </w:p>
        </w:tc>
        <w:tc>
          <w:tcPr>
            <w:tcW w:w="670" w:type="pct"/>
          </w:tcPr>
          <w:p w14:paraId="6FCA1450" w14:textId="181456B2" w:rsidR="00036AFD" w:rsidRPr="00106BB2" w:rsidRDefault="0020598A" w:rsidP="0020598A">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90,493</w:t>
            </w:r>
          </w:p>
        </w:tc>
        <w:tc>
          <w:tcPr>
            <w:tcW w:w="671" w:type="pct"/>
          </w:tcPr>
          <w:p w14:paraId="367A37FA"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30</w:t>
            </w:r>
          </w:p>
        </w:tc>
      </w:tr>
      <w:tr w:rsidR="00036AFD" w:rsidRPr="00106BB2" w14:paraId="03BE4189" w14:textId="77777777" w:rsidTr="00106BB2">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79A494B1" w14:textId="77777777" w:rsidR="00036AFD" w:rsidRPr="00106BB2" w:rsidRDefault="00036AFD" w:rsidP="00E52836">
            <w:pPr>
              <w:keepNext/>
              <w:keepLines/>
              <w:spacing w:after="0" w:line="240" w:lineRule="auto"/>
              <w:rPr>
                <w:sz w:val="22"/>
              </w:rPr>
            </w:pPr>
            <w:r w:rsidRPr="00106BB2">
              <w:rPr>
                <w:sz w:val="22"/>
              </w:rPr>
              <w:t xml:space="preserve">Nombre d’acteurs économiques informés et sensibilisés dans le cadre de l’organisation des marchés des filières agricoles </w:t>
            </w:r>
          </w:p>
        </w:tc>
        <w:tc>
          <w:tcPr>
            <w:tcW w:w="667" w:type="pct"/>
          </w:tcPr>
          <w:p w14:paraId="39E932AD"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12 443</w:t>
            </w:r>
          </w:p>
        </w:tc>
        <w:tc>
          <w:tcPr>
            <w:tcW w:w="670" w:type="pct"/>
          </w:tcPr>
          <w:p w14:paraId="4249F1BC"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1 277</w:t>
            </w:r>
          </w:p>
        </w:tc>
        <w:tc>
          <w:tcPr>
            <w:tcW w:w="671" w:type="pct"/>
          </w:tcPr>
          <w:p w14:paraId="29CB9FCD"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12 500</w:t>
            </w:r>
          </w:p>
        </w:tc>
      </w:tr>
      <w:tr w:rsidR="00036AFD" w:rsidRPr="00106BB2" w14:paraId="3E22B0C4"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34E4D1E1" w14:textId="312B2362" w:rsidR="00036AFD" w:rsidRPr="00106BB2" w:rsidRDefault="00036AFD" w:rsidP="00E52836">
            <w:pPr>
              <w:keepNext/>
              <w:keepLines/>
              <w:spacing w:after="0" w:line="240" w:lineRule="auto"/>
              <w:rPr>
                <w:sz w:val="22"/>
              </w:rPr>
            </w:pPr>
            <w:r w:rsidRPr="00106BB2">
              <w:rPr>
                <w:sz w:val="22"/>
              </w:rPr>
              <w:t>Nombre de commerçants contrôlés sur la qualité, les prix des produits de grande consommation et la lutte contre la fraude</w:t>
            </w:r>
          </w:p>
        </w:tc>
        <w:tc>
          <w:tcPr>
            <w:tcW w:w="667" w:type="pct"/>
          </w:tcPr>
          <w:p w14:paraId="4954658D"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13 282</w:t>
            </w:r>
          </w:p>
        </w:tc>
        <w:tc>
          <w:tcPr>
            <w:tcW w:w="670" w:type="pct"/>
          </w:tcPr>
          <w:p w14:paraId="45C8B0A2"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15 313</w:t>
            </w:r>
          </w:p>
        </w:tc>
        <w:tc>
          <w:tcPr>
            <w:tcW w:w="671" w:type="pct"/>
          </w:tcPr>
          <w:p w14:paraId="3F2D0B99"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14 000</w:t>
            </w:r>
          </w:p>
        </w:tc>
      </w:tr>
    </w:tbl>
    <w:p w14:paraId="53E43448" w14:textId="4A4665B8" w:rsidR="00036AFD" w:rsidRPr="00F81859" w:rsidRDefault="00036AFD" w:rsidP="00036AFD">
      <w:pPr>
        <w:spacing w:line="240" w:lineRule="auto"/>
        <w:rPr>
          <w:sz w:val="20"/>
          <w:szCs w:val="20"/>
        </w:rPr>
      </w:pPr>
      <w:r w:rsidRPr="00F81859">
        <w:rPr>
          <w:b/>
          <w:sz w:val="20"/>
          <w:szCs w:val="20"/>
          <w:u w:val="single"/>
        </w:rPr>
        <w:t>Source</w:t>
      </w:r>
      <w:r w:rsidRPr="00F81859">
        <w:rPr>
          <w:sz w:val="20"/>
          <w:szCs w:val="20"/>
        </w:rPr>
        <w:t xml:space="preserve"> : rapport annuel de performance 2023 du </w:t>
      </w:r>
      <w:r w:rsidR="006A343F">
        <w:rPr>
          <w:sz w:val="20"/>
          <w:szCs w:val="20"/>
        </w:rPr>
        <w:t>CSD-</w:t>
      </w:r>
      <w:r w:rsidRPr="00F81859">
        <w:rPr>
          <w:sz w:val="20"/>
          <w:szCs w:val="20"/>
        </w:rPr>
        <w:t>CSM, février 2024</w:t>
      </w:r>
    </w:p>
    <w:p w14:paraId="74B68944" w14:textId="67E467ED"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L’analyse du tableau montre que si les acquis sont appréciables au niveau de l’achat des produits locaux par l’administration et de répression du faux et de la fraude économique,</w:t>
      </w:r>
      <w:r w:rsidR="0020598A">
        <w:rPr>
          <w:rFonts w:eastAsia="Calibri"/>
          <w:szCs w:val="24"/>
        </w:rPr>
        <w:t xml:space="preserve"> </w:t>
      </w:r>
      <w:r w:rsidR="0020598A" w:rsidRPr="00765783">
        <w:rPr>
          <w:rFonts w:eastAsia="Calibri"/>
          <w:szCs w:val="24"/>
        </w:rPr>
        <w:t>le n</w:t>
      </w:r>
      <w:r w:rsidR="0020598A" w:rsidRPr="008139E1">
        <w:rPr>
          <w:rFonts w:eastAsia="Calibri"/>
          <w:szCs w:val="24"/>
        </w:rPr>
        <w:t xml:space="preserve">ombre d’acteurs économiques informés et sensibilisés dans le cadre de l’organisation des marchés des filières agricoles s’établit largement en dessous de l’objectif annuel en raison des contraintes financières. En outre, </w:t>
      </w:r>
      <w:r w:rsidRPr="00036AFD">
        <w:rPr>
          <w:rFonts w:eastAsia="Calibri"/>
          <w:szCs w:val="24"/>
        </w:rPr>
        <w:t>des efforts restent à fournir en vue d’accroître</w:t>
      </w:r>
      <w:r w:rsidR="0020598A">
        <w:rPr>
          <w:rFonts w:eastAsia="Calibri"/>
          <w:szCs w:val="24"/>
        </w:rPr>
        <w:t xml:space="preserve"> le </w:t>
      </w:r>
      <w:r w:rsidRPr="00036AFD">
        <w:rPr>
          <w:rFonts w:eastAsia="Calibri"/>
          <w:szCs w:val="24"/>
        </w:rPr>
        <w:t>nombre d’entreprises du e-commerce, certifiées.</w:t>
      </w:r>
    </w:p>
    <w:p w14:paraId="19BCF11D" w14:textId="5EF946CF" w:rsidR="00036AFD" w:rsidRPr="00036AFD" w:rsidRDefault="00BB3841" w:rsidP="00F175A7">
      <w:pPr>
        <w:numPr>
          <w:ilvl w:val="0"/>
          <w:numId w:val="8"/>
        </w:numPr>
        <w:shd w:val="clear" w:color="auto" w:fill="FFFFFF"/>
        <w:spacing w:before="120" w:after="120" w:line="240" w:lineRule="auto"/>
        <w:ind w:left="0"/>
        <w:rPr>
          <w:rFonts w:eastAsia="Calibri"/>
          <w:szCs w:val="24"/>
        </w:rPr>
      </w:pPr>
      <w:r>
        <w:rPr>
          <w:rFonts w:eastAsia="Calibri"/>
          <w:szCs w:val="24"/>
        </w:rPr>
        <w:t>Sur le</w:t>
      </w:r>
      <w:r w:rsidR="00036AFD" w:rsidRPr="00036AFD">
        <w:rPr>
          <w:rFonts w:eastAsia="Calibri"/>
          <w:szCs w:val="24"/>
        </w:rPr>
        <w:t xml:space="preserve"> plan financier, sur des prévisions de 442 350 000 FCFA, la mise en œuvre de l’action a coûté 438 590 555 FCFA correspondant à un taux d’exécution de 99,15%. Cette performance enregistrée s’explique par la mise en place de deux (02) comités « orientation et technique de normalisation du commerce électronique », l’élaboration d’une norme sur le commerce électronique, la tenue de deux (02) ateliers de sensibilisation sur les normes relatives au commerce électronique. </w:t>
      </w:r>
    </w:p>
    <w:p w14:paraId="007A9F4F" w14:textId="1C1E55BC"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Concernant le développement des services des postes et télécommunication</w:t>
      </w:r>
      <w:r w:rsidR="00BB3841">
        <w:rPr>
          <w:rFonts w:eastAsia="Calibri"/>
          <w:szCs w:val="24"/>
        </w:rPr>
        <w:t>s</w:t>
      </w:r>
      <w:r w:rsidRPr="00036AFD">
        <w:rPr>
          <w:rFonts w:eastAsia="Calibri"/>
          <w:szCs w:val="24"/>
        </w:rPr>
        <w:t xml:space="preserve">, l’action 03103 « élaboration de la loi d'orientation du numérique et relecture de la loi postale », il n’a pas été possible de rendre disponible la loi d’orientation sur le numérique et ses textes d’application ainsi que la nouvelle loi postale. Néanmoins, </w:t>
      </w:r>
      <w:r w:rsidR="0020598A">
        <w:rPr>
          <w:rFonts w:eastAsia="Calibri"/>
          <w:szCs w:val="24"/>
        </w:rPr>
        <w:t xml:space="preserve">pour ce qui concerne la loi d’orientation du numérique, </w:t>
      </w:r>
      <w:r w:rsidR="0020598A" w:rsidRPr="00036AFD">
        <w:rPr>
          <w:rFonts w:eastAsia="Calibri"/>
          <w:szCs w:val="24"/>
        </w:rPr>
        <w:t>des activités ont été menées</w:t>
      </w:r>
      <w:r w:rsidR="00BB3841">
        <w:rPr>
          <w:rFonts w:eastAsia="Calibri"/>
          <w:szCs w:val="24"/>
        </w:rPr>
        <w:t>,</w:t>
      </w:r>
      <w:r w:rsidR="0020598A" w:rsidRPr="00036AFD">
        <w:rPr>
          <w:rFonts w:eastAsia="Calibri"/>
          <w:szCs w:val="24"/>
        </w:rPr>
        <w:t xml:space="preserve"> notamment </w:t>
      </w:r>
      <w:r w:rsidR="0020598A">
        <w:rPr>
          <w:rFonts w:eastAsia="Calibri"/>
          <w:szCs w:val="24"/>
        </w:rPr>
        <w:t xml:space="preserve">la contractualisation en cours avec un </w:t>
      </w:r>
      <w:r w:rsidR="00BB3841">
        <w:rPr>
          <w:rFonts w:eastAsia="Calibri"/>
          <w:szCs w:val="24"/>
        </w:rPr>
        <w:t>c</w:t>
      </w:r>
      <w:r w:rsidR="0020598A">
        <w:rPr>
          <w:rFonts w:eastAsia="Calibri"/>
          <w:szCs w:val="24"/>
        </w:rPr>
        <w:t xml:space="preserve">abinet. Quant à la relecture de la loi postale, </w:t>
      </w:r>
      <w:r w:rsidR="0020598A" w:rsidRPr="00036AFD">
        <w:rPr>
          <w:rFonts w:eastAsia="Calibri"/>
          <w:szCs w:val="24"/>
        </w:rPr>
        <w:t>l’avant-projet de loi postale et ses trois (03) décrets d’application</w:t>
      </w:r>
      <w:r w:rsidR="0020598A">
        <w:rPr>
          <w:rFonts w:eastAsia="Calibri"/>
          <w:szCs w:val="24"/>
        </w:rPr>
        <w:t xml:space="preserve"> ont été validés</w:t>
      </w:r>
      <w:r w:rsidRPr="00036AFD">
        <w:rPr>
          <w:rFonts w:eastAsia="Calibri"/>
          <w:szCs w:val="24"/>
        </w:rPr>
        <w:t>.</w:t>
      </w:r>
    </w:p>
    <w:p w14:paraId="7B3E4EE5" w14:textId="52CBBB4D"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 xml:space="preserve">Le coût global de réalisation des activités est de 6 917 000 FCFA sur une prévision de 138 000 000 FCFA, soit un taux de 6,12%. Ce niveau est le résultat du changement des modalités de mise en œuvre des </w:t>
      </w:r>
      <w:r w:rsidR="0020598A">
        <w:rPr>
          <w:rFonts w:eastAsia="Calibri"/>
          <w:szCs w:val="24"/>
        </w:rPr>
        <w:t>produits</w:t>
      </w:r>
      <w:r w:rsidRPr="00036AFD">
        <w:rPr>
          <w:rFonts w:eastAsia="Calibri"/>
          <w:szCs w:val="24"/>
        </w:rPr>
        <w:t xml:space="preserve">. </w:t>
      </w:r>
    </w:p>
    <w:p w14:paraId="2065A60C" w14:textId="77777777"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En matière de développement des services de communication</w:t>
      </w:r>
      <w:r w:rsidRPr="00036AFD">
        <w:rPr>
          <w:rFonts w:eastAsia="Calibri"/>
          <w:szCs w:val="24"/>
        </w:rPr>
        <w:t xml:space="preserve">, l’action </w:t>
      </w:r>
      <w:r w:rsidRPr="008139E1">
        <w:rPr>
          <w:rFonts w:eastAsia="Calibri"/>
          <w:b/>
          <w:szCs w:val="24"/>
        </w:rPr>
        <w:t>03081 « amélioration des services de communication »</w:t>
      </w:r>
      <w:r w:rsidRPr="00036AFD">
        <w:rPr>
          <w:rFonts w:eastAsia="Calibri"/>
          <w:szCs w:val="24"/>
        </w:rPr>
        <w:t xml:space="preserve"> la situation de la réalisation des cibles de l’action se présente comme suit : (i) la création de 259 emplois supplémentaires dans les médias pour une cible de 100 et (ii) l’accès de 102 médias sur 112 escomptés aux subventions du Fonds d’appui à la presse privée.  </w:t>
      </w:r>
    </w:p>
    <w:p w14:paraId="769FED4D" w14:textId="6CDD670A"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lastRenderedPageBreak/>
        <w:t xml:space="preserve">Outre ces réalisations, d’autres produits ont été livrés en soutien aux médias à l’image des actions de renforcement des capacités des professionnels des médias et la promotion du professionnalisme dans les médias. </w:t>
      </w:r>
    </w:p>
    <w:p w14:paraId="705FA618" w14:textId="3BAC7A7A"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Les dépenses totales de l’action y compris les produits supplémentaires sont de 693</w:t>
      </w:r>
      <w:r w:rsidR="00AF128B">
        <w:rPr>
          <w:rFonts w:eastAsia="Calibri"/>
          <w:szCs w:val="24"/>
        </w:rPr>
        <w:t> </w:t>
      </w:r>
      <w:r w:rsidRPr="00036AFD">
        <w:rPr>
          <w:rFonts w:eastAsia="Calibri"/>
          <w:szCs w:val="24"/>
        </w:rPr>
        <w:t>951</w:t>
      </w:r>
      <w:r w:rsidR="00AF128B" w:rsidRPr="00036AFD">
        <w:rPr>
          <w:rFonts w:eastAsia="Calibri"/>
          <w:szCs w:val="24"/>
        </w:rPr>
        <w:t> </w:t>
      </w:r>
      <w:r w:rsidRPr="00036AFD">
        <w:rPr>
          <w:rFonts w:eastAsia="Calibri"/>
          <w:szCs w:val="24"/>
        </w:rPr>
        <w:t>640 FCFA pour une prévision de 1 229 435 500 FCFA</w:t>
      </w:r>
      <w:r w:rsidR="00BB3841">
        <w:rPr>
          <w:rFonts w:eastAsia="Calibri"/>
          <w:szCs w:val="24"/>
        </w:rPr>
        <w:t>,</w:t>
      </w:r>
      <w:r w:rsidRPr="00036AFD">
        <w:rPr>
          <w:rFonts w:eastAsia="Calibri"/>
          <w:szCs w:val="24"/>
        </w:rPr>
        <w:t xml:space="preserve"> soit un taux d</w:t>
      </w:r>
      <w:r w:rsidR="00AF128B">
        <w:rPr>
          <w:rFonts w:eastAsia="Calibri"/>
          <w:szCs w:val="24"/>
        </w:rPr>
        <w:t>’exécution financière de 56,44%</w:t>
      </w:r>
      <w:r w:rsidRPr="00036AFD">
        <w:rPr>
          <w:rFonts w:eastAsia="Calibri"/>
          <w:szCs w:val="24"/>
        </w:rPr>
        <w:t xml:space="preserve">. </w:t>
      </w:r>
    </w:p>
    <w:p w14:paraId="2073E221" w14:textId="7271BD26"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Concernant le domaine des transports</w:t>
      </w:r>
      <w:r w:rsidRPr="00036AFD">
        <w:rPr>
          <w:rFonts w:eastAsia="Calibri"/>
          <w:szCs w:val="24"/>
        </w:rPr>
        <w:t xml:space="preserve">, une seule action est définie dans le PA-SD, à savoir, l’action </w:t>
      </w:r>
      <w:r w:rsidRPr="008139E1">
        <w:rPr>
          <w:rFonts w:eastAsia="Calibri"/>
          <w:b/>
          <w:szCs w:val="24"/>
        </w:rPr>
        <w:t>(03102), « amélioration des services de transport routier, ferroviaire et aérien et promotion de la mobilité urbaine »</w:t>
      </w:r>
      <w:r w:rsidRPr="00036AFD">
        <w:rPr>
          <w:rFonts w:eastAsia="Calibri"/>
          <w:szCs w:val="24"/>
        </w:rPr>
        <w:t>. A ce niveau</w:t>
      </w:r>
      <w:r w:rsidR="00BB3841">
        <w:rPr>
          <w:rFonts w:eastAsia="Calibri"/>
          <w:szCs w:val="24"/>
        </w:rPr>
        <w:t>,</w:t>
      </w:r>
      <w:r w:rsidRPr="00036AFD">
        <w:rPr>
          <w:rFonts w:eastAsia="Calibri"/>
          <w:szCs w:val="24"/>
        </w:rPr>
        <w:t xml:space="preserve"> </w:t>
      </w:r>
      <w:r w:rsidR="00B67680" w:rsidRPr="008F75EF">
        <w:rPr>
          <w:rFonts w:eastAsia="Calibri"/>
          <w:szCs w:val="24"/>
        </w:rPr>
        <w:t xml:space="preserve">l’action publique en 2023 </w:t>
      </w:r>
      <w:r w:rsidR="00B67680">
        <w:rPr>
          <w:rFonts w:eastAsia="Calibri"/>
          <w:szCs w:val="24"/>
        </w:rPr>
        <w:t>a permis de</w:t>
      </w:r>
      <w:r w:rsidR="00B67680" w:rsidRPr="008F75EF">
        <w:rPr>
          <w:rFonts w:eastAsia="Calibri"/>
          <w:szCs w:val="24"/>
        </w:rPr>
        <w:t xml:space="preserve"> </w:t>
      </w:r>
      <w:r w:rsidRPr="00036AFD">
        <w:rPr>
          <w:rFonts w:eastAsia="Calibri"/>
          <w:szCs w:val="24"/>
        </w:rPr>
        <w:t>porter à 1% la contribution du secteur des transports au PIB pour une cible de 1,8%</w:t>
      </w:r>
      <w:r w:rsidR="00CD1A20">
        <w:rPr>
          <w:rFonts w:eastAsia="Calibri"/>
          <w:szCs w:val="24"/>
        </w:rPr>
        <w:t>,</w:t>
      </w:r>
      <w:r w:rsidRPr="00036AFD">
        <w:rPr>
          <w:rFonts w:eastAsia="Calibri"/>
          <w:szCs w:val="24"/>
        </w:rPr>
        <w:t xml:space="preserve"> de faire passer le nombre de passagers aux aéroports du Burkina Faso de 698 512 pour un objectif de 746</w:t>
      </w:r>
      <w:r w:rsidR="00AF128B" w:rsidRPr="00036AFD">
        <w:rPr>
          <w:rFonts w:eastAsia="Calibri"/>
          <w:szCs w:val="24"/>
        </w:rPr>
        <w:t> </w:t>
      </w:r>
      <w:r w:rsidRPr="00036AFD">
        <w:rPr>
          <w:rFonts w:eastAsia="Calibri"/>
          <w:szCs w:val="24"/>
        </w:rPr>
        <w:t xml:space="preserve">661 </w:t>
      </w:r>
      <w:r w:rsidR="00CD1A20">
        <w:rPr>
          <w:rFonts w:eastAsia="Calibri"/>
          <w:szCs w:val="24"/>
        </w:rPr>
        <w:t xml:space="preserve">contre </w:t>
      </w:r>
      <w:r w:rsidRPr="00036AFD">
        <w:rPr>
          <w:rFonts w:eastAsia="Calibri"/>
          <w:szCs w:val="24"/>
        </w:rPr>
        <w:t>602</w:t>
      </w:r>
      <w:r w:rsidR="00AF128B" w:rsidRPr="00036AFD">
        <w:rPr>
          <w:rFonts w:eastAsia="Calibri"/>
          <w:szCs w:val="24"/>
        </w:rPr>
        <w:t> </w:t>
      </w:r>
      <w:r w:rsidRPr="00036AFD">
        <w:rPr>
          <w:rFonts w:eastAsia="Calibri"/>
          <w:szCs w:val="24"/>
        </w:rPr>
        <w:t>000 en 2022 et enfin, de hisser à 745</w:t>
      </w:r>
      <w:r w:rsidR="00AF128B" w:rsidRPr="00036AFD">
        <w:rPr>
          <w:rFonts w:eastAsia="Calibri"/>
          <w:szCs w:val="24"/>
        </w:rPr>
        <w:t> </w:t>
      </w:r>
      <w:r w:rsidRPr="00036AFD">
        <w:rPr>
          <w:rFonts w:eastAsia="Calibri"/>
          <w:szCs w:val="24"/>
        </w:rPr>
        <w:t xml:space="preserve">077 tonnes pour une cible de 1 million, la capacité du transport ferroviaire. </w:t>
      </w:r>
    </w:p>
    <w:p w14:paraId="36CD7F0A" w14:textId="04C6E452"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La situation de mise en œuvre des produits attendus relatifs à l’action est fournie dans le tableau ci-dessous :</w:t>
      </w:r>
    </w:p>
    <w:p w14:paraId="048F7B21" w14:textId="373EAE38" w:rsidR="00036AFD" w:rsidRPr="0042784A" w:rsidRDefault="00B647DA" w:rsidP="008139E1">
      <w:pPr>
        <w:pStyle w:val="Lgende"/>
        <w:rPr>
          <w:rFonts w:cs="Merriweather"/>
          <w:iCs w:val="0"/>
          <w:color w:val="auto"/>
          <w:sz w:val="22"/>
        </w:rPr>
      </w:pPr>
      <w:bookmarkStart w:id="152" w:name="_Toc164503664"/>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77</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 l’action 03102 au 31 décembre 2023</w:t>
      </w:r>
      <w:bookmarkEnd w:id="152"/>
    </w:p>
    <w:tbl>
      <w:tblPr>
        <w:tblStyle w:val="GridTable4-Accent111"/>
        <w:tblW w:w="5000" w:type="pct"/>
        <w:tblLook w:val="04A0" w:firstRow="1" w:lastRow="0" w:firstColumn="1" w:lastColumn="0" w:noHBand="0" w:noVBand="1"/>
      </w:tblPr>
      <w:tblGrid>
        <w:gridCol w:w="4098"/>
        <w:gridCol w:w="1641"/>
        <w:gridCol w:w="1636"/>
        <w:gridCol w:w="1641"/>
      </w:tblGrid>
      <w:tr w:rsidR="00036AFD" w:rsidRPr="00106BB2" w14:paraId="31A858B6" w14:textId="77777777" w:rsidTr="00106B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0F7341F6" w14:textId="315C11A7" w:rsidR="00036AFD" w:rsidRPr="00106BB2" w:rsidRDefault="00036AFD" w:rsidP="00E52836">
            <w:pPr>
              <w:keepNext/>
              <w:keepLines/>
              <w:spacing w:after="0" w:line="240" w:lineRule="auto"/>
              <w:rPr>
                <w:sz w:val="22"/>
              </w:rPr>
            </w:pPr>
            <w:r w:rsidRPr="00106BB2">
              <w:rPr>
                <w:sz w:val="22"/>
              </w:rPr>
              <w:t>Indicateur</w:t>
            </w:r>
            <w:r w:rsidR="006A343F">
              <w:rPr>
                <w:sz w:val="22"/>
              </w:rPr>
              <w:t>s</w:t>
            </w:r>
            <w:r w:rsidRPr="00106BB2">
              <w:rPr>
                <w:sz w:val="22"/>
              </w:rPr>
              <w:t xml:space="preserve"> </w:t>
            </w:r>
          </w:p>
        </w:tc>
        <w:tc>
          <w:tcPr>
            <w:tcW w:w="910" w:type="pct"/>
            <w:vAlign w:val="center"/>
          </w:tcPr>
          <w:p w14:paraId="53B62AD8"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2022</w:t>
            </w:r>
          </w:p>
        </w:tc>
        <w:tc>
          <w:tcPr>
            <w:tcW w:w="907" w:type="pct"/>
            <w:vAlign w:val="center"/>
          </w:tcPr>
          <w:p w14:paraId="0E968E51"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2023</w:t>
            </w:r>
          </w:p>
        </w:tc>
        <w:tc>
          <w:tcPr>
            <w:tcW w:w="910" w:type="pct"/>
            <w:vAlign w:val="center"/>
          </w:tcPr>
          <w:p w14:paraId="40DE77D7"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Cible 2023</w:t>
            </w:r>
          </w:p>
        </w:tc>
      </w:tr>
      <w:tr w:rsidR="00036AFD" w:rsidRPr="00106BB2" w14:paraId="13DFF15C"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225FFD49" w14:textId="77777777" w:rsidR="00036AFD" w:rsidRPr="00106BB2" w:rsidRDefault="00036AFD" w:rsidP="00E52836">
            <w:pPr>
              <w:keepNext/>
              <w:keepLines/>
              <w:spacing w:after="0" w:line="240" w:lineRule="auto"/>
              <w:rPr>
                <w:sz w:val="22"/>
              </w:rPr>
            </w:pPr>
            <w:r w:rsidRPr="00106BB2">
              <w:rPr>
                <w:sz w:val="22"/>
              </w:rPr>
              <w:t>Nombre de permis de conduire  délivrés</w:t>
            </w:r>
          </w:p>
        </w:tc>
        <w:tc>
          <w:tcPr>
            <w:tcW w:w="910" w:type="pct"/>
            <w:vAlign w:val="center"/>
          </w:tcPr>
          <w:p w14:paraId="578491B7" w14:textId="0BA56B92"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95</w:t>
            </w:r>
            <w:r w:rsidR="00AF128B" w:rsidRPr="00036AFD">
              <w:rPr>
                <w:szCs w:val="24"/>
              </w:rPr>
              <w:t> </w:t>
            </w:r>
            <w:r w:rsidRPr="00106BB2">
              <w:rPr>
                <w:sz w:val="22"/>
              </w:rPr>
              <w:t>400</w:t>
            </w:r>
          </w:p>
        </w:tc>
        <w:tc>
          <w:tcPr>
            <w:tcW w:w="907" w:type="pct"/>
            <w:vAlign w:val="center"/>
          </w:tcPr>
          <w:p w14:paraId="13D6FC2A" w14:textId="4F5BC28C"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44</w:t>
            </w:r>
            <w:r w:rsidR="00AF128B" w:rsidRPr="00036AFD">
              <w:rPr>
                <w:szCs w:val="24"/>
              </w:rPr>
              <w:t> </w:t>
            </w:r>
            <w:r w:rsidRPr="00106BB2">
              <w:rPr>
                <w:sz w:val="22"/>
              </w:rPr>
              <w:t>101</w:t>
            </w:r>
          </w:p>
        </w:tc>
        <w:tc>
          <w:tcPr>
            <w:tcW w:w="910" w:type="pct"/>
            <w:vAlign w:val="center"/>
          </w:tcPr>
          <w:p w14:paraId="39949333" w14:textId="26320502"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126</w:t>
            </w:r>
            <w:r w:rsidR="00AF128B" w:rsidRPr="00036AFD">
              <w:rPr>
                <w:szCs w:val="24"/>
              </w:rPr>
              <w:t> </w:t>
            </w:r>
            <w:r w:rsidRPr="00106BB2">
              <w:rPr>
                <w:sz w:val="22"/>
              </w:rPr>
              <w:t>667</w:t>
            </w:r>
          </w:p>
        </w:tc>
      </w:tr>
      <w:tr w:rsidR="00036AFD" w:rsidRPr="00106BB2" w14:paraId="33E2260F" w14:textId="77777777" w:rsidTr="00106BB2">
        <w:trPr>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113B0422" w14:textId="77777777" w:rsidR="00036AFD" w:rsidRPr="00106BB2" w:rsidRDefault="00036AFD" w:rsidP="00E52836">
            <w:pPr>
              <w:keepNext/>
              <w:keepLines/>
              <w:spacing w:after="0" w:line="240" w:lineRule="auto"/>
              <w:rPr>
                <w:sz w:val="22"/>
              </w:rPr>
            </w:pPr>
            <w:r w:rsidRPr="00106BB2">
              <w:rPr>
                <w:sz w:val="22"/>
              </w:rPr>
              <w:t>Nombre de cartes grises délivrées</w:t>
            </w:r>
          </w:p>
        </w:tc>
        <w:tc>
          <w:tcPr>
            <w:tcW w:w="910" w:type="pct"/>
            <w:vAlign w:val="center"/>
          </w:tcPr>
          <w:p w14:paraId="201A3830" w14:textId="7B964477" w:rsidR="00036AFD" w:rsidRPr="00106BB2" w:rsidRDefault="00036AFD" w:rsidP="00AF128B">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528</w:t>
            </w:r>
            <w:r w:rsidR="00AF128B" w:rsidRPr="00036AFD">
              <w:rPr>
                <w:szCs w:val="24"/>
              </w:rPr>
              <w:t> </w:t>
            </w:r>
            <w:r w:rsidRPr="00106BB2">
              <w:rPr>
                <w:sz w:val="22"/>
              </w:rPr>
              <w:t>057</w:t>
            </w:r>
          </w:p>
        </w:tc>
        <w:tc>
          <w:tcPr>
            <w:tcW w:w="907" w:type="pct"/>
            <w:vAlign w:val="center"/>
          </w:tcPr>
          <w:p w14:paraId="28EA46E1" w14:textId="7A3D5AA4" w:rsidR="00036AFD" w:rsidRPr="00106BB2" w:rsidRDefault="00036AFD" w:rsidP="00AF128B">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87</w:t>
            </w:r>
            <w:r w:rsidR="00AF128B" w:rsidRPr="00036AFD">
              <w:rPr>
                <w:szCs w:val="24"/>
              </w:rPr>
              <w:t> </w:t>
            </w:r>
            <w:r w:rsidRPr="00106BB2">
              <w:rPr>
                <w:sz w:val="22"/>
              </w:rPr>
              <w:t>098</w:t>
            </w:r>
          </w:p>
        </w:tc>
        <w:tc>
          <w:tcPr>
            <w:tcW w:w="910" w:type="pct"/>
            <w:vAlign w:val="center"/>
          </w:tcPr>
          <w:p w14:paraId="3EADFD7B" w14:textId="476BDE37" w:rsidR="00036AFD" w:rsidRPr="00106BB2" w:rsidRDefault="00036AFD" w:rsidP="00AF128B">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916</w:t>
            </w:r>
            <w:r w:rsidR="00AF128B" w:rsidRPr="00036AFD">
              <w:rPr>
                <w:szCs w:val="24"/>
              </w:rPr>
              <w:t> </w:t>
            </w:r>
            <w:r w:rsidRPr="00106BB2">
              <w:rPr>
                <w:sz w:val="22"/>
              </w:rPr>
              <w:t>858</w:t>
            </w:r>
          </w:p>
        </w:tc>
      </w:tr>
      <w:tr w:rsidR="00036AFD" w:rsidRPr="00106BB2" w14:paraId="45683E2A"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311EF432" w14:textId="77777777" w:rsidR="00036AFD" w:rsidRPr="00106BB2" w:rsidRDefault="00036AFD" w:rsidP="00E52836">
            <w:pPr>
              <w:keepNext/>
              <w:keepLines/>
              <w:spacing w:after="0" w:line="240" w:lineRule="auto"/>
              <w:rPr>
                <w:sz w:val="22"/>
              </w:rPr>
            </w:pPr>
            <w:r w:rsidRPr="00106BB2">
              <w:rPr>
                <w:sz w:val="22"/>
              </w:rPr>
              <w:t>Nombre de textes adoptés</w:t>
            </w:r>
          </w:p>
        </w:tc>
        <w:tc>
          <w:tcPr>
            <w:tcW w:w="910" w:type="pct"/>
            <w:vAlign w:val="center"/>
          </w:tcPr>
          <w:p w14:paraId="0B8AEFA5"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3</w:t>
            </w:r>
          </w:p>
        </w:tc>
        <w:tc>
          <w:tcPr>
            <w:tcW w:w="907" w:type="pct"/>
            <w:vAlign w:val="center"/>
          </w:tcPr>
          <w:p w14:paraId="6C18395F"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7</w:t>
            </w:r>
          </w:p>
        </w:tc>
        <w:tc>
          <w:tcPr>
            <w:tcW w:w="910" w:type="pct"/>
            <w:vAlign w:val="center"/>
          </w:tcPr>
          <w:p w14:paraId="785DE6B2"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4</w:t>
            </w:r>
          </w:p>
        </w:tc>
      </w:tr>
      <w:tr w:rsidR="00036AFD" w:rsidRPr="00106BB2" w14:paraId="7DDFBE3C" w14:textId="77777777" w:rsidTr="00106BB2">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B25A2B4" w14:textId="77777777" w:rsidR="00036AFD" w:rsidRPr="00106BB2" w:rsidRDefault="00036AFD" w:rsidP="00E52836">
            <w:pPr>
              <w:keepNext/>
              <w:keepLines/>
              <w:spacing w:after="0" w:line="240" w:lineRule="auto"/>
              <w:rPr>
                <w:sz w:val="22"/>
              </w:rPr>
            </w:pPr>
            <w:r w:rsidRPr="00106BB2">
              <w:rPr>
                <w:color w:val="000000"/>
                <w:sz w:val="22"/>
              </w:rPr>
              <w:t>La compagnie Air Burkina est dynamisée</w:t>
            </w:r>
          </w:p>
        </w:tc>
      </w:tr>
      <w:tr w:rsidR="00036AFD" w:rsidRPr="00106BB2" w14:paraId="17BA4C98"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0B9204C1" w14:textId="77777777" w:rsidR="00036AFD" w:rsidRPr="00106BB2" w:rsidRDefault="00036AFD" w:rsidP="00E52836">
            <w:pPr>
              <w:keepNext/>
              <w:keepLines/>
              <w:spacing w:after="0" w:line="240" w:lineRule="auto"/>
              <w:rPr>
                <w:sz w:val="22"/>
              </w:rPr>
            </w:pPr>
            <w:r w:rsidRPr="00106BB2">
              <w:rPr>
                <w:sz w:val="22"/>
              </w:rPr>
              <w:t>Nombre d’aéronefs fonctionnels</w:t>
            </w:r>
          </w:p>
        </w:tc>
        <w:tc>
          <w:tcPr>
            <w:tcW w:w="910" w:type="pct"/>
            <w:vAlign w:val="center"/>
          </w:tcPr>
          <w:p w14:paraId="7BCD0473"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w:t>
            </w:r>
          </w:p>
        </w:tc>
        <w:tc>
          <w:tcPr>
            <w:tcW w:w="907" w:type="pct"/>
            <w:vAlign w:val="center"/>
          </w:tcPr>
          <w:p w14:paraId="0330B3A8"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w:t>
            </w:r>
          </w:p>
        </w:tc>
        <w:tc>
          <w:tcPr>
            <w:tcW w:w="910" w:type="pct"/>
            <w:vAlign w:val="center"/>
          </w:tcPr>
          <w:p w14:paraId="7E68DB84"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3</w:t>
            </w:r>
          </w:p>
        </w:tc>
      </w:tr>
      <w:tr w:rsidR="00036AFD" w:rsidRPr="00106BB2" w14:paraId="2B404908" w14:textId="77777777" w:rsidTr="00106BB2">
        <w:trPr>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61193484" w14:textId="77777777" w:rsidR="00036AFD" w:rsidRPr="00106BB2" w:rsidRDefault="00036AFD" w:rsidP="00E52836">
            <w:pPr>
              <w:keepNext/>
              <w:keepLines/>
              <w:spacing w:after="0" w:line="240" w:lineRule="auto"/>
              <w:rPr>
                <w:sz w:val="22"/>
              </w:rPr>
            </w:pPr>
            <w:r w:rsidRPr="00106BB2">
              <w:rPr>
                <w:sz w:val="22"/>
              </w:rPr>
              <w:t>Nombre de nouvelles lignes ouvertes</w:t>
            </w:r>
          </w:p>
        </w:tc>
        <w:tc>
          <w:tcPr>
            <w:tcW w:w="910" w:type="pct"/>
            <w:vAlign w:val="center"/>
          </w:tcPr>
          <w:p w14:paraId="1F0088DE"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0</w:t>
            </w:r>
          </w:p>
        </w:tc>
        <w:tc>
          <w:tcPr>
            <w:tcW w:w="907" w:type="pct"/>
            <w:vAlign w:val="center"/>
          </w:tcPr>
          <w:p w14:paraId="728F691D"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0</w:t>
            </w:r>
          </w:p>
        </w:tc>
        <w:tc>
          <w:tcPr>
            <w:tcW w:w="910" w:type="pct"/>
            <w:vAlign w:val="center"/>
          </w:tcPr>
          <w:p w14:paraId="02C06DC8"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1</w:t>
            </w:r>
          </w:p>
        </w:tc>
      </w:tr>
      <w:tr w:rsidR="00036AFD" w:rsidRPr="00106BB2" w14:paraId="6306B2DD"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5C3E744D" w14:textId="77777777" w:rsidR="00036AFD" w:rsidRPr="00106BB2" w:rsidRDefault="00036AFD" w:rsidP="00E52836">
            <w:pPr>
              <w:keepNext/>
              <w:keepLines/>
              <w:spacing w:after="0" w:line="240" w:lineRule="auto"/>
              <w:rPr>
                <w:sz w:val="22"/>
              </w:rPr>
            </w:pPr>
            <w:r w:rsidRPr="00106BB2">
              <w:rPr>
                <w:sz w:val="22"/>
              </w:rPr>
              <w:t>Nombre d’accords de services aériens (ASA) ou/et de mémorandums d’entente (MOU) signés</w:t>
            </w:r>
          </w:p>
        </w:tc>
        <w:tc>
          <w:tcPr>
            <w:tcW w:w="910" w:type="pct"/>
            <w:vAlign w:val="center"/>
          </w:tcPr>
          <w:p w14:paraId="630087E3"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0</w:t>
            </w:r>
          </w:p>
        </w:tc>
        <w:tc>
          <w:tcPr>
            <w:tcW w:w="907" w:type="pct"/>
            <w:vAlign w:val="center"/>
          </w:tcPr>
          <w:p w14:paraId="2669E81B"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5</w:t>
            </w:r>
          </w:p>
        </w:tc>
        <w:tc>
          <w:tcPr>
            <w:tcW w:w="910" w:type="pct"/>
            <w:vAlign w:val="center"/>
          </w:tcPr>
          <w:p w14:paraId="47FA2914"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w:t>
            </w:r>
          </w:p>
        </w:tc>
      </w:tr>
      <w:tr w:rsidR="00036AFD" w:rsidRPr="00106BB2" w14:paraId="23A49409" w14:textId="77777777" w:rsidTr="00106BB2">
        <w:trPr>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1308B6E2" w14:textId="77777777" w:rsidR="00036AFD" w:rsidRPr="00106BB2" w:rsidRDefault="00036AFD" w:rsidP="00E52836">
            <w:pPr>
              <w:keepNext/>
              <w:keepLines/>
              <w:spacing w:after="0" w:line="240" w:lineRule="auto"/>
              <w:rPr>
                <w:sz w:val="22"/>
              </w:rPr>
            </w:pPr>
            <w:r w:rsidRPr="00106BB2">
              <w:rPr>
                <w:sz w:val="22"/>
              </w:rPr>
              <w:t>Volume de marchandises importées</w:t>
            </w:r>
          </w:p>
        </w:tc>
        <w:tc>
          <w:tcPr>
            <w:tcW w:w="910" w:type="pct"/>
            <w:vAlign w:val="center"/>
          </w:tcPr>
          <w:p w14:paraId="505CB379" w14:textId="2DF22125" w:rsidR="00036AFD" w:rsidRPr="00106BB2" w:rsidRDefault="00036AFD" w:rsidP="00AF128B">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6</w:t>
            </w:r>
            <w:r w:rsidR="00AF128B">
              <w:rPr>
                <w:sz w:val="22"/>
              </w:rPr>
              <w:t> </w:t>
            </w:r>
            <w:r w:rsidRPr="00106BB2">
              <w:rPr>
                <w:sz w:val="22"/>
              </w:rPr>
              <w:t>283</w:t>
            </w:r>
            <w:r w:rsidR="00AF128B" w:rsidRPr="00036AFD">
              <w:rPr>
                <w:szCs w:val="24"/>
              </w:rPr>
              <w:t> </w:t>
            </w:r>
            <w:r w:rsidRPr="00106BB2">
              <w:rPr>
                <w:sz w:val="22"/>
              </w:rPr>
              <w:t>459</w:t>
            </w:r>
          </w:p>
        </w:tc>
        <w:tc>
          <w:tcPr>
            <w:tcW w:w="907" w:type="pct"/>
            <w:vAlign w:val="center"/>
          </w:tcPr>
          <w:p w14:paraId="0F5E0BB7" w14:textId="1E78F8D1" w:rsidR="00036AFD" w:rsidRPr="00106BB2" w:rsidRDefault="00036AFD" w:rsidP="00AF128B">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6</w:t>
            </w:r>
            <w:r w:rsidR="00AF128B">
              <w:rPr>
                <w:sz w:val="22"/>
              </w:rPr>
              <w:t> </w:t>
            </w:r>
            <w:r w:rsidRPr="00106BB2">
              <w:rPr>
                <w:sz w:val="22"/>
              </w:rPr>
              <w:t>438</w:t>
            </w:r>
            <w:r w:rsidR="00AF128B" w:rsidRPr="00036AFD">
              <w:rPr>
                <w:szCs w:val="24"/>
              </w:rPr>
              <w:t> </w:t>
            </w:r>
            <w:r w:rsidRPr="00106BB2">
              <w:rPr>
                <w:sz w:val="22"/>
              </w:rPr>
              <w:t>404</w:t>
            </w:r>
          </w:p>
        </w:tc>
        <w:tc>
          <w:tcPr>
            <w:tcW w:w="910" w:type="pct"/>
            <w:vAlign w:val="center"/>
          </w:tcPr>
          <w:p w14:paraId="25F42E65" w14:textId="4BF922AA" w:rsidR="00036AFD" w:rsidRPr="00106BB2" w:rsidRDefault="00036AFD" w:rsidP="00AF128B">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6</w:t>
            </w:r>
            <w:r w:rsidR="00AF128B">
              <w:rPr>
                <w:sz w:val="22"/>
              </w:rPr>
              <w:t> </w:t>
            </w:r>
            <w:r w:rsidRPr="00106BB2">
              <w:rPr>
                <w:sz w:val="22"/>
              </w:rPr>
              <w:t>669</w:t>
            </w:r>
            <w:r w:rsidR="00AF128B" w:rsidRPr="00036AFD">
              <w:rPr>
                <w:szCs w:val="24"/>
              </w:rPr>
              <w:t> </w:t>
            </w:r>
            <w:r w:rsidRPr="00106BB2">
              <w:rPr>
                <w:sz w:val="22"/>
              </w:rPr>
              <w:t>923</w:t>
            </w:r>
          </w:p>
        </w:tc>
      </w:tr>
      <w:tr w:rsidR="00036AFD" w:rsidRPr="00106BB2" w14:paraId="725C71B7" w14:textId="77777777" w:rsidTr="00106B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3" w:type="pct"/>
            <w:vAlign w:val="center"/>
          </w:tcPr>
          <w:p w14:paraId="7BCFF1B6" w14:textId="77777777" w:rsidR="00036AFD" w:rsidRPr="00106BB2" w:rsidRDefault="00036AFD" w:rsidP="00E52836">
            <w:pPr>
              <w:keepNext/>
              <w:keepLines/>
              <w:spacing w:after="0" w:line="240" w:lineRule="auto"/>
              <w:rPr>
                <w:sz w:val="22"/>
              </w:rPr>
            </w:pPr>
            <w:r w:rsidRPr="00106BB2">
              <w:rPr>
                <w:sz w:val="22"/>
              </w:rPr>
              <w:t>Volume de marchandises exportées</w:t>
            </w:r>
          </w:p>
        </w:tc>
        <w:tc>
          <w:tcPr>
            <w:tcW w:w="910" w:type="pct"/>
            <w:vAlign w:val="center"/>
          </w:tcPr>
          <w:p w14:paraId="7378C827" w14:textId="556DF63E"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913</w:t>
            </w:r>
            <w:r w:rsidR="00AF128B" w:rsidRPr="00036AFD">
              <w:rPr>
                <w:szCs w:val="24"/>
              </w:rPr>
              <w:t> </w:t>
            </w:r>
            <w:r w:rsidRPr="00106BB2">
              <w:rPr>
                <w:sz w:val="22"/>
              </w:rPr>
              <w:t>437</w:t>
            </w:r>
          </w:p>
        </w:tc>
        <w:tc>
          <w:tcPr>
            <w:tcW w:w="907" w:type="pct"/>
            <w:vAlign w:val="center"/>
          </w:tcPr>
          <w:p w14:paraId="7BA375E1" w14:textId="3EAEB2DB"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887</w:t>
            </w:r>
            <w:r w:rsidR="00AF128B" w:rsidRPr="00036AFD">
              <w:rPr>
                <w:szCs w:val="24"/>
              </w:rPr>
              <w:t> </w:t>
            </w:r>
            <w:r w:rsidRPr="00106BB2">
              <w:rPr>
                <w:sz w:val="22"/>
              </w:rPr>
              <w:t>089</w:t>
            </w:r>
          </w:p>
        </w:tc>
        <w:tc>
          <w:tcPr>
            <w:tcW w:w="910" w:type="pct"/>
            <w:vAlign w:val="center"/>
          </w:tcPr>
          <w:p w14:paraId="48EE205D" w14:textId="614FE503"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w:t>
            </w:r>
            <w:r w:rsidR="00AF128B">
              <w:rPr>
                <w:sz w:val="22"/>
              </w:rPr>
              <w:t> </w:t>
            </w:r>
            <w:r w:rsidRPr="00106BB2">
              <w:rPr>
                <w:sz w:val="22"/>
              </w:rPr>
              <w:t>398</w:t>
            </w:r>
            <w:r w:rsidR="00AF128B" w:rsidRPr="00036AFD">
              <w:rPr>
                <w:szCs w:val="24"/>
              </w:rPr>
              <w:t> </w:t>
            </w:r>
            <w:r w:rsidRPr="00106BB2">
              <w:rPr>
                <w:sz w:val="22"/>
              </w:rPr>
              <w:t>867</w:t>
            </w:r>
          </w:p>
        </w:tc>
      </w:tr>
    </w:tbl>
    <w:p w14:paraId="5F8362D4" w14:textId="09B9216F" w:rsidR="00036AFD" w:rsidRPr="00106BB2" w:rsidRDefault="00036AFD" w:rsidP="00036AFD">
      <w:pPr>
        <w:spacing w:line="240" w:lineRule="auto"/>
        <w:rPr>
          <w:sz w:val="20"/>
          <w:szCs w:val="20"/>
        </w:rPr>
      </w:pPr>
      <w:r w:rsidRPr="00106BB2">
        <w:rPr>
          <w:b/>
          <w:sz w:val="20"/>
          <w:szCs w:val="20"/>
          <w:u w:val="single"/>
        </w:rPr>
        <w:t>Source</w:t>
      </w:r>
      <w:r w:rsidRPr="00106BB2">
        <w:rPr>
          <w:sz w:val="20"/>
          <w:szCs w:val="20"/>
        </w:rPr>
        <w:t xml:space="preserve"> : rapport annuel de performance 2023 du </w:t>
      </w:r>
      <w:r w:rsidR="006A343F">
        <w:rPr>
          <w:sz w:val="20"/>
          <w:szCs w:val="20"/>
        </w:rPr>
        <w:t>CSD-</w:t>
      </w:r>
      <w:r w:rsidRPr="00106BB2">
        <w:rPr>
          <w:sz w:val="20"/>
          <w:szCs w:val="20"/>
        </w:rPr>
        <w:t>CSM, février 2024</w:t>
      </w:r>
    </w:p>
    <w:p w14:paraId="4E7347D7" w14:textId="5D31D0AA"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 xml:space="preserve">Sur huit (08) indicateurs de produits, seuls deux (02 indicateurs ont atteint leur cible. Il s’agit de l’adoption de sept (07) textes sur le cadre règlementaire et législatif sur une prévision de quatre (04) et de la signature de cinq (05) </w:t>
      </w:r>
      <w:r w:rsidR="00BB3841">
        <w:rPr>
          <w:rFonts w:eastAsia="Calibri"/>
          <w:szCs w:val="24"/>
        </w:rPr>
        <w:t>A</w:t>
      </w:r>
      <w:r w:rsidRPr="00036AFD">
        <w:rPr>
          <w:rFonts w:eastAsia="Calibri"/>
          <w:szCs w:val="24"/>
        </w:rPr>
        <w:t xml:space="preserve">ccords de services aériens (ASA) ou/et de mémorandums d’entente (MOU) sur une prévision d’un accord. Pour les autres indicateurs, les difficultés ayant freiné l’atteinte des cibles portent sur : (i) l’interruption du système de production des titres de transport et l’interdiction d’immatriculation des motos de type </w:t>
      </w:r>
      <w:proofErr w:type="spellStart"/>
      <w:r w:rsidRPr="00036AFD">
        <w:rPr>
          <w:rFonts w:eastAsia="Calibri"/>
          <w:szCs w:val="24"/>
        </w:rPr>
        <w:t>Aloba</w:t>
      </w:r>
      <w:proofErr w:type="spellEnd"/>
      <w:r w:rsidRPr="00036AFD">
        <w:rPr>
          <w:rFonts w:eastAsia="Calibri"/>
          <w:szCs w:val="24"/>
        </w:rPr>
        <w:t xml:space="preserve"> et assimilé</w:t>
      </w:r>
      <w:r w:rsidR="00BB3841">
        <w:rPr>
          <w:rFonts w:eastAsia="Calibri"/>
          <w:szCs w:val="24"/>
        </w:rPr>
        <w:t>e</w:t>
      </w:r>
      <w:r w:rsidRPr="00036AFD">
        <w:rPr>
          <w:rFonts w:eastAsia="Calibri"/>
          <w:szCs w:val="24"/>
        </w:rPr>
        <w:t>s ; (ii) la difficile situation financière de la Compagnie Air Burkina.</w:t>
      </w:r>
    </w:p>
    <w:p w14:paraId="3797E15E" w14:textId="3BA7A173"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 xml:space="preserve">Les ressources financières engagées pour </w:t>
      </w:r>
      <w:r w:rsidR="00CD1A20">
        <w:rPr>
          <w:rFonts w:eastAsia="Calibri"/>
          <w:szCs w:val="24"/>
        </w:rPr>
        <w:t xml:space="preserve">la mise en œuvre de cette </w:t>
      </w:r>
      <w:r w:rsidRPr="00036AFD">
        <w:rPr>
          <w:rFonts w:eastAsia="Calibri"/>
          <w:szCs w:val="24"/>
        </w:rPr>
        <w:t xml:space="preserve">action sont de </w:t>
      </w:r>
      <w:r w:rsidR="00363664">
        <w:rPr>
          <w:rFonts w:eastAsia="Calibri"/>
          <w:szCs w:val="24"/>
        </w:rPr>
        <w:t>5 046 405 934</w:t>
      </w:r>
      <w:r w:rsidR="00363664" w:rsidRPr="00056445">
        <w:rPr>
          <w:rFonts w:eastAsia="Calibri"/>
          <w:szCs w:val="24"/>
        </w:rPr>
        <w:t>°</w:t>
      </w:r>
      <w:r w:rsidRPr="00036AFD">
        <w:rPr>
          <w:rFonts w:eastAsia="Calibri"/>
          <w:szCs w:val="24"/>
        </w:rPr>
        <w:t xml:space="preserve"> FCFA sur une prévision de </w:t>
      </w:r>
      <w:r w:rsidR="00363664">
        <w:rPr>
          <w:rFonts w:eastAsia="Calibri"/>
          <w:szCs w:val="24"/>
        </w:rPr>
        <w:t xml:space="preserve">5 073 925 934 </w:t>
      </w:r>
      <w:r w:rsidR="00363664" w:rsidRPr="00056445">
        <w:rPr>
          <w:rFonts w:eastAsia="Calibri"/>
          <w:szCs w:val="24"/>
        </w:rPr>
        <w:t>°</w:t>
      </w:r>
      <w:r w:rsidR="00363664">
        <w:rPr>
          <w:rFonts w:eastAsia="Calibri"/>
          <w:szCs w:val="24"/>
        </w:rPr>
        <w:t>FCFA</w:t>
      </w:r>
      <w:r w:rsidR="00CD1A20">
        <w:rPr>
          <w:rFonts w:eastAsia="Calibri"/>
          <w:szCs w:val="24"/>
        </w:rPr>
        <w:t>,</w:t>
      </w:r>
      <w:r w:rsidRPr="00036AFD">
        <w:rPr>
          <w:rFonts w:eastAsia="Calibri"/>
          <w:szCs w:val="24"/>
        </w:rPr>
        <w:t xml:space="preserve"> correspondant à un taux d’exécution de </w:t>
      </w:r>
      <w:r w:rsidR="00363664">
        <w:rPr>
          <w:rFonts w:eastAsia="Calibri"/>
          <w:szCs w:val="24"/>
        </w:rPr>
        <w:t>99</w:t>
      </w:r>
      <w:r w:rsidRPr="00036AFD">
        <w:rPr>
          <w:rFonts w:eastAsia="Calibri"/>
          <w:szCs w:val="24"/>
        </w:rPr>
        <w:t>,</w:t>
      </w:r>
      <w:r w:rsidR="00363664">
        <w:rPr>
          <w:rFonts w:eastAsia="Calibri"/>
          <w:szCs w:val="24"/>
        </w:rPr>
        <w:t>5</w:t>
      </w:r>
      <w:r w:rsidRPr="00036AFD">
        <w:rPr>
          <w:rFonts w:eastAsia="Calibri"/>
          <w:szCs w:val="24"/>
        </w:rPr>
        <w:t>%.</w:t>
      </w:r>
    </w:p>
    <w:p w14:paraId="58AD99F4" w14:textId="77777777"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lastRenderedPageBreak/>
        <w:t>En matière de promotion de l’inclusion financière, l’ambition poursuivie était d’accroître le taux de bancarisation élargie et le taux d’utilisation des services financiers. En fin d’année, les données définitives y relatives ne sont pas encore disponibles. Cependant, des produits ont été réalisés et leur état d’avancement est présenté dans le tableau ci-contre.</w:t>
      </w:r>
    </w:p>
    <w:p w14:paraId="16F8186F" w14:textId="58D2A628" w:rsidR="00036AFD" w:rsidRPr="0042784A" w:rsidRDefault="00B647DA" w:rsidP="008139E1">
      <w:pPr>
        <w:pStyle w:val="Lgende"/>
        <w:rPr>
          <w:color w:val="auto"/>
          <w:sz w:val="22"/>
        </w:rPr>
      </w:pPr>
      <w:bookmarkStart w:id="153" w:name="_Toc164503665"/>
      <w:r w:rsidRPr="0042784A">
        <w:rPr>
          <w:b/>
          <w:i w:val="0"/>
          <w:color w:val="auto"/>
          <w:sz w:val="22"/>
          <w:szCs w:val="22"/>
        </w:rPr>
        <w:t xml:space="preserve">Tableau </w:t>
      </w:r>
      <w:r w:rsidRPr="0042784A">
        <w:rPr>
          <w:b/>
          <w:i w:val="0"/>
          <w:color w:val="auto"/>
          <w:sz w:val="22"/>
          <w:szCs w:val="22"/>
        </w:rPr>
        <w:fldChar w:fldCharType="begin"/>
      </w:r>
      <w:r w:rsidRPr="0042784A">
        <w:rPr>
          <w:b/>
          <w:i w:val="0"/>
          <w:color w:val="auto"/>
          <w:sz w:val="22"/>
          <w:szCs w:val="22"/>
        </w:rPr>
        <w:instrText xml:space="preserve"> SEQ Tableau \* ARABIC </w:instrText>
      </w:r>
      <w:r w:rsidRPr="0042784A">
        <w:rPr>
          <w:b/>
          <w:i w:val="0"/>
          <w:color w:val="auto"/>
          <w:sz w:val="22"/>
          <w:szCs w:val="22"/>
        </w:rPr>
        <w:fldChar w:fldCharType="separate"/>
      </w:r>
      <w:r w:rsidR="007C2E4E">
        <w:rPr>
          <w:b/>
          <w:i w:val="0"/>
          <w:noProof/>
          <w:color w:val="auto"/>
          <w:sz w:val="22"/>
          <w:szCs w:val="22"/>
        </w:rPr>
        <w:t>78</w:t>
      </w:r>
      <w:r w:rsidRPr="0042784A">
        <w:rPr>
          <w:b/>
          <w:i w:val="0"/>
          <w:color w:val="auto"/>
          <w:sz w:val="22"/>
          <w:szCs w:val="22"/>
        </w:rPr>
        <w:fldChar w:fldCharType="end"/>
      </w:r>
      <w:r w:rsidRPr="0042784A">
        <w:rPr>
          <w:i w:val="0"/>
          <w:color w:val="auto"/>
          <w:sz w:val="22"/>
          <w:szCs w:val="22"/>
        </w:rPr>
        <w:t xml:space="preserve"> : </w:t>
      </w:r>
      <w:r w:rsidRPr="0042784A">
        <w:rPr>
          <w:i w:val="0"/>
          <w:color w:val="auto"/>
          <w:sz w:val="24"/>
          <w:szCs w:val="24"/>
        </w:rPr>
        <w:t>situation des indicateurs de produits de la promotion de l’inclusion financière au 31 décembre 2023</w:t>
      </w:r>
      <w:bookmarkEnd w:id="153"/>
    </w:p>
    <w:tbl>
      <w:tblPr>
        <w:tblStyle w:val="GridTable4-Accent111"/>
        <w:tblW w:w="5000" w:type="pct"/>
        <w:tblLook w:val="04A0" w:firstRow="1" w:lastRow="0" w:firstColumn="1" w:lastColumn="0" w:noHBand="0" w:noVBand="1"/>
      </w:tblPr>
      <w:tblGrid>
        <w:gridCol w:w="5396"/>
        <w:gridCol w:w="1170"/>
        <w:gridCol w:w="1260"/>
        <w:gridCol w:w="1190"/>
      </w:tblGrid>
      <w:tr w:rsidR="00036AFD" w:rsidRPr="00106BB2" w14:paraId="4E33B597" w14:textId="77777777" w:rsidTr="00E528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46CE184A" w14:textId="6BD4BF84" w:rsidR="00036AFD" w:rsidRPr="00106BB2" w:rsidRDefault="00036AFD" w:rsidP="00E52836">
            <w:pPr>
              <w:keepNext/>
              <w:keepLines/>
              <w:spacing w:after="0" w:line="240" w:lineRule="auto"/>
              <w:rPr>
                <w:sz w:val="22"/>
              </w:rPr>
            </w:pPr>
            <w:r w:rsidRPr="00106BB2">
              <w:rPr>
                <w:sz w:val="22"/>
              </w:rPr>
              <w:t>Indicateur</w:t>
            </w:r>
            <w:r w:rsidR="006A343F">
              <w:rPr>
                <w:sz w:val="22"/>
              </w:rPr>
              <w:t>s</w:t>
            </w:r>
            <w:r w:rsidRPr="00106BB2">
              <w:rPr>
                <w:sz w:val="22"/>
              </w:rPr>
              <w:t xml:space="preserve"> </w:t>
            </w:r>
          </w:p>
        </w:tc>
        <w:tc>
          <w:tcPr>
            <w:tcW w:w="649" w:type="pct"/>
          </w:tcPr>
          <w:p w14:paraId="6B86B109"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2022</w:t>
            </w:r>
          </w:p>
        </w:tc>
        <w:tc>
          <w:tcPr>
            <w:tcW w:w="699" w:type="pct"/>
          </w:tcPr>
          <w:p w14:paraId="2942A487"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2023</w:t>
            </w:r>
          </w:p>
        </w:tc>
        <w:tc>
          <w:tcPr>
            <w:tcW w:w="660" w:type="pct"/>
          </w:tcPr>
          <w:p w14:paraId="7CAE8510" w14:textId="77777777" w:rsidR="00036AFD" w:rsidRPr="00106BB2" w:rsidRDefault="00036AFD"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Cible 2023</w:t>
            </w:r>
          </w:p>
        </w:tc>
      </w:tr>
      <w:tr w:rsidR="00036AFD" w:rsidRPr="00106BB2" w14:paraId="46C45C7C"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30CA4895" w14:textId="244CF04F" w:rsidR="00036AFD" w:rsidRPr="00106BB2" w:rsidRDefault="00036AFD" w:rsidP="00BB3841">
            <w:pPr>
              <w:keepNext/>
              <w:keepLines/>
              <w:spacing w:after="0" w:line="240" w:lineRule="auto"/>
              <w:rPr>
                <w:sz w:val="22"/>
              </w:rPr>
            </w:pPr>
            <w:r w:rsidRPr="00106BB2">
              <w:rPr>
                <w:sz w:val="22"/>
              </w:rPr>
              <w:t xml:space="preserve">Nombre de personnes formées </w:t>
            </w:r>
            <w:r w:rsidR="00BB3841">
              <w:rPr>
                <w:sz w:val="22"/>
              </w:rPr>
              <w:t>à l’</w:t>
            </w:r>
            <w:r w:rsidRPr="00106BB2">
              <w:rPr>
                <w:sz w:val="22"/>
              </w:rPr>
              <w:t>éducation financière</w:t>
            </w:r>
          </w:p>
        </w:tc>
        <w:tc>
          <w:tcPr>
            <w:tcW w:w="649" w:type="pct"/>
          </w:tcPr>
          <w:p w14:paraId="5B4F5717" w14:textId="46743189"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7</w:t>
            </w:r>
            <w:r w:rsidR="00AF128B" w:rsidRPr="00036AFD">
              <w:rPr>
                <w:szCs w:val="24"/>
              </w:rPr>
              <w:t> </w:t>
            </w:r>
            <w:r w:rsidRPr="00106BB2">
              <w:rPr>
                <w:sz w:val="22"/>
              </w:rPr>
              <w:t>276</w:t>
            </w:r>
          </w:p>
        </w:tc>
        <w:tc>
          <w:tcPr>
            <w:tcW w:w="699" w:type="pct"/>
          </w:tcPr>
          <w:p w14:paraId="0DCCFAD4" w14:textId="72B47D72" w:rsidR="00036AFD" w:rsidRPr="00106BB2" w:rsidRDefault="00036AFD" w:rsidP="00AF128B">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9</w:t>
            </w:r>
            <w:r w:rsidR="00AF128B" w:rsidRPr="00036AFD">
              <w:rPr>
                <w:szCs w:val="24"/>
              </w:rPr>
              <w:t> </w:t>
            </w:r>
            <w:r w:rsidRPr="00106BB2">
              <w:rPr>
                <w:sz w:val="22"/>
              </w:rPr>
              <w:t>234</w:t>
            </w:r>
          </w:p>
        </w:tc>
        <w:tc>
          <w:tcPr>
            <w:tcW w:w="660" w:type="pct"/>
          </w:tcPr>
          <w:p w14:paraId="0BBF58F5"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 xml:space="preserve">15 000 </w:t>
            </w:r>
          </w:p>
        </w:tc>
      </w:tr>
      <w:tr w:rsidR="00036AFD" w:rsidRPr="00106BB2" w14:paraId="1268F641"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992" w:type="pct"/>
          </w:tcPr>
          <w:p w14:paraId="761CE4B3" w14:textId="4F65B6A6" w:rsidR="00036AFD" w:rsidRPr="00106BB2" w:rsidRDefault="00036AFD" w:rsidP="00E52836">
            <w:pPr>
              <w:keepNext/>
              <w:keepLines/>
              <w:spacing w:after="0" w:line="240" w:lineRule="auto"/>
              <w:rPr>
                <w:sz w:val="22"/>
              </w:rPr>
            </w:pPr>
            <w:r w:rsidRPr="00106BB2">
              <w:rPr>
                <w:sz w:val="22"/>
              </w:rPr>
              <w:t>Niveau d’opérationnalisation de l</w:t>
            </w:r>
            <w:r w:rsidRPr="00106BB2">
              <w:rPr>
                <w:color w:val="000000"/>
                <w:sz w:val="22"/>
              </w:rPr>
              <w:t xml:space="preserve">’Observatoire de la </w:t>
            </w:r>
            <w:r w:rsidR="00BB3841">
              <w:rPr>
                <w:color w:val="000000"/>
                <w:sz w:val="22"/>
              </w:rPr>
              <w:t>q</w:t>
            </w:r>
            <w:r w:rsidRPr="00106BB2">
              <w:rPr>
                <w:color w:val="000000"/>
                <w:sz w:val="22"/>
              </w:rPr>
              <w:t xml:space="preserve">ualité des </w:t>
            </w:r>
            <w:r w:rsidR="00BB3841">
              <w:rPr>
                <w:color w:val="000000"/>
                <w:sz w:val="22"/>
              </w:rPr>
              <w:t>s</w:t>
            </w:r>
            <w:r w:rsidRPr="00106BB2">
              <w:rPr>
                <w:color w:val="000000"/>
                <w:sz w:val="22"/>
              </w:rPr>
              <w:t xml:space="preserve">ervices </w:t>
            </w:r>
            <w:r w:rsidR="00BB3841">
              <w:rPr>
                <w:color w:val="000000"/>
                <w:sz w:val="22"/>
              </w:rPr>
              <w:t>f</w:t>
            </w:r>
            <w:r w:rsidRPr="00106BB2">
              <w:rPr>
                <w:color w:val="000000"/>
                <w:sz w:val="22"/>
              </w:rPr>
              <w:t>inanciers (</w:t>
            </w:r>
            <w:r w:rsidRPr="00106BB2">
              <w:rPr>
                <w:sz w:val="22"/>
              </w:rPr>
              <w:t>OQSF)</w:t>
            </w:r>
          </w:p>
        </w:tc>
        <w:tc>
          <w:tcPr>
            <w:tcW w:w="649" w:type="pct"/>
          </w:tcPr>
          <w:p w14:paraId="4D7E9732"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0</w:t>
            </w:r>
          </w:p>
        </w:tc>
        <w:tc>
          <w:tcPr>
            <w:tcW w:w="699" w:type="pct"/>
          </w:tcPr>
          <w:p w14:paraId="0C7B2FDC"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90</w:t>
            </w:r>
          </w:p>
        </w:tc>
        <w:tc>
          <w:tcPr>
            <w:tcW w:w="660" w:type="pct"/>
          </w:tcPr>
          <w:p w14:paraId="6CE7C477" w14:textId="77777777" w:rsidR="00036AFD" w:rsidRPr="00106BB2" w:rsidRDefault="00036AFD"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80</w:t>
            </w:r>
          </w:p>
        </w:tc>
      </w:tr>
      <w:tr w:rsidR="00036AFD" w:rsidRPr="00106BB2" w14:paraId="44572416"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92" w:type="pct"/>
          </w:tcPr>
          <w:p w14:paraId="5FBBDA2D" w14:textId="77777777" w:rsidR="00036AFD" w:rsidRPr="00106BB2" w:rsidRDefault="00036AFD" w:rsidP="00E52836">
            <w:pPr>
              <w:keepNext/>
              <w:keepLines/>
              <w:spacing w:after="0" w:line="240" w:lineRule="auto"/>
              <w:rPr>
                <w:sz w:val="22"/>
              </w:rPr>
            </w:pPr>
            <w:r w:rsidRPr="00106BB2">
              <w:rPr>
                <w:sz w:val="22"/>
              </w:rPr>
              <w:t>Disponibilité du document de stratégie de la finance inclusive</w:t>
            </w:r>
          </w:p>
        </w:tc>
        <w:tc>
          <w:tcPr>
            <w:tcW w:w="649" w:type="pct"/>
          </w:tcPr>
          <w:p w14:paraId="44ADE3E3"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0</w:t>
            </w:r>
          </w:p>
        </w:tc>
        <w:tc>
          <w:tcPr>
            <w:tcW w:w="699" w:type="pct"/>
          </w:tcPr>
          <w:p w14:paraId="5E0C58C0"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0</w:t>
            </w:r>
          </w:p>
        </w:tc>
        <w:tc>
          <w:tcPr>
            <w:tcW w:w="660" w:type="pct"/>
          </w:tcPr>
          <w:p w14:paraId="1AB59D10" w14:textId="77777777" w:rsidR="00036AFD" w:rsidRPr="00106BB2" w:rsidRDefault="00036AFD"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1</w:t>
            </w:r>
          </w:p>
        </w:tc>
      </w:tr>
    </w:tbl>
    <w:p w14:paraId="5E103F73" w14:textId="3D68BCCF" w:rsidR="00036AFD" w:rsidRPr="00106BB2" w:rsidRDefault="00036AFD" w:rsidP="00036AFD">
      <w:pPr>
        <w:spacing w:line="240" w:lineRule="auto"/>
        <w:rPr>
          <w:sz w:val="20"/>
          <w:szCs w:val="20"/>
        </w:rPr>
      </w:pPr>
      <w:r w:rsidRPr="00106BB2">
        <w:rPr>
          <w:b/>
          <w:sz w:val="20"/>
          <w:szCs w:val="20"/>
          <w:u w:val="single"/>
        </w:rPr>
        <w:t>Source</w:t>
      </w:r>
      <w:r w:rsidRPr="00106BB2">
        <w:rPr>
          <w:sz w:val="20"/>
          <w:szCs w:val="20"/>
        </w:rPr>
        <w:t xml:space="preserve"> : rapport annuel de performance 2023 du </w:t>
      </w:r>
      <w:r w:rsidR="006A343F">
        <w:rPr>
          <w:sz w:val="20"/>
          <w:szCs w:val="20"/>
        </w:rPr>
        <w:t>CSD-</w:t>
      </w:r>
      <w:r w:rsidRPr="00106BB2">
        <w:rPr>
          <w:sz w:val="20"/>
          <w:szCs w:val="20"/>
        </w:rPr>
        <w:t>CSM, février 2024</w:t>
      </w:r>
    </w:p>
    <w:p w14:paraId="305F085A" w14:textId="77777777" w:rsidR="00036AFD" w:rsidRPr="00036AFD"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 xml:space="preserve">Au 31 décembre, les résultats sont peu satisfaisants. Il convient de retenir quelques acquis : l’opérationnalisation de l’Observatoire de la qualité des services financiers à travers l’adoption des textes d’application de son décret de création, du plan d’action 2023-2025, la nomination de quatre médiateurs financiers, la formation à la base en éducation financière de 9 234 personnes. </w:t>
      </w:r>
    </w:p>
    <w:p w14:paraId="416D064E" w14:textId="27C1420E" w:rsidR="0080326C" w:rsidRPr="008279B8" w:rsidRDefault="00036AFD" w:rsidP="00F175A7">
      <w:pPr>
        <w:numPr>
          <w:ilvl w:val="0"/>
          <w:numId w:val="8"/>
        </w:numPr>
        <w:shd w:val="clear" w:color="auto" w:fill="FFFFFF"/>
        <w:spacing w:before="120" w:after="120" w:line="240" w:lineRule="auto"/>
        <w:ind w:left="0"/>
        <w:rPr>
          <w:rFonts w:eastAsia="Calibri"/>
          <w:szCs w:val="24"/>
        </w:rPr>
      </w:pPr>
      <w:r w:rsidRPr="00036AFD">
        <w:rPr>
          <w:rFonts w:eastAsia="Calibri"/>
          <w:szCs w:val="24"/>
        </w:rPr>
        <w:t>En terme</w:t>
      </w:r>
      <w:r w:rsidR="00BB3841">
        <w:rPr>
          <w:rFonts w:eastAsia="Calibri"/>
          <w:szCs w:val="24"/>
        </w:rPr>
        <w:t>s</w:t>
      </w:r>
      <w:r w:rsidRPr="00036AFD">
        <w:rPr>
          <w:rFonts w:eastAsia="Calibri"/>
          <w:szCs w:val="24"/>
        </w:rPr>
        <w:t xml:space="preserve"> financier</w:t>
      </w:r>
      <w:r w:rsidR="00BB3841">
        <w:rPr>
          <w:rFonts w:eastAsia="Calibri"/>
          <w:szCs w:val="24"/>
        </w:rPr>
        <w:t>s</w:t>
      </w:r>
      <w:r w:rsidRPr="00036AFD">
        <w:rPr>
          <w:rFonts w:eastAsia="Calibri"/>
          <w:szCs w:val="24"/>
        </w:rPr>
        <w:t>, ce sont 199 467 420 FCFA qui ont été dépensés sur une programmation prévisionnelle de 475 500 000 FCFA, soit un taux d’exécution de 49,95%</w:t>
      </w:r>
      <w:r w:rsidR="00CD1A20">
        <w:rPr>
          <w:rFonts w:eastAsia="Calibri"/>
          <w:szCs w:val="24"/>
        </w:rPr>
        <w:t>.</w:t>
      </w:r>
    </w:p>
    <w:p w14:paraId="0F45DE45" w14:textId="77777777" w:rsidR="001B60A2" w:rsidRPr="008D2129" w:rsidRDefault="001B60A2" w:rsidP="001B60A2"/>
    <w:p w14:paraId="3FC39273" w14:textId="6DB8FB4A" w:rsidR="00C54CA7" w:rsidRPr="00C54CA7" w:rsidRDefault="00EA252D" w:rsidP="00C54CA7">
      <w:pPr>
        <w:pStyle w:val="PAT4"/>
      </w:pPr>
      <w:bookmarkStart w:id="154" w:name="_Toc163141240"/>
      <w:r w:rsidRPr="008D2129">
        <w:t>Objectif stratégique 4.4 : Développer des infrastructures de qualité et résilientes, pour favoriser la transformation structurelle de l'économie</w:t>
      </w:r>
      <w:bookmarkEnd w:id="154"/>
    </w:p>
    <w:p w14:paraId="6067572F" w14:textId="77777777"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L’OS 4.4, Développer des infrastructures de qualité et résilientes, pour favoriser la transformation structurelle de l’économie, est mis en œuvre à travers le PA-SD au moyen de dix (10) actions regroupées dans 4 domaines et dont les situations d’exécution sont présentées ci-dessous par domaine.</w:t>
      </w:r>
    </w:p>
    <w:p w14:paraId="77887E1D" w14:textId="4CB071AD" w:rsidR="008008C3" w:rsidRDefault="00C54CA7"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Concernant le domaine des infrastructures hydrauliques</w:t>
      </w:r>
      <w:r w:rsidRPr="00C54CA7">
        <w:rPr>
          <w:rFonts w:eastAsia="Calibri"/>
          <w:szCs w:val="24"/>
        </w:rPr>
        <w:t xml:space="preserve">, les actions programmées concernent la relance des travaux des infrastructures hydrauliques (03109), l’entretien et maintenance des ouvrages de mobilisation et de valorisation des ressources en eau (03110) et la poursuite de la protection et de la gestion des ressources en eau (03111). La situation de réalisation des cibles 2023 des indicateurs de ces actions est fournie par le tableau </w:t>
      </w:r>
      <w:r w:rsidR="00BB3841">
        <w:rPr>
          <w:rFonts w:eastAsia="Calibri"/>
          <w:szCs w:val="24"/>
        </w:rPr>
        <w:t>ci-dessous</w:t>
      </w:r>
      <w:r w:rsidRPr="00C54CA7">
        <w:rPr>
          <w:rFonts w:eastAsia="Calibri"/>
          <w:szCs w:val="24"/>
        </w:rPr>
        <w:t xml:space="preserve"> qui montre </w:t>
      </w:r>
      <w:r w:rsidR="007D018A">
        <w:rPr>
          <w:rFonts w:eastAsia="Calibri"/>
          <w:szCs w:val="24"/>
        </w:rPr>
        <w:t xml:space="preserve">que </w:t>
      </w:r>
      <w:r w:rsidR="00CD1A20">
        <w:rPr>
          <w:rFonts w:eastAsia="Calibri"/>
          <w:szCs w:val="24"/>
        </w:rPr>
        <w:t xml:space="preserve">les niveaux de </w:t>
      </w:r>
      <w:r w:rsidRPr="00C54CA7">
        <w:rPr>
          <w:rFonts w:eastAsia="Calibri"/>
          <w:szCs w:val="24"/>
        </w:rPr>
        <w:t xml:space="preserve">l’ensemble des indicateurs des 3 actions sont quasiment </w:t>
      </w:r>
      <w:proofErr w:type="gramStart"/>
      <w:r w:rsidRPr="00C54CA7">
        <w:rPr>
          <w:rFonts w:eastAsia="Calibri"/>
          <w:szCs w:val="24"/>
        </w:rPr>
        <w:t>alignés</w:t>
      </w:r>
      <w:proofErr w:type="gramEnd"/>
      <w:r w:rsidRPr="00C54CA7">
        <w:rPr>
          <w:rFonts w:eastAsia="Calibri"/>
          <w:szCs w:val="24"/>
        </w:rPr>
        <w:t xml:space="preserve"> sur leur cible annuelle 2023.</w:t>
      </w:r>
    </w:p>
    <w:p w14:paraId="6BBC34EE" w14:textId="77777777" w:rsidR="008008C3" w:rsidRDefault="008008C3">
      <w:pPr>
        <w:spacing w:after="0" w:line="240" w:lineRule="auto"/>
        <w:jc w:val="left"/>
        <w:rPr>
          <w:rFonts w:eastAsia="Calibri"/>
          <w:szCs w:val="24"/>
        </w:rPr>
      </w:pPr>
      <w:r>
        <w:rPr>
          <w:rFonts w:eastAsia="Calibri"/>
          <w:szCs w:val="24"/>
        </w:rPr>
        <w:br w:type="page"/>
      </w:r>
    </w:p>
    <w:p w14:paraId="4A5B08C8" w14:textId="6D540B03" w:rsidR="00C54CA7" w:rsidRDefault="00B647DA" w:rsidP="00C54CA7">
      <w:pPr>
        <w:keepNext/>
        <w:keepLines/>
        <w:spacing w:after="0" w:line="240" w:lineRule="auto"/>
        <w:rPr>
          <w:sz w:val="22"/>
        </w:rPr>
      </w:pPr>
      <w:bookmarkStart w:id="155" w:name="_Toc164503666"/>
      <w:r w:rsidRPr="008139E1">
        <w:rPr>
          <w:b/>
          <w:sz w:val="22"/>
          <w:u w:val="single"/>
        </w:rPr>
        <w:lastRenderedPageBreak/>
        <w:t xml:space="preserve">Tableau </w:t>
      </w:r>
      <w:r w:rsidRPr="008139E1">
        <w:rPr>
          <w:b/>
          <w:sz w:val="22"/>
          <w:u w:val="single"/>
        </w:rPr>
        <w:fldChar w:fldCharType="begin"/>
      </w:r>
      <w:r w:rsidRPr="008139E1">
        <w:rPr>
          <w:b/>
          <w:sz w:val="22"/>
          <w:u w:val="single"/>
        </w:rPr>
        <w:instrText xml:space="preserve"> SEQ Tableau \* ARABIC </w:instrText>
      </w:r>
      <w:r w:rsidRPr="008139E1">
        <w:rPr>
          <w:b/>
          <w:sz w:val="22"/>
          <w:u w:val="single"/>
        </w:rPr>
        <w:fldChar w:fldCharType="separate"/>
      </w:r>
      <w:r w:rsidR="007C2E4E">
        <w:rPr>
          <w:b/>
          <w:noProof/>
          <w:sz w:val="22"/>
          <w:u w:val="single"/>
        </w:rPr>
        <w:t>79</w:t>
      </w:r>
      <w:r w:rsidRPr="008139E1">
        <w:rPr>
          <w:b/>
          <w:sz w:val="22"/>
          <w:u w:val="single"/>
        </w:rPr>
        <w:fldChar w:fldCharType="end"/>
      </w:r>
      <w:r w:rsidRPr="008139E1">
        <w:rPr>
          <w:sz w:val="22"/>
        </w:rPr>
        <w:t xml:space="preserve">: </w:t>
      </w:r>
      <w:r w:rsidRPr="00B647DA">
        <w:rPr>
          <w:szCs w:val="24"/>
        </w:rPr>
        <w:t>situation des indicateurs des actions du domaine des infrastructures hydrauliques</w:t>
      </w:r>
      <w:bookmarkEnd w:id="155"/>
    </w:p>
    <w:tbl>
      <w:tblPr>
        <w:tblStyle w:val="GridTable4-Accent111"/>
        <w:tblW w:w="9016" w:type="dxa"/>
        <w:tblLayout w:type="fixed"/>
        <w:tblLook w:val="04A0" w:firstRow="1" w:lastRow="0" w:firstColumn="1" w:lastColumn="0" w:noHBand="0" w:noVBand="1"/>
      </w:tblPr>
      <w:tblGrid>
        <w:gridCol w:w="4792"/>
        <w:gridCol w:w="1408"/>
        <w:gridCol w:w="1410"/>
        <w:gridCol w:w="1406"/>
      </w:tblGrid>
      <w:tr w:rsidR="00C54CA7" w:rsidRPr="00106BB2" w14:paraId="2FF75121" w14:textId="77777777" w:rsidTr="00F175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92" w:type="dxa"/>
            <w:shd w:val="clear" w:color="auto" w:fill="4472C4" w:themeFill="accent1"/>
          </w:tcPr>
          <w:p w14:paraId="216CD060" w14:textId="77777777" w:rsidR="00C54CA7" w:rsidRPr="00106BB2" w:rsidRDefault="00C54CA7" w:rsidP="006A343F">
            <w:pPr>
              <w:widowControl w:val="0"/>
              <w:spacing w:after="0" w:line="240" w:lineRule="auto"/>
              <w:jc w:val="left"/>
              <w:rPr>
                <w:sz w:val="22"/>
              </w:rPr>
            </w:pPr>
            <w:r w:rsidRPr="00106BB2">
              <w:rPr>
                <w:sz w:val="22"/>
              </w:rPr>
              <w:t>Indicateurs</w:t>
            </w:r>
          </w:p>
        </w:tc>
        <w:tc>
          <w:tcPr>
            <w:tcW w:w="1408" w:type="dxa"/>
            <w:shd w:val="clear" w:color="auto" w:fill="4472C4" w:themeFill="accent1"/>
          </w:tcPr>
          <w:p w14:paraId="6682C60B" w14:textId="77777777" w:rsidR="00C54CA7" w:rsidRPr="00106BB2" w:rsidRDefault="00C54CA7" w:rsidP="00F175A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06BB2">
              <w:rPr>
                <w:sz w:val="22"/>
              </w:rPr>
              <w:t>Réf. 2022</w:t>
            </w:r>
          </w:p>
        </w:tc>
        <w:tc>
          <w:tcPr>
            <w:tcW w:w="1410" w:type="dxa"/>
            <w:shd w:val="clear" w:color="auto" w:fill="4472C4" w:themeFill="accent1"/>
          </w:tcPr>
          <w:p w14:paraId="41F485AA" w14:textId="77777777" w:rsidR="00C54CA7" w:rsidRPr="00106BB2" w:rsidRDefault="00C54CA7" w:rsidP="00F175A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2023</w:t>
            </w:r>
          </w:p>
        </w:tc>
        <w:tc>
          <w:tcPr>
            <w:tcW w:w="1406" w:type="dxa"/>
            <w:shd w:val="clear" w:color="auto" w:fill="4472C4" w:themeFill="accent1"/>
          </w:tcPr>
          <w:p w14:paraId="5CB89349" w14:textId="77777777" w:rsidR="00C54CA7" w:rsidRPr="00106BB2" w:rsidRDefault="00C54CA7" w:rsidP="00F175A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06BB2">
              <w:rPr>
                <w:sz w:val="22"/>
              </w:rPr>
              <w:t>Cible 2023</w:t>
            </w:r>
          </w:p>
        </w:tc>
      </w:tr>
      <w:tr w:rsidR="00C54CA7" w:rsidRPr="00106BB2" w14:paraId="429E9BC0" w14:textId="77777777" w:rsidTr="00F175A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FFF2CC" w:themeFill="accent4" w:themeFillTint="33"/>
          </w:tcPr>
          <w:p w14:paraId="3DF03143" w14:textId="77777777" w:rsidR="00C54CA7" w:rsidRPr="00106BB2" w:rsidRDefault="00C54CA7" w:rsidP="006A343F">
            <w:pPr>
              <w:widowControl w:val="0"/>
              <w:spacing w:after="0" w:line="240" w:lineRule="auto"/>
              <w:rPr>
                <w:color w:val="000000"/>
                <w:sz w:val="22"/>
              </w:rPr>
            </w:pPr>
            <w:r w:rsidRPr="00106BB2">
              <w:rPr>
                <w:sz w:val="22"/>
              </w:rPr>
              <w:t>Action 03109 : Relance des travaux des infrastructures hydrauliques</w:t>
            </w:r>
          </w:p>
        </w:tc>
      </w:tr>
      <w:tr w:rsidR="00C54CA7" w:rsidRPr="00106BB2" w14:paraId="4D690559" w14:textId="77777777" w:rsidTr="00E52836">
        <w:trPr>
          <w:trHeight w:val="320"/>
        </w:trPr>
        <w:tc>
          <w:tcPr>
            <w:cnfStyle w:val="001000000000" w:firstRow="0" w:lastRow="0" w:firstColumn="1" w:lastColumn="0" w:oddVBand="0" w:evenVBand="0" w:oddHBand="0" w:evenHBand="0" w:firstRowFirstColumn="0" w:firstRowLastColumn="0" w:lastRowFirstColumn="0" w:lastRowLastColumn="0"/>
            <w:tcW w:w="4792" w:type="dxa"/>
          </w:tcPr>
          <w:p w14:paraId="59C9E85E" w14:textId="27073F2A" w:rsidR="00C54CA7" w:rsidRPr="00106BB2" w:rsidRDefault="00C54CA7" w:rsidP="006A343F">
            <w:pPr>
              <w:widowControl w:val="0"/>
              <w:spacing w:after="0" w:line="240" w:lineRule="auto"/>
              <w:rPr>
                <w:color w:val="000000"/>
                <w:sz w:val="22"/>
              </w:rPr>
            </w:pPr>
            <w:r w:rsidRPr="00106BB2">
              <w:rPr>
                <w:sz w:val="22"/>
              </w:rPr>
              <w:t>Capacité de stockage en eau de surface (Million</w:t>
            </w:r>
            <w:r w:rsidR="0046390F">
              <w:rPr>
                <w:sz w:val="22"/>
              </w:rPr>
              <w:t>s</w:t>
            </w:r>
            <w:r w:rsidRPr="00106BB2">
              <w:rPr>
                <w:sz w:val="22"/>
              </w:rPr>
              <w:t xml:space="preserve"> de m3)</w:t>
            </w:r>
          </w:p>
        </w:tc>
        <w:tc>
          <w:tcPr>
            <w:tcW w:w="1408" w:type="dxa"/>
          </w:tcPr>
          <w:p w14:paraId="31E45343" w14:textId="77777777" w:rsidR="00C54CA7" w:rsidRPr="00106BB2" w:rsidRDefault="00C54CA7"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6 150,96</w:t>
            </w:r>
          </w:p>
        </w:tc>
        <w:tc>
          <w:tcPr>
            <w:tcW w:w="1410" w:type="dxa"/>
          </w:tcPr>
          <w:p w14:paraId="1F5B0782" w14:textId="77777777" w:rsidR="00C54CA7" w:rsidRPr="00106BB2" w:rsidRDefault="00C54CA7"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color w:val="000000"/>
                <w:sz w:val="22"/>
              </w:rPr>
            </w:pPr>
            <w:r w:rsidRPr="00106BB2">
              <w:rPr>
                <w:rFonts w:ascii="Bookman Old Style" w:eastAsia="Bookman Old Style" w:hAnsi="Bookman Old Style" w:cs="Bookman Old Style"/>
                <w:color w:val="000000"/>
                <w:sz w:val="22"/>
              </w:rPr>
              <w:t>6 153,88</w:t>
            </w:r>
          </w:p>
        </w:tc>
        <w:tc>
          <w:tcPr>
            <w:tcW w:w="1406" w:type="dxa"/>
          </w:tcPr>
          <w:p w14:paraId="023BDBB9" w14:textId="77777777" w:rsidR="00C54CA7" w:rsidRPr="00106BB2" w:rsidRDefault="00C54CA7"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6 154,71</w:t>
            </w:r>
          </w:p>
        </w:tc>
      </w:tr>
      <w:tr w:rsidR="00C54CA7" w:rsidRPr="00106BB2" w14:paraId="631ECF2C" w14:textId="77777777" w:rsidTr="00F175A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FFF2CC" w:themeFill="accent4" w:themeFillTint="33"/>
          </w:tcPr>
          <w:p w14:paraId="50FF0991" w14:textId="77777777" w:rsidR="00C54CA7" w:rsidRPr="00106BB2" w:rsidRDefault="00C54CA7" w:rsidP="006A343F">
            <w:pPr>
              <w:widowControl w:val="0"/>
              <w:spacing w:after="0" w:line="240" w:lineRule="auto"/>
              <w:rPr>
                <w:color w:val="000000"/>
                <w:sz w:val="22"/>
              </w:rPr>
            </w:pPr>
            <w:r w:rsidRPr="00106BB2">
              <w:rPr>
                <w:sz w:val="22"/>
              </w:rPr>
              <w:t>Action 03110 : Entretien et maintenance des ouvrages de mobilisation et de valorisation des ressources en eau</w:t>
            </w:r>
          </w:p>
        </w:tc>
      </w:tr>
      <w:tr w:rsidR="00C54CA7" w:rsidRPr="00106BB2" w14:paraId="1D40331F" w14:textId="77777777" w:rsidTr="00E52836">
        <w:trPr>
          <w:trHeight w:val="320"/>
        </w:trPr>
        <w:tc>
          <w:tcPr>
            <w:cnfStyle w:val="001000000000" w:firstRow="0" w:lastRow="0" w:firstColumn="1" w:lastColumn="0" w:oddVBand="0" w:evenVBand="0" w:oddHBand="0" w:evenHBand="0" w:firstRowFirstColumn="0" w:firstRowLastColumn="0" w:lastRowFirstColumn="0" w:lastRowLastColumn="0"/>
            <w:tcW w:w="4792" w:type="dxa"/>
          </w:tcPr>
          <w:p w14:paraId="2FFEC079" w14:textId="77777777" w:rsidR="00C54CA7" w:rsidRPr="00106BB2" w:rsidRDefault="00C54CA7" w:rsidP="006A343F">
            <w:pPr>
              <w:widowControl w:val="0"/>
              <w:spacing w:after="0" w:line="240" w:lineRule="auto"/>
              <w:rPr>
                <w:color w:val="000000"/>
                <w:sz w:val="22"/>
              </w:rPr>
            </w:pPr>
            <w:r w:rsidRPr="00106BB2">
              <w:rPr>
                <w:sz w:val="22"/>
              </w:rPr>
              <w:t>Taux de fonctionnalité des barrages</w:t>
            </w:r>
          </w:p>
        </w:tc>
        <w:tc>
          <w:tcPr>
            <w:tcW w:w="1408" w:type="dxa"/>
          </w:tcPr>
          <w:p w14:paraId="5B2AB49A" w14:textId="77777777" w:rsidR="00C54CA7" w:rsidRPr="00106BB2" w:rsidRDefault="00C54CA7" w:rsidP="00F1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57,2</w:t>
            </w:r>
          </w:p>
        </w:tc>
        <w:tc>
          <w:tcPr>
            <w:tcW w:w="1410" w:type="dxa"/>
          </w:tcPr>
          <w:p w14:paraId="105F5F33" w14:textId="77777777" w:rsidR="00C54CA7" w:rsidRPr="00106BB2" w:rsidRDefault="00C54CA7" w:rsidP="00F1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57,2</w:t>
            </w:r>
          </w:p>
        </w:tc>
        <w:tc>
          <w:tcPr>
            <w:tcW w:w="1406" w:type="dxa"/>
          </w:tcPr>
          <w:p w14:paraId="35D3E68B" w14:textId="77777777" w:rsidR="00C54CA7" w:rsidRPr="00106BB2" w:rsidRDefault="00C54CA7" w:rsidP="00F1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57,3</w:t>
            </w:r>
          </w:p>
        </w:tc>
      </w:tr>
      <w:tr w:rsidR="00C54CA7" w:rsidRPr="00106BB2" w14:paraId="702489D8" w14:textId="77777777" w:rsidTr="00F175A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FFF2CC" w:themeFill="accent4" w:themeFillTint="33"/>
          </w:tcPr>
          <w:p w14:paraId="42F5F0D2" w14:textId="77777777" w:rsidR="00C54CA7" w:rsidRPr="00106BB2" w:rsidRDefault="00C54CA7" w:rsidP="006A343F">
            <w:pPr>
              <w:widowControl w:val="0"/>
              <w:spacing w:after="0" w:line="240" w:lineRule="auto"/>
              <w:jc w:val="left"/>
              <w:rPr>
                <w:color w:val="000000"/>
                <w:sz w:val="22"/>
              </w:rPr>
            </w:pPr>
            <w:r w:rsidRPr="00106BB2">
              <w:rPr>
                <w:sz w:val="22"/>
              </w:rPr>
              <w:t>Action 03111 : Poursuite de la protection et de la gestion des ressources en eau</w:t>
            </w:r>
          </w:p>
        </w:tc>
      </w:tr>
      <w:tr w:rsidR="00C54CA7" w:rsidRPr="00106BB2" w14:paraId="7697E51E" w14:textId="77777777" w:rsidTr="00E52836">
        <w:trPr>
          <w:trHeight w:val="320"/>
        </w:trPr>
        <w:tc>
          <w:tcPr>
            <w:cnfStyle w:val="001000000000" w:firstRow="0" w:lastRow="0" w:firstColumn="1" w:lastColumn="0" w:oddVBand="0" w:evenVBand="0" w:oddHBand="0" w:evenHBand="0" w:firstRowFirstColumn="0" w:firstRowLastColumn="0" w:lastRowFirstColumn="0" w:lastRowLastColumn="0"/>
            <w:tcW w:w="4792" w:type="dxa"/>
          </w:tcPr>
          <w:p w14:paraId="44C91057" w14:textId="77777777" w:rsidR="00C54CA7" w:rsidRPr="00106BB2" w:rsidRDefault="00C54CA7" w:rsidP="006A343F">
            <w:pPr>
              <w:widowControl w:val="0"/>
              <w:spacing w:after="0" w:line="240" w:lineRule="auto"/>
              <w:rPr>
                <w:color w:val="000000"/>
                <w:sz w:val="22"/>
              </w:rPr>
            </w:pPr>
            <w:r w:rsidRPr="00106BB2">
              <w:rPr>
                <w:sz w:val="22"/>
              </w:rPr>
              <w:t>Proportion des retenues d'eau de surface de plus de 500 000 m</w:t>
            </w:r>
            <w:r w:rsidRPr="00106BB2">
              <w:rPr>
                <w:sz w:val="22"/>
                <w:vertAlign w:val="superscript"/>
              </w:rPr>
              <w:t>3</w:t>
            </w:r>
            <w:r w:rsidRPr="00106BB2">
              <w:rPr>
                <w:sz w:val="22"/>
              </w:rPr>
              <w:t xml:space="preserve"> avec protection des berges (%)</w:t>
            </w:r>
          </w:p>
        </w:tc>
        <w:tc>
          <w:tcPr>
            <w:tcW w:w="1408" w:type="dxa"/>
          </w:tcPr>
          <w:p w14:paraId="7084B098" w14:textId="77777777" w:rsidR="00C54CA7" w:rsidRPr="00106BB2" w:rsidRDefault="00C54CA7" w:rsidP="00F1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22</w:t>
            </w:r>
          </w:p>
        </w:tc>
        <w:tc>
          <w:tcPr>
            <w:tcW w:w="1410" w:type="dxa"/>
          </w:tcPr>
          <w:p w14:paraId="2D77B300" w14:textId="77777777" w:rsidR="00C54CA7" w:rsidRPr="00106BB2" w:rsidRDefault="00C54CA7" w:rsidP="00F1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24,7</w:t>
            </w:r>
          </w:p>
        </w:tc>
        <w:tc>
          <w:tcPr>
            <w:tcW w:w="1406" w:type="dxa"/>
          </w:tcPr>
          <w:p w14:paraId="641AE389" w14:textId="77777777" w:rsidR="00C54CA7" w:rsidRPr="00106BB2" w:rsidRDefault="00C54CA7" w:rsidP="00F1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106BB2">
              <w:rPr>
                <w:color w:val="000000"/>
                <w:sz w:val="22"/>
              </w:rPr>
              <w:t>23</w:t>
            </w:r>
          </w:p>
        </w:tc>
      </w:tr>
    </w:tbl>
    <w:p w14:paraId="3C3DB4BF" w14:textId="4C310405" w:rsidR="00C54CA7" w:rsidRPr="00F81859" w:rsidRDefault="00C54CA7" w:rsidP="00C54CA7">
      <w:pPr>
        <w:spacing w:line="240" w:lineRule="auto"/>
        <w:rPr>
          <w:sz w:val="20"/>
          <w:szCs w:val="20"/>
        </w:rPr>
      </w:pPr>
      <w:r w:rsidRPr="00F81859">
        <w:rPr>
          <w:b/>
          <w:sz w:val="20"/>
          <w:szCs w:val="20"/>
          <w:u w:val="single"/>
        </w:rPr>
        <w:t>Source</w:t>
      </w:r>
      <w:r w:rsidRPr="00F81859">
        <w:rPr>
          <w:sz w:val="20"/>
          <w:szCs w:val="20"/>
        </w:rPr>
        <w:t xml:space="preserve"> : rapport annuel de performance 2023 du </w:t>
      </w:r>
      <w:r w:rsidR="006A343F">
        <w:rPr>
          <w:sz w:val="20"/>
          <w:szCs w:val="20"/>
        </w:rPr>
        <w:t>CSD-</w:t>
      </w:r>
      <w:r w:rsidRPr="00F81859">
        <w:rPr>
          <w:sz w:val="20"/>
          <w:szCs w:val="20"/>
        </w:rPr>
        <w:t>PASP, février 2024</w:t>
      </w:r>
    </w:p>
    <w:p w14:paraId="264BDF2D" w14:textId="461E2B02"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Les performances consignées dans le tableau </w:t>
      </w:r>
      <w:r w:rsidR="0046390F">
        <w:rPr>
          <w:rFonts w:eastAsia="Calibri"/>
          <w:szCs w:val="24"/>
        </w:rPr>
        <w:t>ci-dessus</w:t>
      </w:r>
      <w:r w:rsidRPr="00C54CA7">
        <w:rPr>
          <w:rFonts w:eastAsia="Calibri"/>
          <w:szCs w:val="24"/>
        </w:rPr>
        <w:t xml:space="preserve"> reflètent la réalisation des produits dont la situation des indicateurs au regard des cibles annuelles est présentée dans le </w:t>
      </w:r>
      <w:r w:rsidR="0046390F">
        <w:rPr>
          <w:rFonts w:eastAsia="Calibri"/>
          <w:szCs w:val="24"/>
        </w:rPr>
        <w:t>t</w:t>
      </w:r>
      <w:r w:rsidRPr="00C54CA7">
        <w:rPr>
          <w:rFonts w:eastAsia="Calibri"/>
          <w:szCs w:val="24"/>
        </w:rPr>
        <w:t xml:space="preserve">ableau ci-dessous. </w:t>
      </w:r>
    </w:p>
    <w:p w14:paraId="47BD8861" w14:textId="63F1C36D" w:rsidR="00C54CA7" w:rsidRPr="0042784A" w:rsidRDefault="00B647DA" w:rsidP="008139E1">
      <w:pPr>
        <w:pStyle w:val="Lgende"/>
        <w:rPr>
          <w:i w:val="0"/>
          <w:color w:val="auto"/>
          <w:sz w:val="22"/>
        </w:rPr>
      </w:pPr>
      <w:bookmarkStart w:id="156" w:name="_Toc164503667"/>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80</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en lien avec le domaine des infrastructures hydrauliques</w:t>
      </w:r>
      <w:bookmarkEnd w:id="156"/>
    </w:p>
    <w:tbl>
      <w:tblPr>
        <w:tblStyle w:val="GridTable4-Accent111"/>
        <w:tblW w:w="5000" w:type="pct"/>
        <w:tblLook w:val="04A0" w:firstRow="1" w:lastRow="0" w:firstColumn="1" w:lastColumn="0" w:noHBand="0" w:noVBand="1"/>
      </w:tblPr>
      <w:tblGrid>
        <w:gridCol w:w="5020"/>
        <w:gridCol w:w="1239"/>
        <w:gridCol w:w="1480"/>
        <w:gridCol w:w="1277"/>
      </w:tblGrid>
      <w:tr w:rsidR="00C54CA7" w:rsidRPr="00F175A7" w14:paraId="343846ED" w14:textId="77777777" w:rsidTr="00E528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4" w:type="pct"/>
          </w:tcPr>
          <w:p w14:paraId="4D25D292" w14:textId="77777777" w:rsidR="00C54CA7" w:rsidRPr="006A343F" w:rsidRDefault="00C54CA7" w:rsidP="00E52836">
            <w:pPr>
              <w:widowControl w:val="0"/>
              <w:spacing w:after="0" w:line="240" w:lineRule="auto"/>
              <w:jc w:val="left"/>
              <w:rPr>
                <w:sz w:val="22"/>
              </w:rPr>
            </w:pPr>
            <w:r w:rsidRPr="006A343F">
              <w:rPr>
                <w:sz w:val="22"/>
              </w:rPr>
              <w:t>Indicateurs</w:t>
            </w:r>
          </w:p>
        </w:tc>
        <w:tc>
          <w:tcPr>
            <w:tcW w:w="687" w:type="pct"/>
          </w:tcPr>
          <w:p w14:paraId="3F0C0301" w14:textId="77777777" w:rsidR="00C54CA7" w:rsidRPr="00546A22" w:rsidRDefault="00C54CA7" w:rsidP="00E5283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546A22">
              <w:rPr>
                <w:sz w:val="22"/>
              </w:rPr>
              <w:t>Réf. 2022</w:t>
            </w:r>
          </w:p>
        </w:tc>
        <w:tc>
          <w:tcPr>
            <w:tcW w:w="821" w:type="pct"/>
          </w:tcPr>
          <w:p w14:paraId="4ADC20A5" w14:textId="77777777" w:rsidR="00C54CA7" w:rsidRPr="00E958AE" w:rsidRDefault="00C54CA7" w:rsidP="00E5283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E958AE">
              <w:rPr>
                <w:sz w:val="22"/>
              </w:rPr>
              <w:t>Réal. 2023</w:t>
            </w:r>
          </w:p>
        </w:tc>
        <w:tc>
          <w:tcPr>
            <w:tcW w:w="708" w:type="pct"/>
          </w:tcPr>
          <w:p w14:paraId="79DD2744" w14:textId="77777777" w:rsidR="00C54CA7" w:rsidRPr="00F175A7" w:rsidRDefault="00C54CA7" w:rsidP="00E5283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F175A7">
              <w:rPr>
                <w:sz w:val="22"/>
              </w:rPr>
              <w:t>Cible 2023</w:t>
            </w:r>
          </w:p>
        </w:tc>
      </w:tr>
      <w:tr w:rsidR="00C54CA7" w:rsidRPr="00F175A7" w14:paraId="6F060C83" w14:textId="77777777" w:rsidTr="00F175A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6E05C93D" w14:textId="0E64D7A0" w:rsidR="00C54CA7" w:rsidRPr="006A343F" w:rsidRDefault="00C54CA7" w:rsidP="008139E1">
            <w:pPr>
              <w:widowControl w:val="0"/>
              <w:spacing w:after="0" w:line="240" w:lineRule="auto"/>
              <w:jc w:val="left"/>
              <w:rPr>
                <w:color w:val="000000"/>
                <w:sz w:val="22"/>
              </w:rPr>
            </w:pPr>
            <w:r w:rsidRPr="006A343F">
              <w:rPr>
                <w:sz w:val="22"/>
              </w:rPr>
              <w:t>Action 03109 « </w:t>
            </w:r>
            <w:r w:rsidR="0046390F">
              <w:rPr>
                <w:sz w:val="22"/>
              </w:rPr>
              <w:t>r</w:t>
            </w:r>
            <w:r w:rsidRPr="006A343F">
              <w:rPr>
                <w:sz w:val="22"/>
              </w:rPr>
              <w:t>elance des travaux des infrastructures hydrauliques »</w:t>
            </w:r>
          </w:p>
        </w:tc>
      </w:tr>
      <w:tr w:rsidR="00C54CA7" w:rsidRPr="00F175A7" w14:paraId="1569EC11" w14:textId="77777777" w:rsidTr="00E52836">
        <w:trPr>
          <w:trHeight w:val="320"/>
        </w:trPr>
        <w:tc>
          <w:tcPr>
            <w:cnfStyle w:val="001000000000" w:firstRow="0" w:lastRow="0" w:firstColumn="1" w:lastColumn="0" w:oddVBand="0" w:evenVBand="0" w:oddHBand="0" w:evenHBand="0" w:firstRowFirstColumn="0" w:firstRowLastColumn="0" w:lastRowFirstColumn="0" w:lastRowLastColumn="0"/>
            <w:tcW w:w="2784" w:type="pct"/>
          </w:tcPr>
          <w:p w14:paraId="561AF865" w14:textId="77777777" w:rsidR="00C54CA7" w:rsidRPr="006A343F" w:rsidRDefault="00C54CA7" w:rsidP="00E52836">
            <w:pPr>
              <w:widowControl w:val="0"/>
              <w:spacing w:after="0" w:line="240" w:lineRule="auto"/>
              <w:rPr>
                <w:color w:val="000000"/>
                <w:sz w:val="22"/>
              </w:rPr>
            </w:pPr>
            <w:r w:rsidRPr="006A343F">
              <w:rPr>
                <w:sz w:val="22"/>
              </w:rPr>
              <w:t>Nombre de nouveaux barrages construits</w:t>
            </w:r>
          </w:p>
        </w:tc>
        <w:tc>
          <w:tcPr>
            <w:tcW w:w="687" w:type="pct"/>
          </w:tcPr>
          <w:p w14:paraId="63B82FCD" w14:textId="77777777" w:rsidR="00C54CA7" w:rsidRPr="00546A22"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546A22">
              <w:rPr>
                <w:color w:val="000000"/>
                <w:sz w:val="22"/>
              </w:rPr>
              <w:t>2</w:t>
            </w:r>
          </w:p>
        </w:tc>
        <w:tc>
          <w:tcPr>
            <w:tcW w:w="821" w:type="pct"/>
          </w:tcPr>
          <w:p w14:paraId="2C0EC801" w14:textId="77777777" w:rsidR="00C54CA7" w:rsidRPr="004A3F51"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highlight w:val="yellow"/>
              </w:rPr>
            </w:pPr>
            <w:r w:rsidRPr="00E958AE">
              <w:rPr>
                <w:color w:val="000000"/>
                <w:sz w:val="22"/>
              </w:rPr>
              <w:t>3</w:t>
            </w:r>
          </w:p>
        </w:tc>
        <w:tc>
          <w:tcPr>
            <w:tcW w:w="708" w:type="pct"/>
          </w:tcPr>
          <w:p w14:paraId="4E1BA3DB" w14:textId="77777777" w:rsidR="00C54CA7" w:rsidRPr="00F175A7"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F175A7">
              <w:rPr>
                <w:color w:val="000000"/>
                <w:sz w:val="22"/>
              </w:rPr>
              <w:t>04</w:t>
            </w:r>
          </w:p>
        </w:tc>
      </w:tr>
      <w:tr w:rsidR="00CD1A20" w:rsidRPr="00F175A7" w14:paraId="35812C5E" w14:textId="77777777" w:rsidTr="00CD1A2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1CA9B493" w14:textId="4DB0DE2E" w:rsidR="00CD1A20" w:rsidRPr="00F175A7" w:rsidRDefault="00CD1A20" w:rsidP="008139E1">
            <w:pPr>
              <w:widowControl w:val="0"/>
              <w:spacing w:after="0" w:line="240" w:lineRule="auto"/>
              <w:jc w:val="left"/>
              <w:rPr>
                <w:color w:val="000000"/>
                <w:sz w:val="22"/>
              </w:rPr>
            </w:pPr>
            <w:r w:rsidRPr="006A343F">
              <w:rPr>
                <w:sz w:val="22"/>
              </w:rPr>
              <w:t>Action 03110 « </w:t>
            </w:r>
            <w:r w:rsidR="0046390F">
              <w:rPr>
                <w:sz w:val="22"/>
              </w:rPr>
              <w:t>e</w:t>
            </w:r>
            <w:r w:rsidRPr="006A343F">
              <w:rPr>
                <w:sz w:val="22"/>
              </w:rPr>
              <w:t>ntretien et maintenance des ouvrages de mobilisation et de valorisation des ressources en eau »</w:t>
            </w:r>
          </w:p>
        </w:tc>
      </w:tr>
      <w:tr w:rsidR="00C54CA7" w:rsidRPr="00F175A7" w14:paraId="3E67D277" w14:textId="77777777" w:rsidTr="00E52836">
        <w:trPr>
          <w:trHeight w:val="252"/>
        </w:trPr>
        <w:tc>
          <w:tcPr>
            <w:cnfStyle w:val="001000000000" w:firstRow="0" w:lastRow="0" w:firstColumn="1" w:lastColumn="0" w:oddVBand="0" w:evenVBand="0" w:oddHBand="0" w:evenHBand="0" w:firstRowFirstColumn="0" w:firstRowLastColumn="0" w:lastRowFirstColumn="0" w:lastRowLastColumn="0"/>
            <w:tcW w:w="2784" w:type="pct"/>
          </w:tcPr>
          <w:p w14:paraId="378FD822" w14:textId="77777777" w:rsidR="00C54CA7" w:rsidRPr="006A343F" w:rsidRDefault="00C54CA7" w:rsidP="00E52836">
            <w:pPr>
              <w:widowControl w:val="0"/>
              <w:spacing w:after="0" w:line="240" w:lineRule="auto"/>
              <w:rPr>
                <w:color w:val="000000"/>
                <w:sz w:val="22"/>
              </w:rPr>
            </w:pPr>
            <w:r w:rsidRPr="006A343F">
              <w:rPr>
                <w:sz w:val="22"/>
              </w:rPr>
              <w:t>Nombre de barrages entretenus</w:t>
            </w:r>
          </w:p>
        </w:tc>
        <w:tc>
          <w:tcPr>
            <w:tcW w:w="687" w:type="pct"/>
          </w:tcPr>
          <w:p w14:paraId="24635CDB" w14:textId="77777777" w:rsidR="00C54CA7" w:rsidRPr="00546A22"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546A22">
              <w:rPr>
                <w:color w:val="000000"/>
                <w:sz w:val="22"/>
              </w:rPr>
              <w:t>10</w:t>
            </w:r>
          </w:p>
        </w:tc>
        <w:tc>
          <w:tcPr>
            <w:tcW w:w="821" w:type="pct"/>
          </w:tcPr>
          <w:p w14:paraId="12EE027F" w14:textId="77777777" w:rsidR="00C54CA7" w:rsidRPr="004A3F51"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highlight w:val="yellow"/>
              </w:rPr>
            </w:pPr>
            <w:r w:rsidRPr="00E958AE">
              <w:rPr>
                <w:color w:val="000000"/>
                <w:sz w:val="22"/>
              </w:rPr>
              <w:t>17</w:t>
            </w:r>
          </w:p>
        </w:tc>
        <w:tc>
          <w:tcPr>
            <w:tcW w:w="708" w:type="pct"/>
          </w:tcPr>
          <w:p w14:paraId="4FE279CF" w14:textId="77777777" w:rsidR="00C54CA7" w:rsidRPr="00F175A7"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F175A7">
              <w:rPr>
                <w:color w:val="000000"/>
                <w:sz w:val="22"/>
              </w:rPr>
              <w:t>15</w:t>
            </w:r>
          </w:p>
        </w:tc>
      </w:tr>
      <w:tr w:rsidR="00C54CA7" w:rsidRPr="00F175A7" w14:paraId="1B9B1D3B"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84" w:type="pct"/>
          </w:tcPr>
          <w:p w14:paraId="3001F806" w14:textId="77777777" w:rsidR="00C54CA7" w:rsidRPr="006A343F" w:rsidRDefault="00C54CA7" w:rsidP="00E52836">
            <w:pPr>
              <w:widowControl w:val="0"/>
              <w:spacing w:after="0" w:line="240" w:lineRule="auto"/>
              <w:rPr>
                <w:color w:val="000000"/>
                <w:sz w:val="22"/>
              </w:rPr>
            </w:pPr>
            <w:r w:rsidRPr="006A343F">
              <w:rPr>
                <w:sz w:val="22"/>
              </w:rPr>
              <w:t>Nombre de barrages sécurisés</w:t>
            </w:r>
          </w:p>
        </w:tc>
        <w:tc>
          <w:tcPr>
            <w:tcW w:w="687" w:type="pct"/>
          </w:tcPr>
          <w:p w14:paraId="5694BB05" w14:textId="77777777" w:rsidR="00C54CA7" w:rsidRPr="00546A22"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546A22">
              <w:rPr>
                <w:color w:val="000000"/>
                <w:sz w:val="22"/>
              </w:rPr>
              <w:t>3</w:t>
            </w:r>
          </w:p>
        </w:tc>
        <w:tc>
          <w:tcPr>
            <w:tcW w:w="821" w:type="pct"/>
          </w:tcPr>
          <w:p w14:paraId="22D79B8A" w14:textId="77777777" w:rsidR="00C54CA7" w:rsidRPr="004A3F51"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highlight w:val="yellow"/>
              </w:rPr>
            </w:pPr>
            <w:r w:rsidRPr="00E958AE">
              <w:rPr>
                <w:color w:val="000000"/>
                <w:sz w:val="22"/>
              </w:rPr>
              <w:t>2</w:t>
            </w:r>
          </w:p>
        </w:tc>
        <w:tc>
          <w:tcPr>
            <w:tcW w:w="708" w:type="pct"/>
          </w:tcPr>
          <w:p w14:paraId="4476C61D" w14:textId="77777777" w:rsidR="00C54CA7" w:rsidRPr="00F175A7"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F175A7">
              <w:rPr>
                <w:color w:val="000000"/>
                <w:sz w:val="22"/>
              </w:rPr>
              <w:t>4</w:t>
            </w:r>
          </w:p>
        </w:tc>
      </w:tr>
      <w:tr w:rsidR="00C54CA7" w:rsidRPr="00F175A7" w14:paraId="799A78D6" w14:textId="77777777" w:rsidTr="00F175A7">
        <w:trPr>
          <w:trHeight w:val="252"/>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28BD19FB" w14:textId="15486860" w:rsidR="00C54CA7" w:rsidRPr="006A343F" w:rsidRDefault="00C54CA7" w:rsidP="00E52836">
            <w:pPr>
              <w:spacing w:after="0" w:line="240" w:lineRule="auto"/>
              <w:jc w:val="left"/>
              <w:rPr>
                <w:sz w:val="22"/>
              </w:rPr>
            </w:pPr>
            <w:r w:rsidRPr="006A343F">
              <w:rPr>
                <w:sz w:val="22"/>
              </w:rPr>
              <w:t>Action 03111 « </w:t>
            </w:r>
            <w:r w:rsidR="0046390F">
              <w:rPr>
                <w:sz w:val="22"/>
              </w:rPr>
              <w:t>p</w:t>
            </w:r>
            <w:r w:rsidRPr="006A343F">
              <w:rPr>
                <w:sz w:val="22"/>
              </w:rPr>
              <w:t>oursuite de la protection et de la gestion des ressources en eau »</w:t>
            </w:r>
          </w:p>
        </w:tc>
      </w:tr>
      <w:tr w:rsidR="00C54CA7" w:rsidRPr="00F175A7" w14:paraId="42ADB6EB"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84" w:type="pct"/>
          </w:tcPr>
          <w:p w14:paraId="361AB4F6" w14:textId="77777777" w:rsidR="00C54CA7" w:rsidRPr="00546A22" w:rsidRDefault="00C54CA7" w:rsidP="00E52836">
            <w:pPr>
              <w:widowControl w:val="0"/>
              <w:spacing w:after="0" w:line="240" w:lineRule="auto"/>
              <w:rPr>
                <w:color w:val="000000"/>
                <w:sz w:val="22"/>
              </w:rPr>
            </w:pPr>
            <w:r w:rsidRPr="006A343F">
              <w:rPr>
                <w:sz w:val="22"/>
              </w:rPr>
              <w:t>Nombre de berges de barrages/retenues d’eau protégées</w:t>
            </w:r>
          </w:p>
        </w:tc>
        <w:tc>
          <w:tcPr>
            <w:tcW w:w="687" w:type="pct"/>
          </w:tcPr>
          <w:p w14:paraId="399D07BA" w14:textId="77777777" w:rsidR="00C54CA7" w:rsidRPr="00E958AE"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E958AE">
              <w:rPr>
                <w:color w:val="000000"/>
                <w:sz w:val="22"/>
              </w:rPr>
              <w:t>7</w:t>
            </w:r>
          </w:p>
        </w:tc>
        <w:tc>
          <w:tcPr>
            <w:tcW w:w="821" w:type="pct"/>
          </w:tcPr>
          <w:p w14:paraId="583E338D" w14:textId="77777777" w:rsidR="00C54CA7" w:rsidRPr="00F175A7"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highlight w:val="yellow"/>
              </w:rPr>
            </w:pPr>
            <w:r w:rsidRPr="00F175A7">
              <w:rPr>
                <w:color w:val="000000"/>
                <w:sz w:val="22"/>
              </w:rPr>
              <w:t>12</w:t>
            </w:r>
          </w:p>
        </w:tc>
        <w:tc>
          <w:tcPr>
            <w:tcW w:w="708" w:type="pct"/>
          </w:tcPr>
          <w:p w14:paraId="654C7EEA" w14:textId="77777777" w:rsidR="00C54CA7" w:rsidRPr="00F175A7"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F175A7">
              <w:rPr>
                <w:color w:val="000000"/>
                <w:sz w:val="22"/>
              </w:rPr>
              <w:t>10</w:t>
            </w:r>
          </w:p>
        </w:tc>
      </w:tr>
      <w:tr w:rsidR="00C54CA7" w:rsidRPr="00F175A7" w14:paraId="5AE41531" w14:textId="77777777" w:rsidTr="00E52836">
        <w:trPr>
          <w:trHeight w:val="252"/>
        </w:trPr>
        <w:tc>
          <w:tcPr>
            <w:cnfStyle w:val="001000000000" w:firstRow="0" w:lastRow="0" w:firstColumn="1" w:lastColumn="0" w:oddVBand="0" w:evenVBand="0" w:oddHBand="0" w:evenHBand="0" w:firstRowFirstColumn="0" w:firstRowLastColumn="0" w:lastRowFirstColumn="0" w:lastRowLastColumn="0"/>
            <w:tcW w:w="2784" w:type="pct"/>
          </w:tcPr>
          <w:p w14:paraId="1D4F1C08" w14:textId="77777777" w:rsidR="00C54CA7" w:rsidRPr="00546A22" w:rsidRDefault="00C54CA7" w:rsidP="00E52836">
            <w:pPr>
              <w:widowControl w:val="0"/>
              <w:spacing w:after="0" w:line="240" w:lineRule="auto"/>
              <w:rPr>
                <w:color w:val="000000"/>
                <w:sz w:val="22"/>
              </w:rPr>
            </w:pPr>
            <w:r w:rsidRPr="006A343F">
              <w:rPr>
                <w:sz w:val="22"/>
              </w:rPr>
              <w:t>Nombre de barrages/retenues d’eau dont les plantes envahissantes sont éliminées</w:t>
            </w:r>
          </w:p>
        </w:tc>
        <w:tc>
          <w:tcPr>
            <w:tcW w:w="687" w:type="pct"/>
          </w:tcPr>
          <w:p w14:paraId="7EF31D65" w14:textId="77777777" w:rsidR="00C54CA7" w:rsidRPr="00E958AE"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E958AE">
              <w:rPr>
                <w:color w:val="000000"/>
                <w:sz w:val="22"/>
              </w:rPr>
              <w:t>10</w:t>
            </w:r>
          </w:p>
        </w:tc>
        <w:tc>
          <w:tcPr>
            <w:tcW w:w="821" w:type="pct"/>
          </w:tcPr>
          <w:p w14:paraId="4FBB9843" w14:textId="77777777" w:rsidR="00C54CA7" w:rsidRPr="00F175A7"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highlight w:val="yellow"/>
              </w:rPr>
            </w:pPr>
            <w:r w:rsidRPr="00F175A7">
              <w:rPr>
                <w:color w:val="000000"/>
                <w:sz w:val="22"/>
              </w:rPr>
              <w:t>8</w:t>
            </w:r>
          </w:p>
        </w:tc>
        <w:tc>
          <w:tcPr>
            <w:tcW w:w="708" w:type="pct"/>
          </w:tcPr>
          <w:p w14:paraId="6ACD23D2" w14:textId="77777777" w:rsidR="00C54CA7" w:rsidRPr="00F175A7"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F175A7">
              <w:rPr>
                <w:color w:val="000000"/>
                <w:sz w:val="22"/>
              </w:rPr>
              <w:t>10</w:t>
            </w:r>
          </w:p>
        </w:tc>
      </w:tr>
      <w:tr w:rsidR="00C54CA7" w:rsidRPr="00F175A7" w14:paraId="73778C45"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84" w:type="pct"/>
          </w:tcPr>
          <w:p w14:paraId="7B0DD3D6" w14:textId="77777777" w:rsidR="00C54CA7" w:rsidRPr="006A343F" w:rsidRDefault="00C54CA7" w:rsidP="00E52836">
            <w:pPr>
              <w:widowControl w:val="0"/>
              <w:spacing w:after="0" w:line="240" w:lineRule="auto"/>
              <w:rPr>
                <w:color w:val="000000"/>
                <w:sz w:val="22"/>
              </w:rPr>
            </w:pPr>
            <w:r w:rsidRPr="006A343F">
              <w:rPr>
                <w:sz w:val="22"/>
              </w:rPr>
              <w:t>Nombre d'acteurs de bassins d’eau formés à la prévention et à la gestion des conflits</w:t>
            </w:r>
          </w:p>
        </w:tc>
        <w:tc>
          <w:tcPr>
            <w:tcW w:w="687" w:type="pct"/>
          </w:tcPr>
          <w:p w14:paraId="5C84AD2E" w14:textId="77777777" w:rsidR="00C54CA7" w:rsidRPr="00546A22"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546A22">
              <w:rPr>
                <w:color w:val="000000"/>
                <w:sz w:val="22"/>
              </w:rPr>
              <w:t>23</w:t>
            </w:r>
          </w:p>
        </w:tc>
        <w:tc>
          <w:tcPr>
            <w:tcW w:w="821" w:type="pct"/>
          </w:tcPr>
          <w:p w14:paraId="68F4A20A" w14:textId="77777777" w:rsidR="00C54CA7" w:rsidRPr="004A3F51"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highlight w:val="yellow"/>
              </w:rPr>
            </w:pPr>
            <w:r w:rsidRPr="00E958AE">
              <w:rPr>
                <w:color w:val="000000"/>
                <w:sz w:val="22"/>
              </w:rPr>
              <w:t>56</w:t>
            </w:r>
          </w:p>
        </w:tc>
        <w:tc>
          <w:tcPr>
            <w:tcW w:w="708" w:type="pct"/>
          </w:tcPr>
          <w:p w14:paraId="0BF93BCB" w14:textId="77777777" w:rsidR="00C54CA7" w:rsidRPr="00F175A7"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F175A7">
              <w:rPr>
                <w:color w:val="000000"/>
                <w:sz w:val="22"/>
              </w:rPr>
              <w:t>10</w:t>
            </w:r>
          </w:p>
        </w:tc>
      </w:tr>
      <w:tr w:rsidR="00C54CA7" w:rsidRPr="00F175A7" w14:paraId="58D7B035" w14:textId="77777777" w:rsidTr="00E52836">
        <w:trPr>
          <w:trHeight w:val="252"/>
        </w:trPr>
        <w:tc>
          <w:tcPr>
            <w:cnfStyle w:val="001000000000" w:firstRow="0" w:lastRow="0" w:firstColumn="1" w:lastColumn="0" w:oddVBand="0" w:evenVBand="0" w:oddHBand="0" w:evenHBand="0" w:firstRowFirstColumn="0" w:firstRowLastColumn="0" w:lastRowFirstColumn="0" w:lastRowLastColumn="0"/>
            <w:tcW w:w="2784" w:type="pct"/>
          </w:tcPr>
          <w:p w14:paraId="4C4D35BE" w14:textId="77777777" w:rsidR="00C54CA7" w:rsidRPr="006A343F" w:rsidRDefault="00C54CA7" w:rsidP="00E52836">
            <w:pPr>
              <w:widowControl w:val="0"/>
              <w:spacing w:after="0" w:line="240" w:lineRule="auto"/>
              <w:rPr>
                <w:color w:val="000000"/>
                <w:sz w:val="22"/>
              </w:rPr>
            </w:pPr>
            <w:r w:rsidRPr="006A343F">
              <w:rPr>
                <w:sz w:val="22"/>
              </w:rPr>
              <w:t>Nombre de services de police de l'eau fonctionnels</w:t>
            </w:r>
          </w:p>
        </w:tc>
        <w:tc>
          <w:tcPr>
            <w:tcW w:w="687" w:type="pct"/>
          </w:tcPr>
          <w:p w14:paraId="49138B78" w14:textId="77777777" w:rsidR="00C54CA7" w:rsidRPr="00546A22"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546A22">
              <w:rPr>
                <w:color w:val="000000"/>
                <w:sz w:val="22"/>
              </w:rPr>
              <w:t>13</w:t>
            </w:r>
          </w:p>
        </w:tc>
        <w:tc>
          <w:tcPr>
            <w:tcW w:w="821" w:type="pct"/>
          </w:tcPr>
          <w:p w14:paraId="0DDA6572" w14:textId="77777777" w:rsidR="00C54CA7" w:rsidRPr="004A3F51"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highlight w:val="yellow"/>
              </w:rPr>
            </w:pPr>
            <w:r w:rsidRPr="00E958AE">
              <w:rPr>
                <w:color w:val="000000"/>
                <w:sz w:val="22"/>
              </w:rPr>
              <w:t>13</w:t>
            </w:r>
          </w:p>
        </w:tc>
        <w:tc>
          <w:tcPr>
            <w:tcW w:w="708" w:type="pct"/>
          </w:tcPr>
          <w:p w14:paraId="0E727AA4" w14:textId="77777777" w:rsidR="00C54CA7" w:rsidRPr="00F175A7" w:rsidRDefault="00C54CA7" w:rsidP="00E528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F175A7">
              <w:rPr>
                <w:color w:val="000000"/>
                <w:sz w:val="22"/>
              </w:rPr>
              <w:t>13</w:t>
            </w:r>
          </w:p>
        </w:tc>
      </w:tr>
      <w:tr w:rsidR="00C54CA7" w:rsidRPr="00F175A7" w14:paraId="6A4DB10E"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84" w:type="pct"/>
          </w:tcPr>
          <w:p w14:paraId="658FB7CB" w14:textId="15D8E04D" w:rsidR="00C54CA7" w:rsidRPr="008139E1" w:rsidRDefault="00C54CA7" w:rsidP="00CD1A20">
            <w:pPr>
              <w:widowControl w:val="0"/>
              <w:spacing w:after="0" w:line="240" w:lineRule="auto"/>
              <w:rPr>
                <w:color w:val="000000"/>
                <w:sz w:val="22"/>
              </w:rPr>
            </w:pPr>
            <w:r w:rsidRPr="008139E1">
              <w:rPr>
                <w:sz w:val="22"/>
              </w:rPr>
              <w:t>Nombre d'</w:t>
            </w:r>
            <w:r w:rsidR="0046390F">
              <w:rPr>
                <w:sz w:val="22"/>
              </w:rPr>
              <w:t>a</w:t>
            </w:r>
            <w:r w:rsidRPr="008139E1">
              <w:rPr>
                <w:sz w:val="22"/>
              </w:rPr>
              <w:t>gences de l'eau disposant de SDAGE</w:t>
            </w:r>
            <w:r w:rsidR="006A343F" w:rsidRPr="008139E1">
              <w:rPr>
                <w:sz w:val="22"/>
              </w:rPr>
              <w:t xml:space="preserve"> </w:t>
            </w:r>
          </w:p>
        </w:tc>
        <w:tc>
          <w:tcPr>
            <w:tcW w:w="687" w:type="pct"/>
          </w:tcPr>
          <w:p w14:paraId="558ADF14" w14:textId="77777777" w:rsidR="00C54CA7" w:rsidRPr="008139E1"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8139E1">
              <w:rPr>
                <w:color w:val="000000"/>
                <w:sz w:val="22"/>
              </w:rPr>
              <w:t>2</w:t>
            </w:r>
          </w:p>
        </w:tc>
        <w:tc>
          <w:tcPr>
            <w:tcW w:w="821" w:type="pct"/>
          </w:tcPr>
          <w:p w14:paraId="4B9CF787" w14:textId="77777777" w:rsidR="00C54CA7" w:rsidRPr="008139E1"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8139E1">
              <w:rPr>
                <w:color w:val="000000"/>
                <w:sz w:val="22"/>
              </w:rPr>
              <w:t>3</w:t>
            </w:r>
          </w:p>
        </w:tc>
        <w:tc>
          <w:tcPr>
            <w:tcW w:w="708" w:type="pct"/>
          </w:tcPr>
          <w:p w14:paraId="5FD0DA25" w14:textId="77777777" w:rsidR="00C54CA7" w:rsidRPr="008139E1" w:rsidRDefault="00C54CA7" w:rsidP="00E5283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8139E1">
              <w:rPr>
                <w:color w:val="000000"/>
                <w:sz w:val="22"/>
              </w:rPr>
              <w:t>5</w:t>
            </w:r>
          </w:p>
        </w:tc>
      </w:tr>
    </w:tbl>
    <w:p w14:paraId="418E4A57" w14:textId="0F74056B" w:rsidR="00C54CA7" w:rsidRPr="00A02D16" w:rsidRDefault="00C54CA7" w:rsidP="00C54CA7">
      <w:pPr>
        <w:spacing w:line="240" w:lineRule="auto"/>
        <w:rPr>
          <w:sz w:val="20"/>
          <w:szCs w:val="20"/>
        </w:rPr>
      </w:pPr>
      <w:r w:rsidRPr="00A02D16">
        <w:rPr>
          <w:b/>
          <w:sz w:val="20"/>
          <w:szCs w:val="20"/>
          <w:u w:val="single"/>
        </w:rPr>
        <w:t>Source</w:t>
      </w:r>
      <w:r w:rsidRPr="00A02D16">
        <w:rPr>
          <w:sz w:val="20"/>
          <w:szCs w:val="20"/>
        </w:rPr>
        <w:t xml:space="preserve"> : à partir du rapport annuel de performance 2023 du </w:t>
      </w:r>
      <w:r w:rsidR="00E804BD">
        <w:rPr>
          <w:sz w:val="20"/>
          <w:szCs w:val="20"/>
        </w:rPr>
        <w:t>CSD-</w:t>
      </w:r>
      <w:r w:rsidRPr="00A02D16">
        <w:rPr>
          <w:sz w:val="20"/>
          <w:szCs w:val="20"/>
        </w:rPr>
        <w:t>PASP, février 2024</w:t>
      </w:r>
    </w:p>
    <w:p w14:paraId="0AC6C6CC" w14:textId="4C6DEBEB"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Mis à part l’ extrant relatif au nombre de barrages sécurisés qui relève de l’action 03110, entretien et maintenance des ouvrages de mobilisation des ressources et ceux relatifs au nombre de retenues d’eau desquelles les plantes envahissantes ont été éliminées et au nombre d’agences de l’eau disposant de SDAGE et qui relèvent tous de l’action 03111, poursuite de la protection et de la gestion des ressources en eau, les données du tableau </w:t>
      </w:r>
      <w:r w:rsidR="0046390F">
        <w:rPr>
          <w:rFonts w:eastAsia="Calibri"/>
          <w:szCs w:val="24"/>
        </w:rPr>
        <w:t>ci-dessus</w:t>
      </w:r>
      <w:r w:rsidRPr="00C54CA7">
        <w:rPr>
          <w:rFonts w:eastAsia="Calibri"/>
          <w:szCs w:val="24"/>
        </w:rPr>
        <w:t xml:space="preserve"> indiquent que les niveaux de réalisation des extrants programmés sont appréciables. Les performances enregistrées au niveau de l’exécution de l’action 03111, </w:t>
      </w:r>
      <w:r w:rsidR="00CD1A20">
        <w:rPr>
          <w:rFonts w:eastAsia="Calibri"/>
          <w:szCs w:val="24"/>
        </w:rPr>
        <w:t xml:space="preserve">en matière </w:t>
      </w:r>
      <w:r w:rsidRPr="00C54CA7">
        <w:rPr>
          <w:rFonts w:eastAsia="Calibri"/>
          <w:szCs w:val="24"/>
        </w:rPr>
        <w:t xml:space="preserve">de </w:t>
      </w:r>
      <w:r w:rsidRPr="00C54CA7">
        <w:rPr>
          <w:rFonts w:eastAsia="Calibri"/>
          <w:szCs w:val="24"/>
        </w:rPr>
        <w:lastRenderedPageBreak/>
        <w:t>protection de berges de retenues d’eau, de formation des acteurs des bassins d’eau en prévention et gestion des conflits, de mise en service de polices de l’eau résultent du bon fonctionnement des Comités locaux de l’eau (CLE) et l’implication des ONG/AD dans les activités de protection des berges particulièrement dans l’Agence de l’eau du Mouhoun.</w:t>
      </w:r>
    </w:p>
    <w:p w14:paraId="06C535C3" w14:textId="1C144DD6"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Concernant la relance des infrastructures hydrauliques (action 03109), des trois nouveaux barrages réalisés, deux ont été réceptionnés, à savoir, les barrages de Nanou (Boucle du Mouhoun) et de </w:t>
      </w:r>
      <w:proofErr w:type="spellStart"/>
      <w:r w:rsidRPr="00C54CA7">
        <w:rPr>
          <w:rFonts w:eastAsia="Calibri"/>
          <w:szCs w:val="24"/>
        </w:rPr>
        <w:t>Niangdo</w:t>
      </w:r>
      <w:proofErr w:type="spellEnd"/>
      <w:r w:rsidRPr="00C54CA7">
        <w:rPr>
          <w:rFonts w:eastAsia="Calibri"/>
          <w:szCs w:val="24"/>
        </w:rPr>
        <w:t xml:space="preserve"> (Centre</w:t>
      </w:r>
      <w:r w:rsidR="0046390F">
        <w:rPr>
          <w:rFonts w:eastAsia="Calibri"/>
          <w:szCs w:val="24"/>
        </w:rPr>
        <w:t>-</w:t>
      </w:r>
      <w:r w:rsidRPr="00C54CA7">
        <w:rPr>
          <w:rFonts w:eastAsia="Calibri"/>
          <w:szCs w:val="24"/>
        </w:rPr>
        <w:t>Ouest). La réception provisoire du 3</w:t>
      </w:r>
      <w:r w:rsidR="0046390F" w:rsidRPr="0042784A">
        <w:rPr>
          <w:rFonts w:eastAsia="Calibri"/>
          <w:szCs w:val="24"/>
          <w:vertAlign w:val="superscript"/>
        </w:rPr>
        <w:t>e</w:t>
      </w:r>
      <w:r w:rsidRPr="00C54CA7">
        <w:rPr>
          <w:rFonts w:eastAsia="Calibri"/>
          <w:szCs w:val="24"/>
        </w:rPr>
        <w:t xml:space="preserve"> barrage, celui de de </w:t>
      </w:r>
      <w:proofErr w:type="spellStart"/>
      <w:r w:rsidRPr="00C54CA7">
        <w:rPr>
          <w:rFonts w:eastAsia="Calibri"/>
          <w:szCs w:val="24"/>
        </w:rPr>
        <w:t>Niou</w:t>
      </w:r>
      <w:proofErr w:type="spellEnd"/>
      <w:r w:rsidRPr="00C54CA7">
        <w:rPr>
          <w:rFonts w:eastAsia="Calibri"/>
          <w:szCs w:val="24"/>
        </w:rPr>
        <w:t xml:space="preserve"> dans le Plateau central, se fera en 2024. Le taux d’exécution des travaux du quatrième barrage, celui de </w:t>
      </w:r>
      <w:proofErr w:type="spellStart"/>
      <w:r w:rsidRPr="00C54CA7">
        <w:rPr>
          <w:rFonts w:eastAsia="Calibri"/>
          <w:szCs w:val="24"/>
        </w:rPr>
        <w:t>Dawélgué</w:t>
      </w:r>
      <w:proofErr w:type="spellEnd"/>
      <w:r w:rsidRPr="00C54CA7">
        <w:rPr>
          <w:rFonts w:eastAsia="Calibri"/>
          <w:szCs w:val="24"/>
        </w:rPr>
        <w:t xml:space="preserve"> (Centre-Sud) est estimé à 90% au 31 décembre 2023. </w:t>
      </w:r>
    </w:p>
    <w:p w14:paraId="56AC2F6A" w14:textId="06875CD5" w:rsidR="00C54CA7" w:rsidRDefault="0046390F" w:rsidP="00F175A7">
      <w:pPr>
        <w:numPr>
          <w:ilvl w:val="0"/>
          <w:numId w:val="8"/>
        </w:numPr>
        <w:shd w:val="clear" w:color="auto" w:fill="FFFFFF"/>
        <w:spacing w:before="120" w:after="120" w:line="240" w:lineRule="auto"/>
        <w:ind w:left="0"/>
        <w:rPr>
          <w:rFonts w:eastAsia="Calibri"/>
          <w:szCs w:val="24"/>
        </w:rPr>
      </w:pPr>
      <w:r>
        <w:rPr>
          <w:rFonts w:eastAsia="Calibri"/>
          <w:szCs w:val="24"/>
        </w:rPr>
        <w:t>S</w:t>
      </w:r>
      <w:r w:rsidR="00C54CA7" w:rsidRPr="00C54CA7">
        <w:rPr>
          <w:rFonts w:eastAsia="Calibri"/>
          <w:szCs w:val="24"/>
        </w:rPr>
        <w:t>u</w:t>
      </w:r>
      <w:r>
        <w:rPr>
          <w:rFonts w:eastAsia="Calibri"/>
          <w:szCs w:val="24"/>
        </w:rPr>
        <w:t>r le</w:t>
      </w:r>
      <w:r w:rsidR="00C54CA7" w:rsidRPr="00C54CA7">
        <w:rPr>
          <w:rFonts w:eastAsia="Calibri"/>
          <w:szCs w:val="24"/>
        </w:rPr>
        <w:t xml:space="preserve"> plan financier, les ressources ont été dépensées à hauteur de 4,18 milliards FCFA (91,</w:t>
      </w:r>
      <w:r w:rsidR="00CF3449">
        <w:rPr>
          <w:rFonts w:eastAsia="Calibri"/>
          <w:szCs w:val="24"/>
        </w:rPr>
        <w:t>5</w:t>
      </w:r>
      <w:r w:rsidR="00C54CA7" w:rsidRPr="00C54CA7">
        <w:rPr>
          <w:rFonts w:eastAsia="Calibri"/>
          <w:szCs w:val="24"/>
        </w:rPr>
        <w:t xml:space="preserve">%) pour la « </w:t>
      </w:r>
      <w:r w:rsidR="006470A9">
        <w:rPr>
          <w:rFonts w:eastAsia="Calibri"/>
          <w:szCs w:val="24"/>
        </w:rPr>
        <w:t>r</w:t>
      </w:r>
      <w:r w:rsidR="00C54CA7" w:rsidRPr="00C54CA7">
        <w:rPr>
          <w:rFonts w:eastAsia="Calibri"/>
          <w:szCs w:val="24"/>
        </w:rPr>
        <w:t>elance des travaux des infrastructures hydrauliques », 610,39 millions FCFA (76,</w:t>
      </w:r>
      <w:r w:rsidR="00CF3449">
        <w:rPr>
          <w:rFonts w:eastAsia="Calibri"/>
          <w:szCs w:val="24"/>
        </w:rPr>
        <w:t>3</w:t>
      </w:r>
      <w:r w:rsidR="00C54CA7" w:rsidRPr="00C54CA7">
        <w:rPr>
          <w:rFonts w:eastAsia="Calibri"/>
          <w:szCs w:val="24"/>
        </w:rPr>
        <w:t>%) pour l</w:t>
      </w:r>
      <w:proofErr w:type="gramStart"/>
      <w:r w:rsidR="00C54CA7" w:rsidRPr="00C54CA7">
        <w:rPr>
          <w:rFonts w:eastAsia="Calibri"/>
          <w:szCs w:val="24"/>
        </w:rPr>
        <w:t>’«</w:t>
      </w:r>
      <w:r w:rsidR="006470A9">
        <w:rPr>
          <w:rFonts w:eastAsia="Calibri"/>
          <w:szCs w:val="24"/>
        </w:rPr>
        <w:t>e</w:t>
      </w:r>
      <w:r w:rsidR="00C54CA7" w:rsidRPr="00C54CA7">
        <w:rPr>
          <w:rFonts w:eastAsia="Calibri"/>
          <w:szCs w:val="24"/>
        </w:rPr>
        <w:t>ntretien</w:t>
      </w:r>
      <w:proofErr w:type="gramEnd"/>
      <w:r w:rsidR="00C54CA7" w:rsidRPr="00C54CA7">
        <w:rPr>
          <w:rFonts w:eastAsia="Calibri"/>
          <w:szCs w:val="24"/>
        </w:rPr>
        <w:t xml:space="preserve"> et maintenance des ouvrages de mobilisation et de valorisation des ressources en eau » et </w:t>
      </w:r>
      <w:r w:rsidR="00CF3449" w:rsidRPr="000B034F">
        <w:rPr>
          <w:rFonts w:eastAsia="Calibri"/>
          <w:szCs w:val="24"/>
        </w:rPr>
        <w:t xml:space="preserve">733,17 </w:t>
      </w:r>
      <w:r w:rsidR="00C54CA7" w:rsidRPr="00C54CA7">
        <w:rPr>
          <w:rFonts w:eastAsia="Calibri"/>
          <w:szCs w:val="24"/>
        </w:rPr>
        <w:t>milliards FCFA (</w:t>
      </w:r>
      <w:r w:rsidR="00CF3449">
        <w:rPr>
          <w:rFonts w:eastAsia="Calibri"/>
          <w:szCs w:val="24"/>
        </w:rPr>
        <w:t xml:space="preserve">plus de </w:t>
      </w:r>
      <w:r w:rsidR="00C54CA7" w:rsidRPr="00C54CA7">
        <w:rPr>
          <w:rFonts w:eastAsia="Calibri"/>
          <w:szCs w:val="24"/>
        </w:rPr>
        <w:t>100%) pour la « Poursuite de la protection et de la gestion des ressources en eau »</w:t>
      </w:r>
      <w:r w:rsidR="00CF3449">
        <w:rPr>
          <w:rFonts w:eastAsia="Calibri"/>
          <w:szCs w:val="24"/>
        </w:rPr>
        <w:t>.</w:t>
      </w:r>
    </w:p>
    <w:p w14:paraId="5F9FE055" w14:textId="30C5684A" w:rsidR="00CF3449" w:rsidRPr="00345EBE" w:rsidRDefault="00CF3449" w:rsidP="00CF3449">
      <w:pPr>
        <w:numPr>
          <w:ilvl w:val="0"/>
          <w:numId w:val="8"/>
        </w:numPr>
        <w:shd w:val="clear" w:color="auto" w:fill="FFFFFF"/>
        <w:spacing w:before="120" w:after="120" w:line="240" w:lineRule="auto"/>
        <w:ind w:left="0"/>
        <w:rPr>
          <w:rFonts w:eastAsia="Calibri"/>
          <w:szCs w:val="24"/>
        </w:rPr>
      </w:pPr>
      <w:r w:rsidRPr="008139E1">
        <w:rPr>
          <w:b/>
        </w:rPr>
        <w:t>Relativement au développement des infrastructures énergétiques</w:t>
      </w:r>
      <w:r>
        <w:t>, la principale action programmée dans le PA-SD « </w:t>
      </w:r>
      <w:r w:rsidRPr="00613270">
        <w:rPr>
          <w:b/>
        </w:rPr>
        <w:t>relance des travaux des infrastructures énergétiques</w:t>
      </w:r>
      <w:r>
        <w:t xml:space="preserve"> (03103) » s’opérationnalise à travers deux (02) indicateurs d’action. Les ambitions affichées sont de réduire de 89 heures à 82 heures en 2023 l</w:t>
      </w:r>
      <w:proofErr w:type="gramStart"/>
      <w:r>
        <w:t>’«</w:t>
      </w:r>
      <w:proofErr w:type="gramEnd"/>
      <w:r>
        <w:t> indice de durée moyenne d’interruption de système » et de porter à 837 MW en 2023 contre 739 MW, la « puissance électrique disponible ». En fin 2023, les résultats ont porté sur la réalisation à 87 heures pour l’indice d’interruption et 588 MW pour la puissance électrique. Le produit contribuant à la réalisation de cette action</w:t>
      </w:r>
      <w:r w:rsidR="0046390F">
        <w:t>,</w:t>
      </w:r>
      <w:r>
        <w:t xml:space="preserve"> </w:t>
      </w:r>
      <w:r w:rsidR="00D435E1">
        <w:t>à savoir le renforcement de la ca</w:t>
      </w:r>
      <w:r>
        <w:t xml:space="preserve">pacité de production électrique dont l’indicateur « puissance nominale additionnelle », affiche une réalisation de 92 </w:t>
      </w:r>
      <w:proofErr w:type="spellStart"/>
      <w:r>
        <w:t>MWc</w:t>
      </w:r>
      <w:proofErr w:type="spellEnd"/>
      <w:r>
        <w:t xml:space="preserve"> sur une prévision de 106,1 </w:t>
      </w:r>
      <w:proofErr w:type="spellStart"/>
      <w:r>
        <w:t>MWc</w:t>
      </w:r>
      <w:proofErr w:type="spellEnd"/>
      <w:r>
        <w:t xml:space="preserve">. Ce résultat s’explique par la mise en service des centrales solaires de Pa et </w:t>
      </w:r>
      <w:proofErr w:type="spellStart"/>
      <w:r>
        <w:t>Kodéni</w:t>
      </w:r>
      <w:proofErr w:type="spellEnd"/>
      <w:r>
        <w:t>. La non</w:t>
      </w:r>
      <w:r w:rsidR="0046390F">
        <w:t>-</w:t>
      </w:r>
      <w:r>
        <w:t>atteinte de la cible résulte des difficultés que sont la suspension des opérations de certains partenaires techniques et financiers, la complexité des conditions de décaissement de certains bailleurs de fonds et la situation sécuritaire. En réponse, il serait judicieux de se tourner vers le financement endogène des projets nationaux et la diversification des partenaires au développement.</w:t>
      </w:r>
    </w:p>
    <w:p w14:paraId="26A3CA7A" w14:textId="503907DB" w:rsidR="008008C3" w:rsidRDefault="00C54CA7" w:rsidP="00F175A7">
      <w:pPr>
        <w:numPr>
          <w:ilvl w:val="0"/>
          <w:numId w:val="8"/>
        </w:numPr>
        <w:shd w:val="clear" w:color="auto" w:fill="FFFFFF"/>
        <w:spacing w:before="120" w:after="120" w:line="240" w:lineRule="auto"/>
        <w:ind w:left="0"/>
        <w:rPr>
          <w:rFonts w:eastAsia="Calibri"/>
          <w:szCs w:val="24"/>
        </w:rPr>
      </w:pPr>
      <w:r w:rsidRPr="008139E1">
        <w:rPr>
          <w:rFonts w:eastAsia="Calibri"/>
          <w:b/>
          <w:szCs w:val="24"/>
        </w:rPr>
        <w:t>Concernant les infrastructures routières</w:t>
      </w:r>
      <w:r w:rsidRPr="00C54CA7">
        <w:rPr>
          <w:rFonts w:eastAsia="Calibri"/>
          <w:szCs w:val="24"/>
        </w:rPr>
        <w:t xml:space="preserve">, le PA-SD est opérationnalisé à travers trois (03) actions que sont la « sauvegarde du patrimoine routier, ferroviaire, aéroportuaire et cartographie » (03104), la « relance des travaux d’infrastructures routières » (03105) et la « réduction de la surcharge sur les axes routiers » (03107). La situation des indicateurs d’action au regard de leur cible est consignée dans le tableau ci-dessous. </w:t>
      </w:r>
    </w:p>
    <w:p w14:paraId="36EF4AC7" w14:textId="77777777" w:rsidR="008008C3" w:rsidRDefault="008008C3">
      <w:pPr>
        <w:spacing w:after="0" w:line="240" w:lineRule="auto"/>
        <w:jc w:val="left"/>
        <w:rPr>
          <w:rFonts w:eastAsia="Calibri"/>
          <w:szCs w:val="24"/>
        </w:rPr>
      </w:pPr>
      <w:r>
        <w:rPr>
          <w:rFonts w:eastAsia="Calibri"/>
          <w:szCs w:val="24"/>
        </w:rPr>
        <w:br w:type="page"/>
      </w:r>
    </w:p>
    <w:p w14:paraId="749B8368" w14:textId="66B04D43" w:rsidR="00C54CA7" w:rsidRPr="0042784A" w:rsidRDefault="00B647DA" w:rsidP="008139E1">
      <w:pPr>
        <w:pStyle w:val="Lgende"/>
        <w:rPr>
          <w:b/>
          <w:color w:val="auto"/>
          <w:sz w:val="22"/>
        </w:rPr>
      </w:pPr>
      <w:bookmarkStart w:id="157" w:name="_Toc164503668"/>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81</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des actions du domaine des infrastructures routières au 31 décembre 2023</w:t>
      </w:r>
      <w:bookmarkEnd w:id="157"/>
    </w:p>
    <w:tbl>
      <w:tblPr>
        <w:tblStyle w:val="GridTable4-Accent111"/>
        <w:tblW w:w="9016" w:type="dxa"/>
        <w:tblLayout w:type="fixed"/>
        <w:tblLook w:val="04A0" w:firstRow="1" w:lastRow="0" w:firstColumn="1" w:lastColumn="0" w:noHBand="0" w:noVBand="1"/>
      </w:tblPr>
      <w:tblGrid>
        <w:gridCol w:w="5240"/>
        <w:gridCol w:w="1275"/>
        <w:gridCol w:w="1277"/>
        <w:gridCol w:w="1224"/>
      </w:tblGrid>
      <w:tr w:rsidR="00C54CA7" w:rsidRPr="00106BB2" w14:paraId="6F42CDE5" w14:textId="77777777" w:rsidTr="00E528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tcPr>
          <w:p w14:paraId="0D0D2BDD" w14:textId="77777777" w:rsidR="00C54CA7" w:rsidRPr="00106BB2" w:rsidRDefault="00C54CA7" w:rsidP="00E52836">
            <w:pPr>
              <w:spacing w:after="0" w:line="240" w:lineRule="auto"/>
              <w:rPr>
                <w:sz w:val="22"/>
              </w:rPr>
            </w:pPr>
            <w:r w:rsidRPr="00106BB2">
              <w:rPr>
                <w:sz w:val="22"/>
              </w:rPr>
              <w:t>Indicateurs</w:t>
            </w:r>
          </w:p>
        </w:tc>
        <w:tc>
          <w:tcPr>
            <w:tcW w:w="1275" w:type="dxa"/>
          </w:tcPr>
          <w:p w14:paraId="4D587328" w14:textId="77777777" w:rsidR="00C54CA7" w:rsidRPr="00106BB2" w:rsidRDefault="00C54CA7"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2002</w:t>
            </w:r>
          </w:p>
        </w:tc>
        <w:tc>
          <w:tcPr>
            <w:tcW w:w="1277" w:type="dxa"/>
          </w:tcPr>
          <w:p w14:paraId="5546B65F" w14:textId="77777777" w:rsidR="00C54CA7" w:rsidRPr="00106BB2" w:rsidRDefault="00C54CA7"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Réal. 2023</w:t>
            </w:r>
          </w:p>
        </w:tc>
        <w:tc>
          <w:tcPr>
            <w:tcW w:w="1224" w:type="dxa"/>
          </w:tcPr>
          <w:p w14:paraId="14CF497C" w14:textId="77777777" w:rsidR="00C54CA7" w:rsidRPr="00106BB2" w:rsidRDefault="00C54CA7" w:rsidP="00E52836">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106BB2">
              <w:rPr>
                <w:sz w:val="22"/>
              </w:rPr>
              <w:t>Cible 2023</w:t>
            </w:r>
          </w:p>
        </w:tc>
      </w:tr>
      <w:tr w:rsidR="00C54CA7" w:rsidRPr="00106BB2" w14:paraId="1F5DEA9E" w14:textId="77777777" w:rsidTr="00F17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FFF2CC" w:themeFill="accent4" w:themeFillTint="33"/>
          </w:tcPr>
          <w:p w14:paraId="70E1BEB4" w14:textId="77777777" w:rsidR="00C54CA7" w:rsidRPr="00106BB2" w:rsidRDefault="00C54CA7" w:rsidP="00E52836">
            <w:pPr>
              <w:spacing w:after="0" w:line="240" w:lineRule="auto"/>
              <w:rPr>
                <w:sz w:val="22"/>
              </w:rPr>
            </w:pPr>
            <w:r w:rsidRPr="00106BB2">
              <w:rPr>
                <w:sz w:val="22"/>
              </w:rPr>
              <w:t>Action 03104 : Sauvegarde du patrimoine routier, ferroviaire, aéroportuaire et cartographique</w:t>
            </w:r>
          </w:p>
        </w:tc>
      </w:tr>
      <w:tr w:rsidR="00C54CA7" w:rsidRPr="00106BB2" w14:paraId="73B9B238" w14:textId="77777777" w:rsidTr="00E52836">
        <w:trPr>
          <w:trHeight w:val="70"/>
        </w:trPr>
        <w:tc>
          <w:tcPr>
            <w:cnfStyle w:val="001000000000" w:firstRow="0" w:lastRow="0" w:firstColumn="1" w:lastColumn="0" w:oddVBand="0" w:evenVBand="0" w:oddHBand="0" w:evenHBand="0" w:firstRowFirstColumn="0" w:firstRowLastColumn="0" w:lastRowFirstColumn="0" w:lastRowLastColumn="0"/>
            <w:tcW w:w="5240" w:type="dxa"/>
          </w:tcPr>
          <w:p w14:paraId="70FE602D" w14:textId="77777777" w:rsidR="00C54CA7" w:rsidRPr="00106BB2" w:rsidRDefault="00C54CA7" w:rsidP="00E52836">
            <w:pPr>
              <w:spacing w:after="0" w:line="240" w:lineRule="auto"/>
              <w:rPr>
                <w:sz w:val="22"/>
              </w:rPr>
            </w:pPr>
            <w:r w:rsidRPr="00106BB2">
              <w:rPr>
                <w:sz w:val="22"/>
              </w:rPr>
              <w:t>Proportion des routes en bon état (%)</w:t>
            </w:r>
          </w:p>
        </w:tc>
        <w:tc>
          <w:tcPr>
            <w:tcW w:w="1275" w:type="dxa"/>
          </w:tcPr>
          <w:p w14:paraId="69BC81B3"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23</w:t>
            </w:r>
          </w:p>
        </w:tc>
        <w:tc>
          <w:tcPr>
            <w:tcW w:w="1277" w:type="dxa"/>
          </w:tcPr>
          <w:p w14:paraId="7FC8AAD5"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28,7</w:t>
            </w:r>
          </w:p>
        </w:tc>
        <w:tc>
          <w:tcPr>
            <w:tcW w:w="1224" w:type="dxa"/>
          </w:tcPr>
          <w:p w14:paraId="504EA26B"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30</w:t>
            </w:r>
          </w:p>
        </w:tc>
      </w:tr>
      <w:tr w:rsidR="00C54CA7" w:rsidRPr="00106BB2" w14:paraId="5E442D3A" w14:textId="77777777" w:rsidTr="00F175A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FFF2CC" w:themeFill="accent4" w:themeFillTint="33"/>
          </w:tcPr>
          <w:p w14:paraId="35F6F5E5" w14:textId="77777777" w:rsidR="00C54CA7" w:rsidRPr="00106BB2" w:rsidRDefault="00C54CA7" w:rsidP="00E52836">
            <w:pPr>
              <w:spacing w:after="0" w:line="240" w:lineRule="auto"/>
              <w:rPr>
                <w:sz w:val="22"/>
              </w:rPr>
            </w:pPr>
            <w:r w:rsidRPr="00106BB2">
              <w:rPr>
                <w:sz w:val="22"/>
              </w:rPr>
              <w:t>Action 03105 : Relance des travaux des infrastructures routières</w:t>
            </w:r>
          </w:p>
        </w:tc>
      </w:tr>
      <w:tr w:rsidR="00C54CA7" w:rsidRPr="00106BB2" w14:paraId="1CE930CF" w14:textId="77777777" w:rsidTr="00E52836">
        <w:trPr>
          <w:trHeight w:val="70"/>
        </w:trPr>
        <w:tc>
          <w:tcPr>
            <w:cnfStyle w:val="001000000000" w:firstRow="0" w:lastRow="0" w:firstColumn="1" w:lastColumn="0" w:oddVBand="0" w:evenVBand="0" w:oddHBand="0" w:evenHBand="0" w:firstRowFirstColumn="0" w:firstRowLastColumn="0" w:lastRowFirstColumn="0" w:lastRowLastColumn="0"/>
            <w:tcW w:w="5240" w:type="dxa"/>
          </w:tcPr>
          <w:p w14:paraId="7887FE81" w14:textId="77777777" w:rsidR="00C54CA7" w:rsidRPr="00106BB2" w:rsidRDefault="00C54CA7" w:rsidP="00E52836">
            <w:pPr>
              <w:spacing w:after="0" w:line="240" w:lineRule="auto"/>
              <w:rPr>
                <w:sz w:val="22"/>
              </w:rPr>
            </w:pPr>
            <w:r w:rsidRPr="00106BB2">
              <w:rPr>
                <w:sz w:val="22"/>
              </w:rPr>
              <w:t>Proportion de pistes rurales aménagées (%)</w:t>
            </w:r>
          </w:p>
        </w:tc>
        <w:tc>
          <w:tcPr>
            <w:tcW w:w="1275" w:type="dxa"/>
          </w:tcPr>
          <w:p w14:paraId="143BA569"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36,43</w:t>
            </w:r>
          </w:p>
        </w:tc>
        <w:tc>
          <w:tcPr>
            <w:tcW w:w="1277" w:type="dxa"/>
          </w:tcPr>
          <w:p w14:paraId="4F455B13"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 xml:space="preserve">37,10 </w:t>
            </w:r>
          </w:p>
        </w:tc>
        <w:tc>
          <w:tcPr>
            <w:tcW w:w="1224" w:type="dxa"/>
          </w:tcPr>
          <w:p w14:paraId="32C3CF01"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37,36</w:t>
            </w:r>
          </w:p>
        </w:tc>
      </w:tr>
      <w:tr w:rsidR="00C54CA7" w:rsidRPr="00106BB2" w14:paraId="576A2F23"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Pr>
          <w:p w14:paraId="390227B4" w14:textId="77777777" w:rsidR="00C54CA7" w:rsidRPr="00106BB2" w:rsidRDefault="00C54CA7" w:rsidP="00E52836">
            <w:pPr>
              <w:spacing w:after="0" w:line="240" w:lineRule="auto"/>
              <w:rPr>
                <w:sz w:val="22"/>
              </w:rPr>
            </w:pPr>
            <w:r w:rsidRPr="00106BB2">
              <w:rPr>
                <w:sz w:val="22"/>
              </w:rPr>
              <w:t>Proportion de routes bitumées (%)</w:t>
            </w:r>
          </w:p>
        </w:tc>
        <w:tc>
          <w:tcPr>
            <w:tcW w:w="1275" w:type="dxa"/>
          </w:tcPr>
          <w:p w14:paraId="22B9E834"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28,77</w:t>
            </w:r>
          </w:p>
        </w:tc>
        <w:tc>
          <w:tcPr>
            <w:tcW w:w="1277" w:type="dxa"/>
          </w:tcPr>
          <w:p w14:paraId="510DD520"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28,96</w:t>
            </w:r>
          </w:p>
        </w:tc>
        <w:tc>
          <w:tcPr>
            <w:tcW w:w="1224" w:type="dxa"/>
          </w:tcPr>
          <w:p w14:paraId="1AB61C58"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28,9</w:t>
            </w:r>
          </w:p>
        </w:tc>
      </w:tr>
      <w:tr w:rsidR="00C54CA7" w:rsidRPr="00106BB2" w14:paraId="4058871E" w14:textId="77777777" w:rsidTr="00E52836">
        <w:trPr>
          <w:trHeight w:val="252"/>
        </w:trPr>
        <w:tc>
          <w:tcPr>
            <w:cnfStyle w:val="001000000000" w:firstRow="0" w:lastRow="0" w:firstColumn="1" w:lastColumn="0" w:oddVBand="0" w:evenVBand="0" w:oddHBand="0" w:evenHBand="0" w:firstRowFirstColumn="0" w:firstRowLastColumn="0" w:lastRowFirstColumn="0" w:lastRowLastColumn="0"/>
            <w:tcW w:w="5240" w:type="dxa"/>
          </w:tcPr>
          <w:p w14:paraId="1F9F4362" w14:textId="77777777" w:rsidR="00C54CA7" w:rsidRPr="00106BB2" w:rsidRDefault="00C54CA7" w:rsidP="00E52836">
            <w:pPr>
              <w:spacing w:after="0" w:line="240" w:lineRule="auto"/>
              <w:rPr>
                <w:sz w:val="22"/>
              </w:rPr>
            </w:pPr>
            <w:r w:rsidRPr="00106BB2">
              <w:rPr>
                <w:sz w:val="22"/>
              </w:rPr>
              <w:t>Proportion de voiries urbaines prévues et aménagées (%)</w:t>
            </w:r>
          </w:p>
        </w:tc>
        <w:tc>
          <w:tcPr>
            <w:tcW w:w="1275" w:type="dxa"/>
          </w:tcPr>
          <w:p w14:paraId="3BE8CF22"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53,39</w:t>
            </w:r>
          </w:p>
        </w:tc>
        <w:tc>
          <w:tcPr>
            <w:tcW w:w="1277" w:type="dxa"/>
          </w:tcPr>
          <w:p w14:paraId="6D5F1E98"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78,33</w:t>
            </w:r>
          </w:p>
        </w:tc>
        <w:tc>
          <w:tcPr>
            <w:tcW w:w="1224" w:type="dxa"/>
          </w:tcPr>
          <w:p w14:paraId="7525A5DA" w14:textId="77777777" w:rsidR="00C54CA7" w:rsidRPr="00106BB2" w:rsidRDefault="00C54CA7" w:rsidP="00E528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06BB2">
              <w:rPr>
                <w:sz w:val="22"/>
              </w:rPr>
              <w:t>82,16</w:t>
            </w:r>
          </w:p>
        </w:tc>
      </w:tr>
      <w:tr w:rsidR="00C54CA7" w:rsidRPr="00106BB2" w14:paraId="6AC2455F"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Pr>
          <w:p w14:paraId="1F446B88" w14:textId="77777777" w:rsidR="00C54CA7" w:rsidRPr="00106BB2" w:rsidRDefault="00C54CA7" w:rsidP="00E52836">
            <w:pPr>
              <w:spacing w:after="0" w:line="240" w:lineRule="auto"/>
              <w:rPr>
                <w:sz w:val="22"/>
              </w:rPr>
            </w:pPr>
            <w:r w:rsidRPr="00106BB2">
              <w:rPr>
                <w:sz w:val="22"/>
              </w:rPr>
              <w:t>Taux de renforcement/réhabilitation des routes bitumées (%)</w:t>
            </w:r>
          </w:p>
        </w:tc>
        <w:tc>
          <w:tcPr>
            <w:tcW w:w="1275" w:type="dxa"/>
          </w:tcPr>
          <w:p w14:paraId="1EDE0DE2"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4,71</w:t>
            </w:r>
          </w:p>
        </w:tc>
        <w:tc>
          <w:tcPr>
            <w:tcW w:w="1277" w:type="dxa"/>
          </w:tcPr>
          <w:p w14:paraId="47C769E6"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5,58</w:t>
            </w:r>
          </w:p>
        </w:tc>
        <w:tc>
          <w:tcPr>
            <w:tcW w:w="1224" w:type="dxa"/>
          </w:tcPr>
          <w:p w14:paraId="48366B61"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6,33</w:t>
            </w:r>
          </w:p>
        </w:tc>
      </w:tr>
      <w:tr w:rsidR="00C54CA7" w:rsidRPr="00106BB2" w14:paraId="382965C4" w14:textId="77777777" w:rsidTr="00F175A7">
        <w:trPr>
          <w:trHeight w:val="252"/>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FFF2CC" w:themeFill="accent4" w:themeFillTint="33"/>
          </w:tcPr>
          <w:p w14:paraId="39EC453F" w14:textId="77777777" w:rsidR="00C54CA7" w:rsidRPr="00106BB2" w:rsidRDefault="00C54CA7" w:rsidP="00E52836">
            <w:pPr>
              <w:spacing w:after="0" w:line="240" w:lineRule="auto"/>
              <w:rPr>
                <w:sz w:val="22"/>
              </w:rPr>
            </w:pPr>
            <w:r w:rsidRPr="00106BB2">
              <w:rPr>
                <w:sz w:val="22"/>
              </w:rPr>
              <w:t>Action 03107 : Réduction de la surcharge sur les axes routiers</w:t>
            </w:r>
          </w:p>
        </w:tc>
      </w:tr>
      <w:tr w:rsidR="00C54CA7" w:rsidRPr="00106BB2" w14:paraId="32F57DAA" w14:textId="77777777" w:rsidTr="00E5283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Pr>
          <w:p w14:paraId="2731EEEA" w14:textId="77777777" w:rsidR="00C54CA7" w:rsidRPr="00106BB2" w:rsidRDefault="00C54CA7" w:rsidP="00E52836">
            <w:pPr>
              <w:spacing w:after="0" w:line="240" w:lineRule="auto"/>
              <w:rPr>
                <w:sz w:val="22"/>
              </w:rPr>
            </w:pPr>
            <w:r w:rsidRPr="00106BB2">
              <w:rPr>
                <w:sz w:val="22"/>
              </w:rPr>
              <w:t>Taux de véhicules en surcharge sur les axes routiers (%)</w:t>
            </w:r>
          </w:p>
        </w:tc>
        <w:tc>
          <w:tcPr>
            <w:tcW w:w="1275" w:type="dxa"/>
          </w:tcPr>
          <w:p w14:paraId="41A75143"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67,27</w:t>
            </w:r>
          </w:p>
        </w:tc>
        <w:tc>
          <w:tcPr>
            <w:tcW w:w="1277" w:type="dxa"/>
          </w:tcPr>
          <w:p w14:paraId="4AE55167"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74,78</w:t>
            </w:r>
          </w:p>
        </w:tc>
        <w:tc>
          <w:tcPr>
            <w:tcW w:w="1224" w:type="dxa"/>
          </w:tcPr>
          <w:p w14:paraId="5A70C2FE" w14:textId="77777777" w:rsidR="00C54CA7" w:rsidRPr="00106BB2" w:rsidRDefault="00C54CA7" w:rsidP="00E528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06BB2">
              <w:rPr>
                <w:sz w:val="22"/>
              </w:rPr>
              <w:t>50</w:t>
            </w:r>
          </w:p>
        </w:tc>
      </w:tr>
    </w:tbl>
    <w:p w14:paraId="0EE2B21C" w14:textId="710085ED" w:rsidR="00C54CA7" w:rsidRPr="00A02D16" w:rsidRDefault="00C54CA7" w:rsidP="00C54CA7">
      <w:pPr>
        <w:spacing w:line="240" w:lineRule="auto"/>
        <w:rPr>
          <w:sz w:val="20"/>
          <w:szCs w:val="20"/>
        </w:rPr>
      </w:pPr>
      <w:r w:rsidRPr="00A02D16">
        <w:rPr>
          <w:b/>
          <w:sz w:val="20"/>
          <w:szCs w:val="20"/>
          <w:u w:val="single"/>
        </w:rPr>
        <w:t>Source</w:t>
      </w:r>
      <w:r w:rsidRPr="00A02D16">
        <w:rPr>
          <w:sz w:val="20"/>
          <w:szCs w:val="20"/>
        </w:rPr>
        <w:t xml:space="preserve"> : rapport annuel de performance 2023 du </w:t>
      </w:r>
      <w:r w:rsidR="00E804BD">
        <w:rPr>
          <w:sz w:val="20"/>
          <w:szCs w:val="20"/>
        </w:rPr>
        <w:t>CSD-</w:t>
      </w:r>
      <w:r w:rsidRPr="00A02D16">
        <w:rPr>
          <w:sz w:val="20"/>
          <w:szCs w:val="20"/>
        </w:rPr>
        <w:t>ITCH, février 2024</w:t>
      </w:r>
    </w:p>
    <w:p w14:paraId="29D79D5C" w14:textId="15499A70"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En matière de sauvegarde du patrimoine routier, ferroviaire, aéroportuaire et cartographique, sans être entièrement alignée sur la cible 2023 de 30%, la proportion des routes en bon </w:t>
      </w:r>
      <w:r w:rsidR="0046390F">
        <w:rPr>
          <w:rFonts w:eastAsia="Calibri"/>
          <w:szCs w:val="24"/>
        </w:rPr>
        <w:t xml:space="preserve">état </w:t>
      </w:r>
      <w:r w:rsidRPr="00C54CA7">
        <w:rPr>
          <w:rFonts w:eastAsia="Calibri"/>
          <w:szCs w:val="24"/>
        </w:rPr>
        <w:t xml:space="preserve">est en progrès. Pour l’action 03105, tous les quatre indicateurs enregistrent des évolutions satisfaisantes allant de </w:t>
      </w:r>
      <w:r w:rsidR="0072472B" w:rsidRPr="00C54CA7">
        <w:rPr>
          <w:rFonts w:eastAsia="Calibri"/>
          <w:szCs w:val="24"/>
        </w:rPr>
        <w:t xml:space="preserve">88% à </w:t>
      </w:r>
      <w:r w:rsidRPr="00C54CA7">
        <w:rPr>
          <w:rFonts w:eastAsia="Calibri"/>
          <w:szCs w:val="24"/>
        </w:rPr>
        <w:t>100% des cibles annuelles fixées. Quant à l’action 03107, son indicateur, taux de véhicule</w:t>
      </w:r>
      <w:r w:rsidR="0046390F">
        <w:rPr>
          <w:rFonts w:eastAsia="Calibri"/>
          <w:szCs w:val="24"/>
        </w:rPr>
        <w:t>s</w:t>
      </w:r>
      <w:r w:rsidRPr="00C54CA7">
        <w:rPr>
          <w:rFonts w:eastAsia="Calibri"/>
          <w:szCs w:val="24"/>
        </w:rPr>
        <w:t xml:space="preserve"> en surcharge sur les axes routiers, en s’établissant à 74,78% contre 67,27% en 2022 et une cible 2023 de 50%</w:t>
      </w:r>
      <w:r w:rsidR="0046390F">
        <w:rPr>
          <w:rFonts w:eastAsia="Calibri"/>
          <w:szCs w:val="24"/>
        </w:rPr>
        <w:t>,</w:t>
      </w:r>
      <w:r w:rsidRPr="00C54CA7">
        <w:rPr>
          <w:rFonts w:eastAsia="Calibri"/>
          <w:szCs w:val="24"/>
        </w:rPr>
        <w:t xml:space="preserve"> a enregistré une dégradation comparativement à 2022 (67,27).</w:t>
      </w:r>
    </w:p>
    <w:p w14:paraId="4FBCAD4F" w14:textId="77777777"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S’agissant de l’action 03104 « sauvegarde du patrimoine routier, ferroviaire, aéroportuaire et cartographique », les indicateurs de produits au 31 décembre affichent de très bonnes réalisations avec des taux de plus de 100%. </w:t>
      </w:r>
    </w:p>
    <w:p w14:paraId="14519634" w14:textId="6A7D15D4" w:rsidR="00C54CA7" w:rsidRPr="0042784A" w:rsidRDefault="00B647DA" w:rsidP="008139E1">
      <w:pPr>
        <w:pStyle w:val="Lgende"/>
        <w:rPr>
          <w:color w:val="auto"/>
          <w:sz w:val="22"/>
        </w:rPr>
      </w:pPr>
      <w:bookmarkStart w:id="158" w:name="_Toc164503669"/>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82</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 l’action 03104 au 31 décembre 2023</w:t>
      </w:r>
      <w:bookmarkEnd w:id="158"/>
    </w:p>
    <w:tbl>
      <w:tblPr>
        <w:tblStyle w:val="GridTable4-Accent111"/>
        <w:tblW w:w="5000" w:type="pct"/>
        <w:tblLook w:val="04A0" w:firstRow="1" w:lastRow="0" w:firstColumn="1" w:lastColumn="0" w:noHBand="0" w:noVBand="1"/>
      </w:tblPr>
      <w:tblGrid>
        <w:gridCol w:w="5240"/>
        <w:gridCol w:w="1275"/>
        <w:gridCol w:w="1277"/>
        <w:gridCol w:w="1224"/>
      </w:tblGrid>
      <w:tr w:rsidR="00C54CA7" w:rsidRPr="002203B6" w14:paraId="5F27CCF3" w14:textId="77777777" w:rsidTr="00F175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18FC0EF4" w14:textId="245D6F42" w:rsidR="00C54CA7" w:rsidRPr="002203B6" w:rsidRDefault="00C54CA7" w:rsidP="00E52836">
            <w:pPr>
              <w:keepNext/>
              <w:keepLines/>
              <w:spacing w:after="0" w:line="240" w:lineRule="auto"/>
              <w:rPr>
                <w:sz w:val="22"/>
              </w:rPr>
            </w:pPr>
            <w:r w:rsidRPr="002203B6">
              <w:rPr>
                <w:sz w:val="22"/>
              </w:rPr>
              <w:t>Indicateur</w:t>
            </w:r>
            <w:r w:rsidR="00E804BD">
              <w:rPr>
                <w:sz w:val="22"/>
              </w:rPr>
              <w:t>s</w:t>
            </w:r>
            <w:r w:rsidRPr="002203B6">
              <w:rPr>
                <w:sz w:val="22"/>
              </w:rPr>
              <w:t xml:space="preserve"> </w:t>
            </w:r>
          </w:p>
        </w:tc>
        <w:tc>
          <w:tcPr>
            <w:tcW w:w="707" w:type="pct"/>
          </w:tcPr>
          <w:p w14:paraId="18D653C0" w14:textId="77777777" w:rsidR="00C54CA7" w:rsidRPr="002203B6" w:rsidRDefault="00C54CA7"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2203B6">
              <w:rPr>
                <w:sz w:val="22"/>
              </w:rPr>
              <w:t>Réal. 2022</w:t>
            </w:r>
          </w:p>
        </w:tc>
        <w:tc>
          <w:tcPr>
            <w:tcW w:w="708" w:type="pct"/>
          </w:tcPr>
          <w:p w14:paraId="7157AD8F" w14:textId="77777777" w:rsidR="00C54CA7" w:rsidRPr="002203B6" w:rsidRDefault="00C54CA7"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2203B6">
              <w:rPr>
                <w:sz w:val="22"/>
              </w:rPr>
              <w:t>Réal. 2023</w:t>
            </w:r>
          </w:p>
        </w:tc>
        <w:tc>
          <w:tcPr>
            <w:tcW w:w="679" w:type="pct"/>
          </w:tcPr>
          <w:p w14:paraId="4BAA4BB9" w14:textId="77777777" w:rsidR="00C54CA7" w:rsidRPr="002203B6" w:rsidRDefault="00C54CA7" w:rsidP="00E52836">
            <w:pPr>
              <w:keepNext/>
              <w:keepLines/>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2203B6">
              <w:rPr>
                <w:sz w:val="22"/>
              </w:rPr>
              <w:t>Cible 2023</w:t>
            </w:r>
          </w:p>
        </w:tc>
      </w:tr>
      <w:tr w:rsidR="00C54CA7" w:rsidRPr="002203B6" w14:paraId="3D5BC780"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7A206966" w14:textId="77777777" w:rsidR="00C54CA7" w:rsidRPr="002203B6" w:rsidRDefault="00C54CA7" w:rsidP="00E52836">
            <w:pPr>
              <w:keepNext/>
              <w:keepLines/>
              <w:spacing w:after="0" w:line="240" w:lineRule="auto"/>
              <w:rPr>
                <w:sz w:val="22"/>
              </w:rPr>
            </w:pPr>
            <w:r w:rsidRPr="002203B6">
              <w:rPr>
                <w:sz w:val="22"/>
              </w:rPr>
              <w:t xml:space="preserve">Linéaire du réseau routier classé entretenu par entretien courant (km) </w:t>
            </w:r>
          </w:p>
        </w:tc>
        <w:tc>
          <w:tcPr>
            <w:tcW w:w="707" w:type="pct"/>
          </w:tcPr>
          <w:p w14:paraId="4878747A" w14:textId="77777777" w:rsidR="00C54CA7" w:rsidRPr="002203B6" w:rsidRDefault="00C54CA7"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5 969</w:t>
            </w:r>
          </w:p>
        </w:tc>
        <w:tc>
          <w:tcPr>
            <w:tcW w:w="708" w:type="pct"/>
          </w:tcPr>
          <w:p w14:paraId="50194110" w14:textId="77777777" w:rsidR="00C54CA7" w:rsidRPr="002203B6" w:rsidRDefault="00C54CA7"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7 500</w:t>
            </w:r>
          </w:p>
        </w:tc>
        <w:tc>
          <w:tcPr>
            <w:tcW w:w="679" w:type="pct"/>
          </w:tcPr>
          <w:p w14:paraId="73E1ED5C" w14:textId="77777777" w:rsidR="00C54CA7" w:rsidRPr="002203B6" w:rsidRDefault="00C54CA7"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6 000</w:t>
            </w:r>
          </w:p>
        </w:tc>
      </w:tr>
      <w:tr w:rsidR="00C54CA7" w:rsidRPr="002203B6" w14:paraId="74A07E5D"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050154B1" w14:textId="77777777" w:rsidR="00C54CA7" w:rsidRPr="002203B6" w:rsidRDefault="00C54CA7" w:rsidP="00E52836">
            <w:pPr>
              <w:keepNext/>
              <w:keepLines/>
              <w:spacing w:after="0" w:line="240" w:lineRule="auto"/>
              <w:rPr>
                <w:sz w:val="22"/>
              </w:rPr>
            </w:pPr>
            <w:r w:rsidRPr="002203B6">
              <w:rPr>
                <w:sz w:val="22"/>
              </w:rPr>
              <w:t xml:space="preserve">Linéaire du réseau routier classé entretenu par entretien périodique (km) </w:t>
            </w:r>
          </w:p>
        </w:tc>
        <w:tc>
          <w:tcPr>
            <w:tcW w:w="707" w:type="pct"/>
          </w:tcPr>
          <w:p w14:paraId="1F1ABFF4" w14:textId="77777777" w:rsidR="00C54CA7" w:rsidRPr="002203B6" w:rsidRDefault="00C54CA7"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0</w:t>
            </w:r>
          </w:p>
        </w:tc>
        <w:tc>
          <w:tcPr>
            <w:tcW w:w="708" w:type="pct"/>
          </w:tcPr>
          <w:p w14:paraId="6042A936" w14:textId="77777777" w:rsidR="00C54CA7" w:rsidRPr="002203B6" w:rsidRDefault="00C54CA7"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10</w:t>
            </w:r>
          </w:p>
        </w:tc>
        <w:tc>
          <w:tcPr>
            <w:tcW w:w="679" w:type="pct"/>
          </w:tcPr>
          <w:p w14:paraId="786277F2" w14:textId="77777777" w:rsidR="00C54CA7" w:rsidRPr="002203B6" w:rsidRDefault="00C54CA7"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10</w:t>
            </w:r>
          </w:p>
        </w:tc>
      </w:tr>
      <w:tr w:rsidR="00C54CA7" w:rsidRPr="002203B6" w14:paraId="6D9E365C"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6" w:type="pct"/>
          </w:tcPr>
          <w:p w14:paraId="4C1CB4F0" w14:textId="77777777" w:rsidR="00C54CA7" w:rsidRPr="002203B6" w:rsidRDefault="00C54CA7" w:rsidP="00E52836">
            <w:pPr>
              <w:keepNext/>
              <w:keepLines/>
              <w:spacing w:after="0" w:line="240" w:lineRule="auto"/>
              <w:rPr>
                <w:sz w:val="22"/>
              </w:rPr>
            </w:pPr>
            <w:r w:rsidRPr="002203B6">
              <w:rPr>
                <w:sz w:val="22"/>
              </w:rPr>
              <w:t xml:space="preserve">Linéaire de voiries entretenues par entretien courant (km) </w:t>
            </w:r>
          </w:p>
        </w:tc>
        <w:tc>
          <w:tcPr>
            <w:tcW w:w="707" w:type="pct"/>
          </w:tcPr>
          <w:p w14:paraId="04563E79" w14:textId="77777777" w:rsidR="00C54CA7" w:rsidRPr="002203B6" w:rsidRDefault="00C54CA7"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0</w:t>
            </w:r>
          </w:p>
        </w:tc>
        <w:tc>
          <w:tcPr>
            <w:tcW w:w="708" w:type="pct"/>
          </w:tcPr>
          <w:p w14:paraId="7BA74EEB" w14:textId="77777777" w:rsidR="00C54CA7" w:rsidRPr="002203B6" w:rsidRDefault="00C54CA7"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10</w:t>
            </w:r>
          </w:p>
        </w:tc>
        <w:tc>
          <w:tcPr>
            <w:tcW w:w="679" w:type="pct"/>
          </w:tcPr>
          <w:p w14:paraId="5C8B7898" w14:textId="77777777" w:rsidR="00C54CA7" w:rsidRPr="002203B6" w:rsidRDefault="00C54CA7" w:rsidP="00E52836">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10</w:t>
            </w:r>
          </w:p>
        </w:tc>
      </w:tr>
      <w:tr w:rsidR="00C54CA7" w:rsidRPr="002203B6" w14:paraId="7A2703A9" w14:textId="77777777" w:rsidTr="00F175A7">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69984AC6" w14:textId="77777777" w:rsidR="00C54CA7" w:rsidRPr="002203B6" w:rsidRDefault="00C54CA7" w:rsidP="00E52836">
            <w:pPr>
              <w:keepNext/>
              <w:keepLines/>
              <w:spacing w:after="0" w:line="240" w:lineRule="auto"/>
              <w:rPr>
                <w:sz w:val="22"/>
              </w:rPr>
            </w:pPr>
            <w:r w:rsidRPr="002203B6">
              <w:rPr>
                <w:sz w:val="22"/>
              </w:rPr>
              <w:t>Linéaire du réseau de pistes rurales entretenues par entretien courant (km)</w:t>
            </w:r>
          </w:p>
        </w:tc>
        <w:tc>
          <w:tcPr>
            <w:tcW w:w="707" w:type="pct"/>
          </w:tcPr>
          <w:p w14:paraId="127988BE" w14:textId="77777777" w:rsidR="00C54CA7" w:rsidRPr="002203B6" w:rsidRDefault="00C54CA7"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719</w:t>
            </w:r>
          </w:p>
        </w:tc>
        <w:tc>
          <w:tcPr>
            <w:tcW w:w="708" w:type="pct"/>
          </w:tcPr>
          <w:p w14:paraId="5B7F8955" w14:textId="77777777" w:rsidR="00C54CA7" w:rsidRPr="002203B6" w:rsidRDefault="00C54CA7"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1 350</w:t>
            </w:r>
          </w:p>
        </w:tc>
        <w:tc>
          <w:tcPr>
            <w:tcW w:w="679" w:type="pct"/>
          </w:tcPr>
          <w:p w14:paraId="46C47771" w14:textId="77777777" w:rsidR="00C54CA7" w:rsidRPr="002203B6" w:rsidRDefault="00C54CA7" w:rsidP="00E5283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800</w:t>
            </w:r>
          </w:p>
        </w:tc>
      </w:tr>
    </w:tbl>
    <w:p w14:paraId="45C473E3" w14:textId="3C1ECDCF" w:rsidR="00C54CA7" w:rsidRPr="002203B6" w:rsidRDefault="00C54CA7" w:rsidP="00C54CA7">
      <w:pPr>
        <w:spacing w:line="240" w:lineRule="auto"/>
        <w:rPr>
          <w:sz w:val="20"/>
          <w:szCs w:val="20"/>
        </w:rPr>
      </w:pPr>
      <w:r w:rsidRPr="002203B6">
        <w:rPr>
          <w:b/>
          <w:sz w:val="20"/>
          <w:szCs w:val="20"/>
          <w:u w:val="single"/>
        </w:rPr>
        <w:t>Source</w:t>
      </w:r>
      <w:r w:rsidRPr="002203B6">
        <w:rPr>
          <w:sz w:val="20"/>
          <w:szCs w:val="20"/>
        </w:rPr>
        <w:t xml:space="preserve"> : rapport annuel de performance 2023 du </w:t>
      </w:r>
      <w:r w:rsidR="00E804BD">
        <w:rPr>
          <w:sz w:val="20"/>
          <w:szCs w:val="20"/>
        </w:rPr>
        <w:t>CSD-</w:t>
      </w:r>
      <w:r w:rsidRPr="002203B6">
        <w:rPr>
          <w:sz w:val="20"/>
          <w:szCs w:val="20"/>
        </w:rPr>
        <w:t>ITCH, février 2024</w:t>
      </w:r>
    </w:p>
    <w:p w14:paraId="1C9EB14B" w14:textId="08763A2A"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La performance affichée pour l’indicateur « linéaire du réseau routier classé entretenu » est le résultat de l’augmentation du nombre de régions couvertes qui est passé de 7 à 13. Concernant le « linéaire du réseau des pistes rurales entretenues par entretien courant », le dépassement s’explique par le transfert des travaux de l’entretien du réseau routier classé au réseau des pistes rurales, du fait de l’inaccessibilité des </w:t>
      </w:r>
      <w:r w:rsidR="00CF3449">
        <w:rPr>
          <w:rFonts w:eastAsia="Calibri"/>
          <w:szCs w:val="24"/>
        </w:rPr>
        <w:t>s</w:t>
      </w:r>
      <w:r w:rsidRPr="00C54CA7">
        <w:rPr>
          <w:rFonts w:eastAsia="Calibri"/>
          <w:szCs w:val="24"/>
        </w:rPr>
        <w:t xml:space="preserve">ites.  </w:t>
      </w:r>
    </w:p>
    <w:p w14:paraId="0F045E52" w14:textId="1CDD7573"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lastRenderedPageBreak/>
        <w:t>En matière financière, les ressources dépensées au 31 décembre 2023 pour la mise en œuvre de l’action de sauvegarde sont de 6 061</w:t>
      </w:r>
      <w:r w:rsidR="0046390F">
        <w:rPr>
          <w:rFonts w:eastAsia="Calibri"/>
          <w:szCs w:val="24"/>
        </w:rPr>
        <w:t> </w:t>
      </w:r>
      <w:r w:rsidRPr="00C54CA7">
        <w:rPr>
          <w:rFonts w:eastAsia="Calibri"/>
          <w:szCs w:val="24"/>
        </w:rPr>
        <w:t>207</w:t>
      </w:r>
      <w:r w:rsidR="0046390F" w:rsidRPr="00056445">
        <w:rPr>
          <w:rFonts w:eastAsia="Calibri"/>
          <w:szCs w:val="24"/>
        </w:rPr>
        <w:t>°</w:t>
      </w:r>
      <w:r w:rsidRPr="00C54CA7">
        <w:rPr>
          <w:rFonts w:eastAsia="Calibri"/>
          <w:szCs w:val="24"/>
        </w:rPr>
        <w:t xml:space="preserve">122 FCFA sur des prévisions de </w:t>
      </w:r>
      <w:r w:rsidR="00CF3449">
        <w:rPr>
          <w:rFonts w:eastAsia="Calibri"/>
          <w:szCs w:val="24"/>
        </w:rPr>
        <w:t>23 760 200 000</w:t>
      </w:r>
      <w:r w:rsidR="00CF3449" w:rsidRPr="00C54CA7">
        <w:rPr>
          <w:rFonts w:eastAsia="Calibri"/>
          <w:szCs w:val="24"/>
        </w:rPr>
        <w:t xml:space="preserve"> </w:t>
      </w:r>
      <w:r w:rsidRPr="00C54CA7">
        <w:rPr>
          <w:rFonts w:eastAsia="Calibri"/>
          <w:szCs w:val="24"/>
        </w:rPr>
        <w:t xml:space="preserve">FCFA, soit un taux d’exécution de </w:t>
      </w:r>
      <w:r w:rsidR="00CF3449">
        <w:rPr>
          <w:rFonts w:eastAsia="Calibri"/>
          <w:szCs w:val="24"/>
        </w:rPr>
        <w:t>25</w:t>
      </w:r>
      <w:r w:rsidRPr="00C54CA7">
        <w:rPr>
          <w:rFonts w:eastAsia="Calibri"/>
          <w:szCs w:val="24"/>
        </w:rPr>
        <w:t>,</w:t>
      </w:r>
      <w:r w:rsidR="00CF3449">
        <w:rPr>
          <w:rFonts w:eastAsia="Calibri"/>
          <w:szCs w:val="24"/>
        </w:rPr>
        <w:t>5</w:t>
      </w:r>
      <w:r w:rsidRPr="00C54CA7">
        <w:rPr>
          <w:rFonts w:eastAsia="Calibri"/>
          <w:szCs w:val="24"/>
        </w:rPr>
        <w:t xml:space="preserve">%. Ce faible niveau du taux d’exécution s’explique entre autres par le retard dans le processus d’obtention des ANO, la suspension ou la délocalisation de certains travaux pour fait d’insécurité, la redéfinition des priorités du Fonds spécial routier du Burkina (FSR-B) qui a entraîné le report en 2024 des travaux de l’entretien de la voirie par entretien courant. </w:t>
      </w:r>
    </w:p>
    <w:p w14:paraId="35A31BA0" w14:textId="43B67AEB"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Au titre de l’action 03105 « relance des travaux des infrastructures routières », les niveaux de réalisation des produits au nombre de 10 varient de 0% à 100% (tableau </w:t>
      </w:r>
      <w:r w:rsidR="0072472B">
        <w:rPr>
          <w:rFonts w:eastAsia="Calibri"/>
          <w:szCs w:val="24"/>
        </w:rPr>
        <w:t>83</w:t>
      </w:r>
      <w:r w:rsidRPr="00C54CA7">
        <w:rPr>
          <w:rFonts w:eastAsia="Calibri"/>
          <w:szCs w:val="24"/>
        </w:rPr>
        <w:t xml:space="preserve">). </w:t>
      </w:r>
    </w:p>
    <w:p w14:paraId="17A2406B" w14:textId="626C92F3" w:rsidR="00C54CA7" w:rsidRPr="0042784A" w:rsidRDefault="00B647DA" w:rsidP="008139E1">
      <w:pPr>
        <w:pStyle w:val="Lgende"/>
        <w:rPr>
          <w:color w:val="auto"/>
          <w:sz w:val="22"/>
        </w:rPr>
      </w:pPr>
      <w:bookmarkStart w:id="159" w:name="_Toc164503670"/>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83</w:t>
      </w:r>
      <w:r w:rsidRPr="0042784A">
        <w:rPr>
          <w:b/>
          <w:i w:val="0"/>
          <w:color w:val="auto"/>
          <w:sz w:val="22"/>
          <w:szCs w:val="22"/>
          <w:u w:val="single"/>
        </w:rPr>
        <w:fldChar w:fldCharType="end"/>
      </w:r>
      <w:r w:rsidRPr="0042784A">
        <w:rPr>
          <w:i w:val="0"/>
          <w:color w:val="auto"/>
          <w:sz w:val="22"/>
          <w:szCs w:val="22"/>
        </w:rPr>
        <w:t xml:space="preserve"> : </w:t>
      </w:r>
      <w:r w:rsidRPr="0042784A">
        <w:rPr>
          <w:i w:val="0"/>
          <w:color w:val="auto"/>
          <w:sz w:val="24"/>
          <w:szCs w:val="24"/>
        </w:rPr>
        <w:t>situation des indicateurs de produits de l’action 03105 au 31 décembre 2023</w:t>
      </w:r>
      <w:bookmarkEnd w:id="159"/>
    </w:p>
    <w:tbl>
      <w:tblPr>
        <w:tblStyle w:val="GridTable4-Accent111"/>
        <w:tblW w:w="5000" w:type="pct"/>
        <w:tblLook w:val="04A0" w:firstRow="1" w:lastRow="0" w:firstColumn="1" w:lastColumn="0" w:noHBand="0" w:noVBand="1"/>
      </w:tblPr>
      <w:tblGrid>
        <w:gridCol w:w="5486"/>
        <w:gridCol w:w="1168"/>
        <w:gridCol w:w="1168"/>
        <w:gridCol w:w="1194"/>
      </w:tblGrid>
      <w:tr w:rsidR="002203B6" w:rsidRPr="002203B6" w14:paraId="35F527D4" w14:textId="77777777" w:rsidTr="002203B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42" w:type="pct"/>
          </w:tcPr>
          <w:p w14:paraId="468E173F" w14:textId="77777777" w:rsidR="00C54CA7" w:rsidRPr="002203B6" w:rsidRDefault="00C54CA7" w:rsidP="002203B6">
            <w:pPr>
              <w:widowControl w:val="0"/>
              <w:spacing w:after="0" w:line="240" w:lineRule="auto"/>
              <w:rPr>
                <w:sz w:val="22"/>
              </w:rPr>
            </w:pPr>
            <w:r w:rsidRPr="002203B6">
              <w:rPr>
                <w:sz w:val="22"/>
              </w:rPr>
              <w:t xml:space="preserve">Indicateur </w:t>
            </w:r>
          </w:p>
        </w:tc>
        <w:tc>
          <w:tcPr>
            <w:tcW w:w="648" w:type="pct"/>
          </w:tcPr>
          <w:p w14:paraId="541EA593" w14:textId="77777777" w:rsidR="00C54CA7" w:rsidRPr="002203B6" w:rsidRDefault="00C54CA7" w:rsidP="002203B6">
            <w:pPr>
              <w:widowControl w:val="0"/>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2203B6">
              <w:rPr>
                <w:sz w:val="22"/>
              </w:rPr>
              <w:t>Réal. 2022</w:t>
            </w:r>
          </w:p>
        </w:tc>
        <w:tc>
          <w:tcPr>
            <w:tcW w:w="648" w:type="pct"/>
          </w:tcPr>
          <w:p w14:paraId="36C2E280" w14:textId="77777777" w:rsidR="00C54CA7" w:rsidRPr="002203B6" w:rsidRDefault="00C54CA7" w:rsidP="002203B6">
            <w:pPr>
              <w:widowControl w:val="0"/>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2203B6">
              <w:rPr>
                <w:sz w:val="22"/>
              </w:rPr>
              <w:t>Réal. 2023</w:t>
            </w:r>
          </w:p>
        </w:tc>
        <w:tc>
          <w:tcPr>
            <w:tcW w:w="662" w:type="pct"/>
          </w:tcPr>
          <w:p w14:paraId="6D782A21" w14:textId="77777777" w:rsidR="00C54CA7" w:rsidRPr="002203B6" w:rsidRDefault="00C54CA7" w:rsidP="002203B6">
            <w:pPr>
              <w:widowControl w:val="0"/>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2203B6">
              <w:rPr>
                <w:sz w:val="22"/>
              </w:rPr>
              <w:t>Cible 2023</w:t>
            </w:r>
          </w:p>
        </w:tc>
      </w:tr>
      <w:tr w:rsidR="002203B6" w:rsidRPr="002203B6" w14:paraId="7A6F6CA2" w14:textId="77777777" w:rsidTr="002203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017DAAE3" w14:textId="77777777" w:rsidR="00C54CA7" w:rsidRPr="002203B6" w:rsidRDefault="00C54CA7" w:rsidP="002203B6">
            <w:pPr>
              <w:widowControl w:val="0"/>
              <w:spacing w:after="0" w:line="240" w:lineRule="auto"/>
              <w:rPr>
                <w:sz w:val="22"/>
              </w:rPr>
            </w:pPr>
            <w:r w:rsidRPr="002203B6">
              <w:rPr>
                <w:sz w:val="22"/>
              </w:rPr>
              <w:t>Linéaire de nouvelles voiries bitumées (km)</w:t>
            </w:r>
          </w:p>
        </w:tc>
        <w:tc>
          <w:tcPr>
            <w:tcW w:w="648" w:type="pct"/>
          </w:tcPr>
          <w:p w14:paraId="4D117239"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34,1</w:t>
            </w:r>
          </w:p>
        </w:tc>
        <w:tc>
          <w:tcPr>
            <w:tcW w:w="648" w:type="pct"/>
          </w:tcPr>
          <w:p w14:paraId="3157D18C" w14:textId="07C283C5" w:rsidR="00C54CA7" w:rsidRPr="002203B6" w:rsidRDefault="00CF3449"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Pr>
                <w:sz w:val="22"/>
              </w:rPr>
              <w:t>80,58</w:t>
            </w:r>
          </w:p>
        </w:tc>
        <w:tc>
          <w:tcPr>
            <w:tcW w:w="662" w:type="pct"/>
          </w:tcPr>
          <w:p w14:paraId="110EA8D3"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69,88</w:t>
            </w:r>
          </w:p>
        </w:tc>
      </w:tr>
      <w:tr w:rsidR="002203B6" w:rsidRPr="002203B6" w14:paraId="7E077FA5" w14:textId="77777777" w:rsidTr="002203B6">
        <w:trPr>
          <w:trHeight w:val="20"/>
        </w:trPr>
        <w:tc>
          <w:tcPr>
            <w:cnfStyle w:val="001000000000" w:firstRow="0" w:lastRow="0" w:firstColumn="1" w:lastColumn="0" w:oddVBand="0" w:evenVBand="0" w:oddHBand="0" w:evenHBand="0" w:firstRowFirstColumn="0" w:firstRowLastColumn="0" w:lastRowFirstColumn="0" w:lastRowLastColumn="0"/>
            <w:tcW w:w="3042" w:type="pct"/>
          </w:tcPr>
          <w:p w14:paraId="1FA775B8" w14:textId="77777777" w:rsidR="00C54CA7" w:rsidRPr="002203B6" w:rsidRDefault="00C54CA7" w:rsidP="002203B6">
            <w:pPr>
              <w:widowControl w:val="0"/>
              <w:spacing w:after="0" w:line="240" w:lineRule="auto"/>
              <w:rPr>
                <w:sz w:val="22"/>
              </w:rPr>
            </w:pPr>
            <w:r w:rsidRPr="002203B6">
              <w:rPr>
                <w:sz w:val="22"/>
              </w:rPr>
              <w:t>Nombre d'études de la voirie urbaine</w:t>
            </w:r>
          </w:p>
        </w:tc>
        <w:tc>
          <w:tcPr>
            <w:tcW w:w="648" w:type="pct"/>
          </w:tcPr>
          <w:p w14:paraId="765BD8DA"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5</w:t>
            </w:r>
          </w:p>
        </w:tc>
        <w:tc>
          <w:tcPr>
            <w:tcW w:w="648" w:type="pct"/>
          </w:tcPr>
          <w:p w14:paraId="3C9B0833"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0</w:t>
            </w:r>
          </w:p>
        </w:tc>
        <w:tc>
          <w:tcPr>
            <w:tcW w:w="662" w:type="pct"/>
          </w:tcPr>
          <w:p w14:paraId="229660AD"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4</w:t>
            </w:r>
          </w:p>
        </w:tc>
      </w:tr>
      <w:tr w:rsidR="002203B6" w:rsidRPr="002203B6" w14:paraId="5160781A" w14:textId="77777777" w:rsidTr="002203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00B8E2FE" w14:textId="77777777" w:rsidR="00C54CA7" w:rsidRPr="002203B6" w:rsidRDefault="00C54CA7" w:rsidP="002203B6">
            <w:pPr>
              <w:widowControl w:val="0"/>
              <w:spacing w:after="0" w:line="240" w:lineRule="auto"/>
              <w:rPr>
                <w:sz w:val="22"/>
              </w:rPr>
            </w:pPr>
            <w:r w:rsidRPr="002203B6">
              <w:rPr>
                <w:color w:val="000000"/>
                <w:sz w:val="22"/>
              </w:rPr>
              <w:t>Linéaire de nouvelles pistes rurales aménagées (km)</w:t>
            </w:r>
          </w:p>
        </w:tc>
        <w:tc>
          <w:tcPr>
            <w:tcW w:w="648" w:type="pct"/>
          </w:tcPr>
          <w:p w14:paraId="4FE8DC1A"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413</w:t>
            </w:r>
          </w:p>
        </w:tc>
        <w:tc>
          <w:tcPr>
            <w:tcW w:w="648" w:type="pct"/>
          </w:tcPr>
          <w:p w14:paraId="3350A345"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182</w:t>
            </w:r>
          </w:p>
        </w:tc>
        <w:tc>
          <w:tcPr>
            <w:tcW w:w="662" w:type="pct"/>
          </w:tcPr>
          <w:p w14:paraId="37945A7E"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430</w:t>
            </w:r>
          </w:p>
        </w:tc>
      </w:tr>
      <w:tr w:rsidR="002203B6" w:rsidRPr="002203B6" w14:paraId="6809BC24" w14:textId="77777777" w:rsidTr="002203B6">
        <w:trPr>
          <w:trHeight w:val="20"/>
        </w:trPr>
        <w:tc>
          <w:tcPr>
            <w:cnfStyle w:val="001000000000" w:firstRow="0" w:lastRow="0" w:firstColumn="1" w:lastColumn="0" w:oddVBand="0" w:evenVBand="0" w:oddHBand="0" w:evenHBand="0" w:firstRowFirstColumn="0" w:firstRowLastColumn="0" w:lastRowFirstColumn="0" w:lastRowLastColumn="0"/>
            <w:tcW w:w="3042" w:type="pct"/>
          </w:tcPr>
          <w:p w14:paraId="7CEC5F99" w14:textId="77777777" w:rsidR="00C54CA7" w:rsidRPr="002203B6" w:rsidRDefault="00C54CA7" w:rsidP="002203B6">
            <w:pPr>
              <w:widowControl w:val="0"/>
              <w:spacing w:after="0" w:line="240" w:lineRule="auto"/>
              <w:rPr>
                <w:sz w:val="22"/>
              </w:rPr>
            </w:pPr>
            <w:r w:rsidRPr="002203B6">
              <w:rPr>
                <w:color w:val="000000"/>
                <w:sz w:val="22"/>
              </w:rPr>
              <w:t>Linéaire de nouvelles routes bitumées (km)</w:t>
            </w:r>
          </w:p>
        </w:tc>
        <w:tc>
          <w:tcPr>
            <w:tcW w:w="648" w:type="pct"/>
          </w:tcPr>
          <w:p w14:paraId="131C6ED7"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108,1</w:t>
            </w:r>
          </w:p>
        </w:tc>
        <w:tc>
          <w:tcPr>
            <w:tcW w:w="648" w:type="pct"/>
          </w:tcPr>
          <w:p w14:paraId="44D4E421"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0</w:t>
            </w:r>
          </w:p>
        </w:tc>
        <w:tc>
          <w:tcPr>
            <w:tcW w:w="662" w:type="pct"/>
          </w:tcPr>
          <w:p w14:paraId="36409E68"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20</w:t>
            </w:r>
          </w:p>
        </w:tc>
      </w:tr>
      <w:tr w:rsidR="002203B6" w:rsidRPr="002203B6" w14:paraId="5098A103" w14:textId="77777777" w:rsidTr="002203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5883B267" w14:textId="77777777" w:rsidR="00C54CA7" w:rsidRPr="002203B6" w:rsidRDefault="00C54CA7" w:rsidP="002203B6">
            <w:pPr>
              <w:widowControl w:val="0"/>
              <w:spacing w:after="0" w:line="240" w:lineRule="auto"/>
              <w:rPr>
                <w:sz w:val="22"/>
              </w:rPr>
            </w:pPr>
            <w:r w:rsidRPr="002203B6">
              <w:rPr>
                <w:color w:val="000000"/>
                <w:sz w:val="22"/>
              </w:rPr>
              <w:t>Nombre d'études de nouvelles routes à bitumer</w:t>
            </w:r>
          </w:p>
        </w:tc>
        <w:tc>
          <w:tcPr>
            <w:tcW w:w="648" w:type="pct"/>
          </w:tcPr>
          <w:p w14:paraId="4F6006E3"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2</w:t>
            </w:r>
          </w:p>
        </w:tc>
        <w:tc>
          <w:tcPr>
            <w:tcW w:w="648" w:type="pct"/>
          </w:tcPr>
          <w:p w14:paraId="31F51AC4"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1</w:t>
            </w:r>
          </w:p>
        </w:tc>
        <w:tc>
          <w:tcPr>
            <w:tcW w:w="662" w:type="pct"/>
          </w:tcPr>
          <w:p w14:paraId="2310A50D"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1</w:t>
            </w:r>
          </w:p>
        </w:tc>
      </w:tr>
      <w:tr w:rsidR="002203B6" w:rsidRPr="002203B6" w14:paraId="4DA7AB6D" w14:textId="77777777" w:rsidTr="002203B6">
        <w:trPr>
          <w:trHeight w:val="20"/>
        </w:trPr>
        <w:tc>
          <w:tcPr>
            <w:cnfStyle w:val="001000000000" w:firstRow="0" w:lastRow="0" w:firstColumn="1" w:lastColumn="0" w:oddVBand="0" w:evenVBand="0" w:oddHBand="0" w:evenHBand="0" w:firstRowFirstColumn="0" w:firstRowLastColumn="0" w:lastRowFirstColumn="0" w:lastRowLastColumn="0"/>
            <w:tcW w:w="3042" w:type="pct"/>
          </w:tcPr>
          <w:p w14:paraId="0A65E043" w14:textId="77777777" w:rsidR="00C54CA7" w:rsidRPr="002203B6" w:rsidRDefault="00C54CA7" w:rsidP="002203B6">
            <w:pPr>
              <w:widowControl w:val="0"/>
              <w:spacing w:after="0" w:line="240" w:lineRule="auto"/>
              <w:rPr>
                <w:sz w:val="22"/>
              </w:rPr>
            </w:pPr>
            <w:r w:rsidRPr="002203B6">
              <w:rPr>
                <w:color w:val="000000"/>
                <w:sz w:val="22"/>
              </w:rPr>
              <w:t>Linéaire de routes bitumées renforcées/réhabilitées (km)</w:t>
            </w:r>
          </w:p>
        </w:tc>
        <w:tc>
          <w:tcPr>
            <w:tcW w:w="648" w:type="pct"/>
          </w:tcPr>
          <w:p w14:paraId="01591A99"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8,275</w:t>
            </w:r>
          </w:p>
        </w:tc>
        <w:tc>
          <w:tcPr>
            <w:tcW w:w="648" w:type="pct"/>
          </w:tcPr>
          <w:p w14:paraId="525E1228" w14:textId="4C45D297" w:rsidR="00C54CA7" w:rsidRPr="002203B6" w:rsidRDefault="00CF3449"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Pr>
                <w:sz w:val="22"/>
              </w:rPr>
              <w:t>7,2</w:t>
            </w:r>
          </w:p>
        </w:tc>
        <w:tc>
          <w:tcPr>
            <w:tcW w:w="662" w:type="pct"/>
          </w:tcPr>
          <w:p w14:paraId="7DEB79AC"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30</w:t>
            </w:r>
          </w:p>
        </w:tc>
      </w:tr>
      <w:tr w:rsidR="002203B6" w:rsidRPr="002203B6" w14:paraId="5FACEEFB" w14:textId="77777777" w:rsidTr="002203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34685CD3" w14:textId="77777777" w:rsidR="00C54CA7" w:rsidRPr="002203B6" w:rsidRDefault="00C54CA7" w:rsidP="002203B6">
            <w:pPr>
              <w:widowControl w:val="0"/>
              <w:spacing w:after="0" w:line="240" w:lineRule="auto"/>
              <w:rPr>
                <w:sz w:val="22"/>
              </w:rPr>
            </w:pPr>
            <w:r w:rsidRPr="002203B6">
              <w:rPr>
                <w:sz w:val="22"/>
              </w:rPr>
              <w:t>Nombre de postes de péage modernisés</w:t>
            </w:r>
          </w:p>
        </w:tc>
        <w:tc>
          <w:tcPr>
            <w:tcW w:w="648" w:type="pct"/>
          </w:tcPr>
          <w:p w14:paraId="22BDD788"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0</w:t>
            </w:r>
          </w:p>
        </w:tc>
        <w:tc>
          <w:tcPr>
            <w:tcW w:w="648" w:type="pct"/>
          </w:tcPr>
          <w:p w14:paraId="68023DD1" w14:textId="2DACC346" w:rsidR="00C54CA7" w:rsidRPr="002203B6" w:rsidRDefault="00CF3449"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Pr>
                <w:sz w:val="22"/>
              </w:rPr>
              <w:t>0</w:t>
            </w:r>
          </w:p>
        </w:tc>
        <w:tc>
          <w:tcPr>
            <w:tcW w:w="662" w:type="pct"/>
          </w:tcPr>
          <w:p w14:paraId="390A6AB8"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3</w:t>
            </w:r>
          </w:p>
        </w:tc>
      </w:tr>
      <w:tr w:rsidR="002203B6" w:rsidRPr="002203B6" w14:paraId="3B487CA5" w14:textId="77777777" w:rsidTr="002203B6">
        <w:trPr>
          <w:trHeight w:val="20"/>
        </w:trPr>
        <w:tc>
          <w:tcPr>
            <w:cnfStyle w:val="001000000000" w:firstRow="0" w:lastRow="0" w:firstColumn="1" w:lastColumn="0" w:oddVBand="0" w:evenVBand="0" w:oddHBand="0" w:evenHBand="0" w:firstRowFirstColumn="0" w:firstRowLastColumn="0" w:lastRowFirstColumn="0" w:lastRowLastColumn="0"/>
            <w:tcW w:w="3042" w:type="pct"/>
          </w:tcPr>
          <w:p w14:paraId="085900BC" w14:textId="77777777" w:rsidR="00C54CA7" w:rsidRPr="002203B6" w:rsidRDefault="00C54CA7" w:rsidP="002203B6">
            <w:pPr>
              <w:widowControl w:val="0"/>
              <w:spacing w:after="0" w:line="240" w:lineRule="auto"/>
              <w:rPr>
                <w:sz w:val="22"/>
              </w:rPr>
            </w:pPr>
            <w:r w:rsidRPr="002203B6">
              <w:rPr>
                <w:sz w:val="22"/>
              </w:rPr>
              <w:t>Nombre d’ouvrages construits</w:t>
            </w:r>
          </w:p>
        </w:tc>
        <w:tc>
          <w:tcPr>
            <w:tcW w:w="648" w:type="pct"/>
          </w:tcPr>
          <w:p w14:paraId="597DCED6"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0</w:t>
            </w:r>
          </w:p>
        </w:tc>
        <w:tc>
          <w:tcPr>
            <w:tcW w:w="648" w:type="pct"/>
          </w:tcPr>
          <w:p w14:paraId="4A74DDD4"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1</w:t>
            </w:r>
          </w:p>
        </w:tc>
        <w:tc>
          <w:tcPr>
            <w:tcW w:w="662" w:type="pct"/>
          </w:tcPr>
          <w:p w14:paraId="006EF20D"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1</w:t>
            </w:r>
          </w:p>
        </w:tc>
      </w:tr>
      <w:tr w:rsidR="002203B6" w:rsidRPr="002203B6" w14:paraId="2772A0AA" w14:textId="77777777" w:rsidTr="002203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42" w:type="pct"/>
          </w:tcPr>
          <w:p w14:paraId="66E287F4" w14:textId="76EF6FE0" w:rsidR="00C54CA7" w:rsidRPr="002203B6" w:rsidRDefault="00C54CA7" w:rsidP="0046390F">
            <w:pPr>
              <w:widowControl w:val="0"/>
              <w:spacing w:after="0" w:line="240" w:lineRule="auto"/>
              <w:rPr>
                <w:sz w:val="22"/>
              </w:rPr>
            </w:pPr>
            <w:r w:rsidRPr="002203B6">
              <w:rPr>
                <w:color w:val="000000"/>
                <w:sz w:val="22"/>
              </w:rPr>
              <w:t>Taux de couverture du territoire national en cartes topographiques à l'échelle 1/50 000</w:t>
            </w:r>
            <w:r w:rsidR="0046390F">
              <w:rPr>
                <w:color w:val="000000"/>
                <w:sz w:val="22"/>
              </w:rPr>
              <w:t xml:space="preserve"> e  </w:t>
            </w:r>
          </w:p>
        </w:tc>
        <w:tc>
          <w:tcPr>
            <w:tcW w:w="648" w:type="pct"/>
          </w:tcPr>
          <w:p w14:paraId="1B8681EC"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55</w:t>
            </w:r>
          </w:p>
        </w:tc>
        <w:tc>
          <w:tcPr>
            <w:tcW w:w="648" w:type="pct"/>
          </w:tcPr>
          <w:p w14:paraId="1232EBE4" w14:textId="57CC14CB"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5</w:t>
            </w:r>
            <w:r w:rsidR="00CF3449">
              <w:rPr>
                <w:sz w:val="22"/>
              </w:rPr>
              <w:t>8</w:t>
            </w:r>
          </w:p>
        </w:tc>
        <w:tc>
          <w:tcPr>
            <w:tcW w:w="662" w:type="pct"/>
          </w:tcPr>
          <w:p w14:paraId="4690434C" w14:textId="77777777" w:rsidR="00C54CA7" w:rsidRPr="002203B6" w:rsidRDefault="00C54CA7" w:rsidP="002203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2203B6">
              <w:rPr>
                <w:sz w:val="22"/>
              </w:rPr>
              <w:t>58</w:t>
            </w:r>
          </w:p>
        </w:tc>
      </w:tr>
      <w:tr w:rsidR="002203B6" w:rsidRPr="002203B6" w14:paraId="39BA715F" w14:textId="77777777" w:rsidTr="002203B6">
        <w:trPr>
          <w:trHeight w:val="20"/>
        </w:trPr>
        <w:tc>
          <w:tcPr>
            <w:cnfStyle w:val="001000000000" w:firstRow="0" w:lastRow="0" w:firstColumn="1" w:lastColumn="0" w:oddVBand="0" w:evenVBand="0" w:oddHBand="0" w:evenHBand="0" w:firstRowFirstColumn="0" w:firstRowLastColumn="0" w:lastRowFirstColumn="0" w:lastRowLastColumn="0"/>
            <w:tcW w:w="3042" w:type="pct"/>
          </w:tcPr>
          <w:p w14:paraId="738A5C5E" w14:textId="77777777" w:rsidR="00C54CA7" w:rsidRPr="002203B6" w:rsidRDefault="00C54CA7" w:rsidP="002203B6">
            <w:pPr>
              <w:widowControl w:val="0"/>
              <w:spacing w:after="0" w:line="240" w:lineRule="auto"/>
              <w:rPr>
                <w:sz w:val="22"/>
              </w:rPr>
            </w:pPr>
            <w:r w:rsidRPr="002203B6">
              <w:rPr>
                <w:sz w:val="22"/>
              </w:rPr>
              <w:t>Taux de couverture du territoire national en réseaux (points géodésiques au sol, les stations GPS, réseau de nivellement et réseau de gravimétrie)</w:t>
            </w:r>
          </w:p>
        </w:tc>
        <w:tc>
          <w:tcPr>
            <w:tcW w:w="648" w:type="pct"/>
          </w:tcPr>
          <w:p w14:paraId="1E066E59"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44,75</w:t>
            </w:r>
          </w:p>
        </w:tc>
        <w:tc>
          <w:tcPr>
            <w:tcW w:w="648" w:type="pct"/>
          </w:tcPr>
          <w:p w14:paraId="77C40AE5" w14:textId="4B468AB5"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4</w:t>
            </w:r>
            <w:r w:rsidR="00CF3449">
              <w:rPr>
                <w:sz w:val="22"/>
              </w:rPr>
              <w:t>8</w:t>
            </w:r>
          </w:p>
        </w:tc>
        <w:tc>
          <w:tcPr>
            <w:tcW w:w="662" w:type="pct"/>
          </w:tcPr>
          <w:p w14:paraId="36E2E6BB" w14:textId="77777777" w:rsidR="00C54CA7" w:rsidRPr="002203B6" w:rsidRDefault="00C54CA7" w:rsidP="002203B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2203B6">
              <w:rPr>
                <w:sz w:val="22"/>
              </w:rPr>
              <w:t>47</w:t>
            </w:r>
          </w:p>
        </w:tc>
      </w:tr>
    </w:tbl>
    <w:p w14:paraId="409C1065" w14:textId="77777777" w:rsidR="00C54CA7" w:rsidRPr="00CF292E" w:rsidRDefault="00C54CA7" w:rsidP="002203B6">
      <w:pPr>
        <w:widowControl w:val="0"/>
        <w:spacing w:line="240" w:lineRule="auto"/>
        <w:rPr>
          <w:sz w:val="20"/>
          <w:szCs w:val="20"/>
        </w:rPr>
      </w:pPr>
      <w:r w:rsidRPr="00CF292E">
        <w:rPr>
          <w:b/>
          <w:sz w:val="20"/>
          <w:szCs w:val="20"/>
          <w:u w:val="single"/>
        </w:rPr>
        <w:t>Source</w:t>
      </w:r>
      <w:r w:rsidRPr="00CF292E">
        <w:rPr>
          <w:sz w:val="20"/>
          <w:szCs w:val="20"/>
        </w:rPr>
        <w:t> : rapport annuel de performance 2023 du secteur ITCH, février 2024</w:t>
      </w:r>
    </w:p>
    <w:p w14:paraId="5D1E1126" w14:textId="090FF9B9" w:rsidR="00000153" w:rsidRPr="008F75EF" w:rsidRDefault="00C54CA7" w:rsidP="00000153">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Au 31 décembre 2023, sur dix indicateurs de produits, </w:t>
      </w:r>
      <w:r w:rsidR="00CF3449">
        <w:rPr>
          <w:rFonts w:eastAsia="Calibri"/>
          <w:szCs w:val="24"/>
        </w:rPr>
        <w:t>cinq (05)</w:t>
      </w:r>
      <w:r w:rsidRPr="00C54CA7">
        <w:rPr>
          <w:rFonts w:eastAsia="Calibri"/>
          <w:szCs w:val="24"/>
        </w:rPr>
        <w:t xml:space="preserve"> n’ont pas atteint leur cible annuelle. </w:t>
      </w:r>
      <w:r w:rsidR="00CF3449">
        <w:rPr>
          <w:rFonts w:eastAsia="Calibri"/>
          <w:szCs w:val="24"/>
        </w:rPr>
        <w:t xml:space="preserve">S’agissant du </w:t>
      </w:r>
      <w:r w:rsidRPr="00C54CA7">
        <w:rPr>
          <w:rFonts w:eastAsia="Calibri"/>
          <w:szCs w:val="24"/>
        </w:rPr>
        <w:t xml:space="preserve">linéaire de routes bitumées, de routes renforcées/réhabilitées </w:t>
      </w:r>
      <w:r w:rsidR="00CF3449">
        <w:rPr>
          <w:rFonts w:eastAsia="Calibri"/>
          <w:szCs w:val="24"/>
        </w:rPr>
        <w:t xml:space="preserve">et </w:t>
      </w:r>
      <w:r w:rsidR="00CF3449" w:rsidRPr="00C54CA7">
        <w:rPr>
          <w:rFonts w:eastAsia="Calibri"/>
          <w:szCs w:val="24"/>
        </w:rPr>
        <w:t>de pistes rurales aménagées</w:t>
      </w:r>
      <w:r w:rsidR="00CF3449">
        <w:rPr>
          <w:rFonts w:eastAsia="Calibri"/>
          <w:szCs w:val="24"/>
        </w:rPr>
        <w:t xml:space="preserve"> ainsi que du </w:t>
      </w:r>
      <w:r w:rsidRPr="00C54CA7">
        <w:rPr>
          <w:rFonts w:eastAsia="Calibri"/>
          <w:szCs w:val="24"/>
        </w:rPr>
        <w:t>nombre d’études de voiries à bitumer</w:t>
      </w:r>
      <w:r w:rsidR="00CF3449">
        <w:rPr>
          <w:rFonts w:eastAsia="Calibri"/>
          <w:szCs w:val="24"/>
        </w:rPr>
        <w:t>, la faible performance</w:t>
      </w:r>
      <w:r w:rsidRPr="00C54CA7">
        <w:rPr>
          <w:rFonts w:eastAsia="Calibri"/>
          <w:szCs w:val="24"/>
        </w:rPr>
        <w:t xml:space="preserve"> s’explique essentiellement par la situation sécuritaire, la non</w:t>
      </w:r>
      <w:r w:rsidR="0046390F">
        <w:rPr>
          <w:rFonts w:eastAsia="Calibri"/>
          <w:szCs w:val="24"/>
        </w:rPr>
        <w:t>-</w:t>
      </w:r>
      <w:r w:rsidRPr="00C54CA7">
        <w:rPr>
          <w:rFonts w:eastAsia="Calibri"/>
          <w:szCs w:val="24"/>
        </w:rPr>
        <w:t>libération des emprises, les longs délais dans le processus d’obtention des ANO, le retard dans le déplacement de réseau par les concessionnaires (SONABEL, ONEA, ONATEL), la réalisation d’études ayant un impact sur l’exécution des projets, la non</w:t>
      </w:r>
      <w:r w:rsidR="0046390F">
        <w:rPr>
          <w:rFonts w:eastAsia="Calibri"/>
          <w:szCs w:val="24"/>
        </w:rPr>
        <w:t>-</w:t>
      </w:r>
      <w:r w:rsidRPr="00C54CA7">
        <w:rPr>
          <w:rFonts w:eastAsia="Calibri"/>
          <w:szCs w:val="24"/>
        </w:rPr>
        <w:t>qualification de certaines entreprises. Ces résultats auraient été meilleurs si des diligences sont faites dans l’approbation des contrats, la sécurisation des zones d’intervention, la diligence dans l’obtention des ANO et l’accélération du déplacement des différents réseaux par les concessionnaires.</w:t>
      </w:r>
      <w:r w:rsidR="00000153">
        <w:rPr>
          <w:rFonts w:eastAsia="Calibri"/>
          <w:szCs w:val="24"/>
        </w:rPr>
        <w:t xml:space="preserve"> </w:t>
      </w:r>
      <w:r w:rsidR="00000153" w:rsidRPr="00345EBE">
        <w:rPr>
          <w:rFonts w:eastAsia="Calibri"/>
          <w:szCs w:val="24"/>
        </w:rPr>
        <w:t xml:space="preserve">Concernant le produit relatif aux péages modernes, les travaux BTP sont achevés et la mise en service est prévue au cours de </w:t>
      </w:r>
      <w:r w:rsidR="00000153">
        <w:rPr>
          <w:rFonts w:eastAsia="Calibri"/>
          <w:szCs w:val="24"/>
        </w:rPr>
        <w:t xml:space="preserve">l’année </w:t>
      </w:r>
      <w:r w:rsidR="00000153" w:rsidRPr="00345EBE">
        <w:rPr>
          <w:rFonts w:eastAsia="Calibri"/>
          <w:szCs w:val="24"/>
        </w:rPr>
        <w:t xml:space="preserve">2024. Le taux d’exécution global des travaux </w:t>
      </w:r>
      <w:r w:rsidR="0072472B">
        <w:rPr>
          <w:rFonts w:eastAsia="Calibri"/>
          <w:szCs w:val="24"/>
        </w:rPr>
        <w:t xml:space="preserve">au </w:t>
      </w:r>
      <w:r w:rsidR="00000153" w:rsidRPr="00345EBE">
        <w:rPr>
          <w:rFonts w:eastAsia="Calibri"/>
          <w:szCs w:val="24"/>
        </w:rPr>
        <w:t xml:space="preserve">31 décembre est évalué à </w:t>
      </w:r>
      <w:r w:rsidR="0072472B">
        <w:rPr>
          <w:rFonts w:eastAsia="Calibri"/>
          <w:szCs w:val="24"/>
        </w:rPr>
        <w:t>5</w:t>
      </w:r>
      <w:r w:rsidR="00000153" w:rsidRPr="0072472B">
        <w:rPr>
          <w:rFonts w:eastAsia="Calibri"/>
          <w:szCs w:val="24"/>
        </w:rPr>
        <w:t>8,</w:t>
      </w:r>
      <w:r w:rsidR="0072472B">
        <w:rPr>
          <w:rFonts w:eastAsia="Calibri"/>
          <w:szCs w:val="24"/>
        </w:rPr>
        <w:t>38</w:t>
      </w:r>
      <w:r w:rsidR="00000153" w:rsidRPr="0072472B">
        <w:rPr>
          <w:rFonts w:eastAsia="Calibri"/>
          <w:szCs w:val="24"/>
        </w:rPr>
        <w:t>%.</w:t>
      </w:r>
      <w:r w:rsidR="00000153" w:rsidRPr="00345EBE">
        <w:rPr>
          <w:rFonts w:eastAsia="Calibri"/>
          <w:szCs w:val="24"/>
        </w:rPr>
        <w:t xml:space="preserve"> </w:t>
      </w:r>
    </w:p>
    <w:p w14:paraId="7D151A32" w14:textId="44EBD0F9"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Les ressources totales mobilisées pour la mise en œuvre de l’action de relance des infrastructures routières sont de 168 58</w:t>
      </w:r>
      <w:r w:rsidR="00000153">
        <w:rPr>
          <w:rFonts w:eastAsia="Calibri"/>
          <w:szCs w:val="24"/>
        </w:rPr>
        <w:t>4</w:t>
      </w:r>
      <w:r w:rsidRPr="00C54CA7">
        <w:rPr>
          <w:rFonts w:eastAsia="Calibri"/>
          <w:szCs w:val="24"/>
        </w:rPr>
        <w:t xml:space="preserve"> 680 000 FCFA. Les dépenses effectives se sont élevées à </w:t>
      </w:r>
      <w:r w:rsidR="00000153">
        <w:rPr>
          <w:rFonts w:eastAsia="Calibri"/>
          <w:szCs w:val="24"/>
        </w:rPr>
        <w:t>71</w:t>
      </w:r>
      <w:r w:rsidR="00000153" w:rsidRPr="00C54CA7">
        <w:rPr>
          <w:rFonts w:eastAsia="Calibri"/>
          <w:szCs w:val="24"/>
        </w:rPr>
        <w:t> </w:t>
      </w:r>
      <w:r w:rsidR="00000153">
        <w:rPr>
          <w:rFonts w:eastAsia="Calibri"/>
          <w:szCs w:val="24"/>
        </w:rPr>
        <w:t>707</w:t>
      </w:r>
      <w:r w:rsidR="00000153" w:rsidRPr="00C54CA7">
        <w:rPr>
          <w:rFonts w:eastAsia="Calibri"/>
          <w:szCs w:val="24"/>
        </w:rPr>
        <w:t> </w:t>
      </w:r>
      <w:r w:rsidR="00000153">
        <w:rPr>
          <w:rFonts w:eastAsia="Calibri"/>
          <w:szCs w:val="24"/>
        </w:rPr>
        <w:t>818 0</w:t>
      </w:r>
      <w:r w:rsidR="0072472B">
        <w:rPr>
          <w:rFonts w:eastAsia="Calibri"/>
          <w:szCs w:val="24"/>
        </w:rPr>
        <w:t>4</w:t>
      </w:r>
      <w:r w:rsidR="00000153">
        <w:rPr>
          <w:rFonts w:eastAsia="Calibri"/>
          <w:szCs w:val="24"/>
        </w:rPr>
        <w:t>9</w:t>
      </w:r>
      <w:r w:rsidR="00000153" w:rsidRPr="00C54CA7">
        <w:rPr>
          <w:rFonts w:eastAsia="Calibri"/>
          <w:szCs w:val="24"/>
        </w:rPr>
        <w:t xml:space="preserve"> </w:t>
      </w:r>
      <w:r w:rsidRPr="00C54CA7">
        <w:rPr>
          <w:rFonts w:eastAsia="Calibri"/>
          <w:szCs w:val="24"/>
        </w:rPr>
        <w:t>FCFA</w:t>
      </w:r>
      <w:r w:rsidR="00492E24">
        <w:rPr>
          <w:rFonts w:eastAsia="Calibri"/>
          <w:szCs w:val="24"/>
        </w:rPr>
        <w:t>,</w:t>
      </w:r>
      <w:r w:rsidRPr="00C54CA7">
        <w:rPr>
          <w:rFonts w:eastAsia="Calibri"/>
          <w:szCs w:val="24"/>
        </w:rPr>
        <w:t xml:space="preserve"> soit un taux d’exécution de </w:t>
      </w:r>
      <w:r w:rsidR="00000153">
        <w:rPr>
          <w:rFonts w:eastAsia="Calibri"/>
          <w:szCs w:val="24"/>
        </w:rPr>
        <w:t>42</w:t>
      </w:r>
      <w:r w:rsidRPr="00C54CA7">
        <w:rPr>
          <w:rFonts w:eastAsia="Calibri"/>
          <w:szCs w:val="24"/>
        </w:rPr>
        <w:t>,</w:t>
      </w:r>
      <w:r w:rsidR="00000153">
        <w:rPr>
          <w:rFonts w:eastAsia="Calibri"/>
          <w:szCs w:val="24"/>
        </w:rPr>
        <w:t>54</w:t>
      </w:r>
      <w:r w:rsidRPr="00C54CA7">
        <w:rPr>
          <w:rFonts w:eastAsia="Calibri"/>
          <w:szCs w:val="24"/>
        </w:rPr>
        <w:t xml:space="preserve">%. </w:t>
      </w:r>
    </w:p>
    <w:p w14:paraId="2D9AF90F" w14:textId="1DBB4FD0"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lastRenderedPageBreak/>
        <w:t>En sus des produits du PA-SD, le secteur ITCH a contribué à l’aménagement de 0,850 km de voierie urbaine, l’ouverture et le rechargement de 43 km de voieries urbaines qui ont coûté 1,255 milliard FCFA.</w:t>
      </w:r>
    </w:p>
    <w:p w14:paraId="2D5188E5" w14:textId="6295EBA3"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Concernant l’action 03107 « </w:t>
      </w:r>
      <w:r w:rsidRPr="008139E1">
        <w:rPr>
          <w:rFonts w:eastAsia="Calibri"/>
          <w:b/>
          <w:szCs w:val="24"/>
        </w:rPr>
        <w:t>réduction de la surcharge sur les axes routiers</w:t>
      </w:r>
      <w:r w:rsidRPr="00C54CA7">
        <w:rPr>
          <w:rFonts w:eastAsia="Calibri"/>
          <w:szCs w:val="24"/>
        </w:rPr>
        <w:t xml:space="preserve"> », malgré la dégradation de son indicateur d’action, les cibles des indicateurs des deux produits ont été atteintes. En effet, le nombre de véhicules contrôlés est de 276 842 </w:t>
      </w:r>
      <w:r w:rsidR="00000153">
        <w:rPr>
          <w:rFonts w:eastAsia="Calibri"/>
          <w:szCs w:val="24"/>
        </w:rPr>
        <w:t xml:space="preserve">pour une cible de </w:t>
      </w:r>
      <w:r w:rsidR="00000153" w:rsidRPr="00C54CA7">
        <w:rPr>
          <w:rFonts w:eastAsia="Calibri"/>
          <w:szCs w:val="24"/>
        </w:rPr>
        <w:t xml:space="preserve">250 000 </w:t>
      </w:r>
      <w:r w:rsidRPr="00C54CA7">
        <w:rPr>
          <w:rFonts w:eastAsia="Calibri"/>
          <w:szCs w:val="24"/>
        </w:rPr>
        <w:t>et les 10 inspections prévues ont été effectuées.</w:t>
      </w:r>
    </w:p>
    <w:p w14:paraId="2BFD87DE" w14:textId="35F19EDA"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En terme</w:t>
      </w:r>
      <w:r w:rsidR="00492E24">
        <w:rPr>
          <w:rFonts w:eastAsia="Calibri"/>
          <w:szCs w:val="24"/>
        </w:rPr>
        <w:t>s</w:t>
      </w:r>
      <w:r w:rsidRPr="00C54CA7">
        <w:rPr>
          <w:rFonts w:eastAsia="Calibri"/>
          <w:szCs w:val="24"/>
        </w:rPr>
        <w:t xml:space="preserve"> financier</w:t>
      </w:r>
      <w:r w:rsidR="00492E24">
        <w:rPr>
          <w:rFonts w:eastAsia="Calibri"/>
          <w:szCs w:val="24"/>
        </w:rPr>
        <w:t>s</w:t>
      </w:r>
      <w:r w:rsidRPr="00C54CA7">
        <w:rPr>
          <w:rFonts w:eastAsia="Calibri"/>
          <w:szCs w:val="24"/>
        </w:rPr>
        <w:t>, le montant dépensé pour l’exécution des produits de l’action est de 198 298 190 FCFA « soit 197 649 095 FCFA au titre des véhicules contrôlés et 649 095 FCFA au titre des inspections réalisées » sur une prévision de 168 500 000 FCFA « soit 167 000 000 FCFA de dépenses pour les véhicules contrôlés et 1 500 000 FCFA pour le compte des inspections ». Au total, le taux d’exécution est de plus de 100%. Cette performance trouve sa justification dans le réaménagement budgétaire réalisé.</w:t>
      </w:r>
    </w:p>
    <w:p w14:paraId="38521ED9" w14:textId="59D05407"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S’agissant du </w:t>
      </w:r>
      <w:r w:rsidRPr="008139E1">
        <w:rPr>
          <w:rFonts w:eastAsia="Calibri"/>
          <w:b/>
          <w:szCs w:val="24"/>
        </w:rPr>
        <w:t>développement des infrastructures ferroviaires et aéroportuaires, porté par l’action 03108,</w:t>
      </w:r>
      <w:r w:rsidRPr="00C54CA7">
        <w:rPr>
          <w:rFonts w:eastAsia="Calibri"/>
          <w:szCs w:val="24"/>
        </w:rPr>
        <w:t xml:space="preserve"> des avancées sont enregistrées dans le volet aéroportuaire avec un taux de réalisation des travaux de </w:t>
      </w:r>
      <w:proofErr w:type="spellStart"/>
      <w:r w:rsidRPr="00C54CA7">
        <w:rPr>
          <w:rFonts w:eastAsia="Calibri"/>
          <w:szCs w:val="24"/>
        </w:rPr>
        <w:t>Donsin</w:t>
      </w:r>
      <w:proofErr w:type="spellEnd"/>
      <w:r w:rsidRPr="00C54CA7">
        <w:rPr>
          <w:rFonts w:eastAsia="Calibri"/>
          <w:szCs w:val="24"/>
        </w:rPr>
        <w:t xml:space="preserve"> de 68,8%. En dépit de l’amélioration du niveau de l’indicateur des infrastructures aéroportuaires, des difficultés apparaissent avec la suspension des travaux </w:t>
      </w:r>
      <w:r w:rsidR="00492E24">
        <w:rPr>
          <w:rFonts w:eastAsia="Calibri"/>
          <w:szCs w:val="24"/>
        </w:rPr>
        <w:t xml:space="preserve">à la </w:t>
      </w:r>
      <w:r w:rsidRPr="00C54CA7">
        <w:rPr>
          <w:rFonts w:eastAsia="Calibri"/>
          <w:szCs w:val="24"/>
        </w:rPr>
        <w:t xml:space="preserve">suite </w:t>
      </w:r>
      <w:r w:rsidR="00492E24">
        <w:rPr>
          <w:rFonts w:eastAsia="Calibri"/>
          <w:szCs w:val="24"/>
        </w:rPr>
        <w:t>de</w:t>
      </w:r>
      <w:r w:rsidRPr="00C54CA7">
        <w:rPr>
          <w:rFonts w:eastAsia="Calibri"/>
          <w:szCs w:val="24"/>
        </w:rPr>
        <w:t xml:space="preserve"> l’incident survenu sur le chantier en décembre 2022, la défaillance de certaines entreprises, les retards de contractualisation de certains avenants. Contrairement au volet ferroviaire où aucune programmation n’a été inscrite puisque conditionnée par la finalisation de la contractualisation et la libération des emprises. Ce retard s’explique par la nécessité de rectification du tracé initial et la conduite des études de faisabilité.</w:t>
      </w:r>
    </w:p>
    <w:p w14:paraId="41764472" w14:textId="28347878" w:rsidR="00C54CA7" w:rsidRPr="00C54CA7" w:rsidRDefault="00492E24" w:rsidP="00F175A7">
      <w:pPr>
        <w:numPr>
          <w:ilvl w:val="0"/>
          <w:numId w:val="8"/>
        </w:numPr>
        <w:shd w:val="clear" w:color="auto" w:fill="FFFFFF"/>
        <w:spacing w:before="120" w:after="120" w:line="240" w:lineRule="auto"/>
        <w:ind w:left="0"/>
        <w:rPr>
          <w:rFonts w:eastAsia="Calibri"/>
          <w:szCs w:val="24"/>
        </w:rPr>
      </w:pPr>
      <w:r>
        <w:rPr>
          <w:rFonts w:eastAsia="Calibri"/>
          <w:szCs w:val="24"/>
        </w:rPr>
        <w:t>S</w:t>
      </w:r>
      <w:r w:rsidR="00C54CA7" w:rsidRPr="00C54CA7">
        <w:rPr>
          <w:rFonts w:eastAsia="Calibri"/>
          <w:szCs w:val="24"/>
        </w:rPr>
        <w:t>u</w:t>
      </w:r>
      <w:r>
        <w:rPr>
          <w:rFonts w:eastAsia="Calibri"/>
          <w:szCs w:val="24"/>
        </w:rPr>
        <w:t>r le</w:t>
      </w:r>
      <w:r w:rsidR="00C54CA7" w:rsidRPr="00C54CA7">
        <w:rPr>
          <w:rFonts w:eastAsia="Calibri"/>
          <w:szCs w:val="24"/>
        </w:rPr>
        <w:t xml:space="preserve"> plan financier, les travaux de construction de l’aéroport de </w:t>
      </w:r>
      <w:proofErr w:type="spellStart"/>
      <w:r w:rsidR="00C54CA7" w:rsidRPr="00C54CA7">
        <w:rPr>
          <w:rFonts w:eastAsia="Calibri"/>
          <w:szCs w:val="24"/>
        </w:rPr>
        <w:t>Donsin</w:t>
      </w:r>
      <w:proofErr w:type="spellEnd"/>
      <w:r w:rsidR="00C54CA7" w:rsidRPr="00C54CA7">
        <w:rPr>
          <w:rFonts w:eastAsia="Calibri"/>
          <w:szCs w:val="24"/>
        </w:rPr>
        <w:t xml:space="preserve"> ont coûté 33 838 909 497 FCFA sur des prévisions de 56 741 923 231 FCFA</w:t>
      </w:r>
      <w:r>
        <w:rPr>
          <w:rFonts w:eastAsia="Calibri"/>
          <w:szCs w:val="24"/>
        </w:rPr>
        <w:t>,</w:t>
      </w:r>
      <w:r w:rsidR="00C54CA7" w:rsidRPr="00C54CA7">
        <w:rPr>
          <w:rFonts w:eastAsia="Calibri"/>
          <w:szCs w:val="24"/>
        </w:rPr>
        <w:t xml:space="preserve"> soit 59,64% ; niveau expliqué par la suspension de certains travaux. Quant à la phase 1 de la liaison d’interconnexion ferroviaire BF-Ghana, sur des prévisions de 10 198 116 000 FCFA, aucune réalisation n’a été faite.</w:t>
      </w:r>
    </w:p>
    <w:p w14:paraId="712CAC8B" w14:textId="77777777" w:rsidR="00C54CA7" w:rsidRPr="00000153"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Pour ce qui est du développement des infrastructures électroniques, la principale action programmée 03106 est relative à la modernisation, à la mise à niveau et à l’extension du Réseau informatique national de l’administration (RESINA). Elle est mesurée par deux indicateurs « </w:t>
      </w:r>
      <w:r w:rsidRPr="00000153">
        <w:rPr>
          <w:rFonts w:eastAsia="Calibri"/>
          <w:szCs w:val="24"/>
        </w:rPr>
        <w:t>taux de renouvellement des équipements » qui est de 45% pour une cible de 60% et « taux de couverture du RESINA » qui est de 25,71% pour une cible de 30%.</w:t>
      </w:r>
    </w:p>
    <w:p w14:paraId="49C6831F" w14:textId="30113445" w:rsidR="008008C3" w:rsidRDefault="00C54CA7" w:rsidP="00F175A7">
      <w:pPr>
        <w:numPr>
          <w:ilvl w:val="0"/>
          <w:numId w:val="8"/>
        </w:numPr>
        <w:shd w:val="clear" w:color="auto" w:fill="FFFFFF"/>
        <w:spacing w:before="120" w:after="120" w:line="240" w:lineRule="auto"/>
        <w:ind w:left="0"/>
        <w:rPr>
          <w:rFonts w:eastAsia="Calibri"/>
          <w:szCs w:val="24"/>
        </w:rPr>
      </w:pPr>
      <w:r w:rsidRPr="008139E1">
        <w:rPr>
          <w:rFonts w:eastAsia="Calibri"/>
          <w:szCs w:val="24"/>
        </w:rPr>
        <w:t>Les situations d’exécution des produits attendus relatifs à l’action 03106 sont résumées dans le tableau ci-dessous</w:t>
      </w:r>
      <w:r w:rsidR="00000153" w:rsidRPr="00454163">
        <w:rPr>
          <w:rFonts w:eastAsia="Calibri"/>
          <w:szCs w:val="24"/>
        </w:rPr>
        <w:t>.</w:t>
      </w:r>
    </w:p>
    <w:p w14:paraId="1F0F0566" w14:textId="77777777" w:rsidR="008008C3" w:rsidRDefault="008008C3">
      <w:pPr>
        <w:spacing w:after="0" w:line="240" w:lineRule="auto"/>
        <w:jc w:val="left"/>
        <w:rPr>
          <w:rFonts w:eastAsia="Calibri"/>
          <w:szCs w:val="24"/>
        </w:rPr>
      </w:pPr>
      <w:r>
        <w:rPr>
          <w:rFonts w:eastAsia="Calibri"/>
          <w:szCs w:val="24"/>
        </w:rPr>
        <w:br w:type="page"/>
      </w:r>
    </w:p>
    <w:p w14:paraId="489D108D" w14:textId="50E032D0" w:rsidR="00000153" w:rsidRPr="0042784A" w:rsidRDefault="00B647DA" w:rsidP="008139E1">
      <w:pPr>
        <w:pStyle w:val="Lgende"/>
        <w:rPr>
          <w:i w:val="0"/>
          <w:iCs w:val="0"/>
          <w:color w:val="auto"/>
          <w:sz w:val="22"/>
        </w:rPr>
      </w:pPr>
      <w:bookmarkStart w:id="160" w:name="_Toc164503671"/>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84</w:t>
      </w:r>
      <w:r w:rsidRPr="0042784A">
        <w:rPr>
          <w:b/>
          <w:i w:val="0"/>
          <w:color w:val="auto"/>
          <w:sz w:val="22"/>
          <w:szCs w:val="22"/>
          <w:u w:val="single"/>
        </w:rPr>
        <w:fldChar w:fldCharType="end"/>
      </w:r>
      <w:r w:rsidRPr="0042784A">
        <w:rPr>
          <w:b/>
          <w:i w:val="0"/>
          <w:color w:val="auto"/>
          <w:sz w:val="22"/>
          <w:szCs w:val="22"/>
          <w:u w:val="single"/>
        </w:rPr>
        <w:t xml:space="preserve"> </w:t>
      </w:r>
      <w:r w:rsidRPr="0042784A">
        <w:rPr>
          <w:i w:val="0"/>
          <w:color w:val="auto"/>
          <w:sz w:val="22"/>
          <w:szCs w:val="22"/>
        </w:rPr>
        <w:t xml:space="preserve">: </w:t>
      </w:r>
      <w:r w:rsidRPr="0042784A">
        <w:rPr>
          <w:i w:val="0"/>
          <w:color w:val="auto"/>
          <w:sz w:val="24"/>
          <w:szCs w:val="24"/>
        </w:rPr>
        <w:t>situation des indicateurs de produits de l’action 03106 au 31 décembre 2023</w:t>
      </w:r>
      <w:bookmarkEnd w:id="160"/>
    </w:p>
    <w:tbl>
      <w:tblPr>
        <w:tblStyle w:val="TableauGrille4-Accentuation11"/>
        <w:tblW w:w="5000" w:type="pct"/>
        <w:tblLook w:val="04A0" w:firstRow="1" w:lastRow="0" w:firstColumn="1" w:lastColumn="0" w:noHBand="0" w:noVBand="1"/>
      </w:tblPr>
      <w:tblGrid>
        <w:gridCol w:w="5238"/>
        <w:gridCol w:w="1277"/>
        <w:gridCol w:w="1277"/>
        <w:gridCol w:w="1224"/>
      </w:tblGrid>
      <w:tr w:rsidR="00000153" w:rsidRPr="008139E1" w14:paraId="5D8F397C" w14:textId="77777777" w:rsidTr="009A28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vAlign w:val="center"/>
          </w:tcPr>
          <w:p w14:paraId="4C90C9CA" w14:textId="48DA7CD9" w:rsidR="00000153" w:rsidRPr="008139E1" w:rsidRDefault="00000153" w:rsidP="00BA53A3">
            <w:pPr>
              <w:keepNext/>
              <w:keepLines/>
              <w:spacing w:after="0" w:line="240" w:lineRule="auto"/>
              <w:rPr>
                <w:rFonts w:cs="Arial"/>
              </w:rPr>
            </w:pPr>
            <w:r w:rsidRPr="008139E1">
              <w:rPr>
                <w:rFonts w:cs="Arial"/>
              </w:rPr>
              <w:t>Indicateur s</w:t>
            </w:r>
          </w:p>
        </w:tc>
        <w:tc>
          <w:tcPr>
            <w:tcW w:w="708" w:type="pct"/>
            <w:vAlign w:val="center"/>
          </w:tcPr>
          <w:p w14:paraId="699A18AE" w14:textId="77777777" w:rsidR="00000153" w:rsidRPr="008139E1" w:rsidRDefault="00000153" w:rsidP="00BA53A3">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rPr>
            </w:pPr>
            <w:r w:rsidRPr="008139E1">
              <w:rPr>
                <w:rFonts w:cs="Arial"/>
              </w:rPr>
              <w:t>Réal. 2022</w:t>
            </w:r>
          </w:p>
        </w:tc>
        <w:tc>
          <w:tcPr>
            <w:tcW w:w="708" w:type="pct"/>
            <w:vAlign w:val="center"/>
          </w:tcPr>
          <w:p w14:paraId="57B1C44B" w14:textId="77777777" w:rsidR="00000153" w:rsidRPr="008139E1" w:rsidRDefault="00000153" w:rsidP="00BA53A3">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Arial"/>
              </w:rPr>
            </w:pPr>
            <w:r w:rsidRPr="008139E1">
              <w:rPr>
                <w:rFonts w:cs="Calibri"/>
                <w:color w:val="FFFFFF"/>
              </w:rPr>
              <w:t>Réal. 2023</w:t>
            </w:r>
          </w:p>
        </w:tc>
        <w:tc>
          <w:tcPr>
            <w:tcW w:w="679" w:type="pct"/>
            <w:vAlign w:val="center"/>
          </w:tcPr>
          <w:p w14:paraId="59C45F77" w14:textId="77777777" w:rsidR="00000153" w:rsidRPr="008139E1" w:rsidRDefault="00000153" w:rsidP="00BA53A3">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rPr>
            </w:pPr>
            <w:r w:rsidRPr="008139E1">
              <w:rPr>
                <w:rFonts w:cs="Arial"/>
              </w:rPr>
              <w:t>Cible 2023</w:t>
            </w:r>
          </w:p>
        </w:tc>
      </w:tr>
      <w:tr w:rsidR="00000153" w:rsidRPr="008139E1" w14:paraId="3D7A678F"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tcPr>
          <w:p w14:paraId="5A9D4168" w14:textId="77777777" w:rsidR="00000153" w:rsidRPr="008139E1" w:rsidRDefault="00000153" w:rsidP="00BA53A3">
            <w:pPr>
              <w:keepNext/>
              <w:keepLines/>
              <w:spacing w:after="0" w:line="240" w:lineRule="auto"/>
              <w:rPr>
                <w:bCs w:val="0"/>
              </w:rPr>
            </w:pPr>
            <w:r w:rsidRPr="008139E1">
              <w:t xml:space="preserve">Taux de maintenance annuelle des </w:t>
            </w:r>
            <w:r w:rsidRPr="008139E1">
              <w:rPr>
                <w:rFonts w:cs="Calibri"/>
                <w:color w:val="000000"/>
              </w:rPr>
              <w:t xml:space="preserve">infrastructures du réseau de l’administration </w:t>
            </w:r>
            <w:r w:rsidRPr="008139E1">
              <w:t>(%)</w:t>
            </w:r>
          </w:p>
        </w:tc>
        <w:tc>
          <w:tcPr>
            <w:tcW w:w="708" w:type="pct"/>
            <w:vAlign w:val="center"/>
          </w:tcPr>
          <w:p w14:paraId="5DE31A2E"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bCs/>
              </w:rPr>
            </w:pPr>
            <w:r w:rsidRPr="008139E1">
              <w:rPr>
                <w:bCs/>
              </w:rPr>
              <w:t>100</w:t>
            </w:r>
          </w:p>
        </w:tc>
        <w:tc>
          <w:tcPr>
            <w:tcW w:w="708" w:type="pct"/>
            <w:vAlign w:val="center"/>
          </w:tcPr>
          <w:p w14:paraId="6C704A06"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bCs/>
              </w:rPr>
            </w:pPr>
            <w:r w:rsidRPr="008139E1">
              <w:rPr>
                <w:bCs/>
              </w:rPr>
              <w:t>100</w:t>
            </w:r>
          </w:p>
        </w:tc>
        <w:tc>
          <w:tcPr>
            <w:tcW w:w="679" w:type="pct"/>
            <w:vAlign w:val="center"/>
          </w:tcPr>
          <w:p w14:paraId="2AD4B6ED"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bCs/>
              </w:rPr>
            </w:pPr>
            <w:r w:rsidRPr="008139E1">
              <w:rPr>
                <w:bCs/>
              </w:rPr>
              <w:t>100</w:t>
            </w:r>
          </w:p>
        </w:tc>
      </w:tr>
      <w:tr w:rsidR="00000153" w:rsidRPr="008139E1" w14:paraId="7B3DDBA3" w14:textId="77777777" w:rsidTr="009A288B">
        <w:trPr>
          <w:trHeight w:val="20"/>
        </w:trPr>
        <w:tc>
          <w:tcPr>
            <w:cnfStyle w:val="001000000000" w:firstRow="0" w:lastRow="0" w:firstColumn="1" w:lastColumn="0" w:oddVBand="0" w:evenVBand="0" w:oddHBand="0" w:evenHBand="0" w:firstRowFirstColumn="0" w:firstRowLastColumn="0" w:lastRowFirstColumn="0" w:lastRowLastColumn="0"/>
            <w:tcW w:w="2905" w:type="pct"/>
            <w:vAlign w:val="center"/>
          </w:tcPr>
          <w:p w14:paraId="1BE39B0A" w14:textId="77777777" w:rsidR="00000153" w:rsidRPr="008139E1" w:rsidRDefault="00000153" w:rsidP="00BA53A3">
            <w:pPr>
              <w:keepNext/>
              <w:keepLines/>
              <w:spacing w:after="0" w:line="240" w:lineRule="auto"/>
              <w:jc w:val="left"/>
              <w:rPr>
                <w:bCs w:val="0"/>
              </w:rPr>
            </w:pPr>
            <w:r w:rsidRPr="008139E1">
              <w:rPr>
                <w:bCs w:val="0"/>
              </w:rPr>
              <w:t xml:space="preserve">Nombre de nouveaux réseaux locaux </w:t>
            </w:r>
            <w:r w:rsidRPr="008139E1">
              <w:t xml:space="preserve">des bâtiments administratifs </w:t>
            </w:r>
            <w:r w:rsidRPr="008139E1">
              <w:rPr>
                <w:bCs w:val="0"/>
              </w:rPr>
              <w:t>renforcés</w:t>
            </w:r>
          </w:p>
        </w:tc>
        <w:tc>
          <w:tcPr>
            <w:tcW w:w="708" w:type="pct"/>
            <w:vAlign w:val="center"/>
          </w:tcPr>
          <w:p w14:paraId="05BF8A0E"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8139E1">
              <w:rPr>
                <w:bCs/>
              </w:rPr>
              <w:t>542</w:t>
            </w:r>
          </w:p>
        </w:tc>
        <w:tc>
          <w:tcPr>
            <w:tcW w:w="708" w:type="pct"/>
            <w:vAlign w:val="center"/>
          </w:tcPr>
          <w:p w14:paraId="201FF023"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8139E1">
              <w:rPr>
                <w:bCs/>
              </w:rPr>
              <w:t>47</w:t>
            </w:r>
          </w:p>
        </w:tc>
        <w:tc>
          <w:tcPr>
            <w:tcW w:w="679" w:type="pct"/>
            <w:vAlign w:val="center"/>
          </w:tcPr>
          <w:p w14:paraId="044C3946"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100</w:t>
            </w:r>
          </w:p>
        </w:tc>
      </w:tr>
      <w:tr w:rsidR="00000153" w:rsidRPr="008139E1" w14:paraId="5AC2AECE"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tcPr>
          <w:p w14:paraId="0F1FF8AD" w14:textId="77777777" w:rsidR="00000153" w:rsidRPr="008139E1" w:rsidRDefault="00000153" w:rsidP="00BA53A3">
            <w:pPr>
              <w:keepNext/>
              <w:keepLines/>
              <w:spacing w:after="0" w:line="240" w:lineRule="auto"/>
              <w:rPr>
                <w:bCs w:val="0"/>
              </w:rPr>
            </w:pPr>
            <w:r w:rsidRPr="008139E1">
              <w:rPr>
                <w:bCs w:val="0"/>
              </w:rPr>
              <w:t>Proportion d’équipements vétustes remplacés (%)</w:t>
            </w:r>
          </w:p>
        </w:tc>
        <w:tc>
          <w:tcPr>
            <w:tcW w:w="708" w:type="pct"/>
            <w:vAlign w:val="center"/>
          </w:tcPr>
          <w:p w14:paraId="5893AD15"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100</w:t>
            </w:r>
          </w:p>
        </w:tc>
        <w:tc>
          <w:tcPr>
            <w:tcW w:w="708" w:type="pct"/>
            <w:vAlign w:val="center"/>
          </w:tcPr>
          <w:p w14:paraId="3463ED39"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30</w:t>
            </w:r>
          </w:p>
        </w:tc>
        <w:tc>
          <w:tcPr>
            <w:tcW w:w="679" w:type="pct"/>
            <w:vAlign w:val="center"/>
          </w:tcPr>
          <w:p w14:paraId="78908170"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40</w:t>
            </w:r>
          </w:p>
        </w:tc>
      </w:tr>
      <w:tr w:rsidR="00000153" w:rsidRPr="008139E1" w14:paraId="0BB2959F" w14:textId="77777777" w:rsidTr="009A288B">
        <w:trPr>
          <w:trHeight w:val="20"/>
        </w:trPr>
        <w:tc>
          <w:tcPr>
            <w:cnfStyle w:val="001000000000" w:firstRow="0" w:lastRow="0" w:firstColumn="1" w:lastColumn="0" w:oddVBand="0" w:evenVBand="0" w:oddHBand="0" w:evenHBand="0" w:firstRowFirstColumn="0" w:firstRowLastColumn="0" w:lastRowFirstColumn="0" w:lastRowLastColumn="0"/>
            <w:tcW w:w="2905" w:type="pct"/>
            <w:vAlign w:val="center"/>
          </w:tcPr>
          <w:p w14:paraId="79B8FE42" w14:textId="77777777" w:rsidR="00000153" w:rsidRPr="008139E1" w:rsidRDefault="00000153" w:rsidP="00BA53A3">
            <w:pPr>
              <w:keepNext/>
              <w:keepLines/>
              <w:spacing w:after="0" w:line="240" w:lineRule="auto"/>
              <w:rPr>
                <w:bCs w:val="0"/>
              </w:rPr>
            </w:pPr>
            <w:r w:rsidRPr="008139E1">
              <w:rPr>
                <w:bCs w:val="0"/>
              </w:rPr>
              <w:t>Nombre de stations de base renforcées</w:t>
            </w:r>
          </w:p>
        </w:tc>
        <w:tc>
          <w:tcPr>
            <w:tcW w:w="708" w:type="pct"/>
            <w:vAlign w:val="center"/>
          </w:tcPr>
          <w:p w14:paraId="48FF199F"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0</w:t>
            </w:r>
          </w:p>
        </w:tc>
        <w:tc>
          <w:tcPr>
            <w:tcW w:w="708" w:type="pct"/>
            <w:vAlign w:val="center"/>
          </w:tcPr>
          <w:p w14:paraId="7D86B51C"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0</w:t>
            </w:r>
          </w:p>
        </w:tc>
        <w:tc>
          <w:tcPr>
            <w:tcW w:w="679" w:type="pct"/>
            <w:vAlign w:val="center"/>
          </w:tcPr>
          <w:p w14:paraId="33DEF6E6"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50</w:t>
            </w:r>
          </w:p>
        </w:tc>
      </w:tr>
      <w:tr w:rsidR="00000153" w:rsidRPr="008139E1" w14:paraId="7CD299B1"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vAlign w:val="center"/>
          </w:tcPr>
          <w:p w14:paraId="5D22B3DA" w14:textId="77777777" w:rsidR="00000153" w:rsidRPr="008139E1" w:rsidRDefault="00000153" w:rsidP="00BA53A3">
            <w:pPr>
              <w:keepNext/>
              <w:keepLines/>
              <w:spacing w:after="0" w:line="240" w:lineRule="auto"/>
              <w:rPr>
                <w:bCs w:val="0"/>
              </w:rPr>
            </w:pPr>
            <w:r w:rsidRPr="008139E1">
              <w:rPr>
                <w:bCs w:val="0"/>
              </w:rPr>
              <w:t>Nombre de stations de base créées</w:t>
            </w:r>
          </w:p>
        </w:tc>
        <w:tc>
          <w:tcPr>
            <w:tcW w:w="708" w:type="pct"/>
            <w:vAlign w:val="center"/>
          </w:tcPr>
          <w:p w14:paraId="175A89CA"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0</w:t>
            </w:r>
          </w:p>
        </w:tc>
        <w:tc>
          <w:tcPr>
            <w:tcW w:w="708" w:type="pct"/>
            <w:vAlign w:val="center"/>
          </w:tcPr>
          <w:p w14:paraId="0764CAD3"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1</w:t>
            </w:r>
          </w:p>
        </w:tc>
        <w:tc>
          <w:tcPr>
            <w:tcW w:w="679" w:type="pct"/>
            <w:vAlign w:val="center"/>
          </w:tcPr>
          <w:p w14:paraId="40C5BC38"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10</w:t>
            </w:r>
          </w:p>
        </w:tc>
      </w:tr>
      <w:tr w:rsidR="00000153" w:rsidRPr="008139E1" w14:paraId="72AED059" w14:textId="77777777" w:rsidTr="009A288B">
        <w:trPr>
          <w:trHeight w:val="20"/>
        </w:trPr>
        <w:tc>
          <w:tcPr>
            <w:cnfStyle w:val="001000000000" w:firstRow="0" w:lastRow="0" w:firstColumn="1" w:lastColumn="0" w:oddVBand="0" w:evenVBand="0" w:oddHBand="0" w:evenHBand="0" w:firstRowFirstColumn="0" w:firstRowLastColumn="0" w:lastRowFirstColumn="0" w:lastRowLastColumn="0"/>
            <w:tcW w:w="2905" w:type="pct"/>
            <w:vAlign w:val="center"/>
          </w:tcPr>
          <w:p w14:paraId="365F03FA" w14:textId="77777777" w:rsidR="00000153" w:rsidRPr="008139E1" w:rsidRDefault="00000153" w:rsidP="00BA53A3">
            <w:pPr>
              <w:keepNext/>
              <w:keepLines/>
              <w:spacing w:after="0" w:line="240" w:lineRule="auto"/>
              <w:rPr>
                <w:bCs w:val="0"/>
              </w:rPr>
            </w:pPr>
            <w:r w:rsidRPr="008139E1">
              <w:rPr>
                <w:bCs w:val="0"/>
              </w:rPr>
              <w:t xml:space="preserve">Nombre de réseaux locaux </w:t>
            </w:r>
            <w:r w:rsidRPr="008139E1">
              <w:t xml:space="preserve">des bâtiments </w:t>
            </w:r>
            <w:r w:rsidRPr="008139E1">
              <w:rPr>
                <w:bCs w:val="0"/>
              </w:rPr>
              <w:t>mis en place</w:t>
            </w:r>
          </w:p>
        </w:tc>
        <w:tc>
          <w:tcPr>
            <w:tcW w:w="708" w:type="pct"/>
            <w:vAlign w:val="center"/>
          </w:tcPr>
          <w:p w14:paraId="76285E37"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150</w:t>
            </w:r>
          </w:p>
        </w:tc>
        <w:tc>
          <w:tcPr>
            <w:tcW w:w="708" w:type="pct"/>
            <w:vAlign w:val="center"/>
          </w:tcPr>
          <w:p w14:paraId="05B3605E"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20</w:t>
            </w:r>
          </w:p>
        </w:tc>
        <w:tc>
          <w:tcPr>
            <w:tcW w:w="679" w:type="pct"/>
            <w:vAlign w:val="center"/>
          </w:tcPr>
          <w:p w14:paraId="4D849757" w14:textId="77777777" w:rsidR="00000153" w:rsidRPr="008139E1" w:rsidRDefault="00000153" w:rsidP="00BA53A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pPr>
            <w:r w:rsidRPr="008139E1">
              <w:t>50</w:t>
            </w:r>
          </w:p>
        </w:tc>
      </w:tr>
      <w:tr w:rsidR="00000153" w:rsidRPr="008139E1" w14:paraId="5B3EC376" w14:textId="77777777" w:rsidTr="009A28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5" w:type="pct"/>
            <w:vAlign w:val="center"/>
          </w:tcPr>
          <w:p w14:paraId="377BEE2E" w14:textId="77777777" w:rsidR="00000153" w:rsidRPr="008139E1" w:rsidRDefault="00000153" w:rsidP="00BA53A3">
            <w:pPr>
              <w:keepNext/>
              <w:keepLines/>
              <w:spacing w:after="0" w:line="240" w:lineRule="auto"/>
              <w:rPr>
                <w:bCs w:val="0"/>
              </w:rPr>
            </w:pPr>
            <w:r w:rsidRPr="008139E1">
              <w:rPr>
                <w:bCs w:val="0"/>
              </w:rPr>
              <w:t xml:space="preserve">Nombre de bâtiments interconnectés </w:t>
            </w:r>
            <w:r w:rsidRPr="008139E1">
              <w:t>au RESINA</w:t>
            </w:r>
          </w:p>
        </w:tc>
        <w:tc>
          <w:tcPr>
            <w:tcW w:w="708" w:type="pct"/>
            <w:vAlign w:val="center"/>
          </w:tcPr>
          <w:p w14:paraId="286D1A54"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2 697</w:t>
            </w:r>
          </w:p>
        </w:tc>
        <w:tc>
          <w:tcPr>
            <w:tcW w:w="708" w:type="pct"/>
            <w:vAlign w:val="center"/>
          </w:tcPr>
          <w:p w14:paraId="7C97C428"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116</w:t>
            </w:r>
          </w:p>
        </w:tc>
        <w:tc>
          <w:tcPr>
            <w:tcW w:w="679" w:type="pct"/>
            <w:vAlign w:val="center"/>
          </w:tcPr>
          <w:p w14:paraId="654D22D9" w14:textId="77777777" w:rsidR="00000153" w:rsidRPr="008139E1" w:rsidRDefault="00000153" w:rsidP="00BA53A3">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139E1">
              <w:t>100</w:t>
            </w:r>
          </w:p>
        </w:tc>
      </w:tr>
    </w:tbl>
    <w:p w14:paraId="11DD5D89" w14:textId="1471C0A0" w:rsidR="00000153" w:rsidRPr="008139E1" w:rsidRDefault="00000153" w:rsidP="008139E1">
      <w:pPr>
        <w:spacing w:line="240" w:lineRule="auto"/>
        <w:rPr>
          <w:rFonts w:eastAsia="Times New Roman" w:cs="Times New Roman"/>
          <w:sz w:val="18"/>
          <w:szCs w:val="20"/>
          <w:lang w:eastAsia="fr-FR"/>
        </w:rPr>
      </w:pPr>
      <w:r w:rsidRPr="008139E1">
        <w:rPr>
          <w:b/>
          <w:bCs/>
          <w:sz w:val="18"/>
          <w:szCs w:val="20"/>
          <w:u w:val="single"/>
        </w:rPr>
        <w:t>Source</w:t>
      </w:r>
      <w:r w:rsidRPr="008139E1">
        <w:rPr>
          <w:sz w:val="18"/>
          <w:szCs w:val="20"/>
        </w:rPr>
        <w:t xml:space="preserve"> : </w:t>
      </w:r>
      <w:r w:rsidRPr="008139E1">
        <w:rPr>
          <w:rFonts w:eastAsia="Times New Roman" w:cs="Times New Roman"/>
          <w:sz w:val="18"/>
          <w:szCs w:val="20"/>
          <w:lang w:eastAsia="fr-FR"/>
        </w:rPr>
        <w:t>rapport annuel de performance 2023 du secteur ITCH, février 2024</w:t>
      </w:r>
    </w:p>
    <w:p w14:paraId="1FEF361D" w14:textId="77777777" w:rsidR="00000153" w:rsidRDefault="00000153" w:rsidP="008139E1">
      <w:pPr>
        <w:numPr>
          <w:ilvl w:val="0"/>
          <w:numId w:val="8"/>
        </w:numPr>
        <w:shd w:val="clear" w:color="auto" w:fill="FFFFFF"/>
        <w:spacing w:before="120" w:after="120" w:line="240" w:lineRule="auto"/>
        <w:ind w:left="0"/>
        <w:rPr>
          <w:rFonts w:eastAsia="Times New Roman" w:cs="Times New Roman"/>
          <w:szCs w:val="24"/>
          <w:lang w:eastAsia="fr-FR"/>
        </w:rPr>
      </w:pPr>
      <w:r>
        <w:rPr>
          <w:rFonts w:eastAsia="Times New Roman" w:cs="Times New Roman"/>
          <w:szCs w:val="24"/>
          <w:lang w:eastAsia="fr-FR"/>
        </w:rPr>
        <w:t xml:space="preserve">A fin décembre 2023, seuls deux indicateurs sur sept ont atteint leur cible. Il s’agit du taux de maintenance annuelle des infrastructures du réseau et du nombre de bâtiments interconnectés </w:t>
      </w:r>
      <w:r w:rsidRPr="008F75EF">
        <w:rPr>
          <w:rFonts w:eastAsia="Times New Roman" w:cs="Times New Roman"/>
          <w:szCs w:val="24"/>
          <w:lang w:eastAsia="fr-FR"/>
        </w:rPr>
        <w:t xml:space="preserve">au RESINA </w:t>
      </w:r>
      <w:r>
        <w:rPr>
          <w:rFonts w:eastAsia="Times New Roman" w:cs="Times New Roman"/>
          <w:szCs w:val="24"/>
          <w:lang w:eastAsia="fr-FR"/>
        </w:rPr>
        <w:t xml:space="preserve">réalisé à 116 pour une cible de 100. Ces performances résultent de l’utilisation des équipements de 2022 acquis par le Projet d’appui au développement des TIC (PADTIC). </w:t>
      </w:r>
    </w:p>
    <w:p w14:paraId="36FBCA4E" w14:textId="07DA536E" w:rsidR="00000153" w:rsidRPr="008279B8" w:rsidRDefault="00000153" w:rsidP="008139E1">
      <w:pPr>
        <w:numPr>
          <w:ilvl w:val="0"/>
          <w:numId w:val="8"/>
        </w:numPr>
        <w:shd w:val="clear" w:color="auto" w:fill="FFFFFF"/>
        <w:spacing w:before="120" w:after="120" w:line="240" w:lineRule="auto"/>
        <w:ind w:left="0"/>
        <w:rPr>
          <w:rFonts w:eastAsia="Calibri"/>
          <w:szCs w:val="24"/>
        </w:rPr>
      </w:pPr>
      <w:r>
        <w:rPr>
          <w:rFonts w:eastAsia="Times New Roman" w:cs="Times New Roman"/>
          <w:szCs w:val="24"/>
          <w:lang w:eastAsia="fr-FR"/>
        </w:rPr>
        <w:t>Sur le plan financier, sur des prévisions globales de 5 031 000 000 FCFA, un montant de 1 159 879 440 FCFA a été dépensé pour mettre en œuvre l’action 03106 soit un taux d’exécution de 23,05%. Ce résultat trouve sa justification dans le retard réalisé en terme de mobilisation des ressources et l’utilisation d’équipements de 2022 entre autres.</w:t>
      </w:r>
    </w:p>
    <w:p w14:paraId="52C09988" w14:textId="77777777" w:rsidR="0080326C" w:rsidRPr="0080326C" w:rsidRDefault="0080326C" w:rsidP="00664E91">
      <w:pPr>
        <w:shd w:val="clear" w:color="auto" w:fill="FFFFFF"/>
        <w:spacing w:before="120" w:after="120" w:line="240" w:lineRule="auto"/>
        <w:rPr>
          <w:szCs w:val="24"/>
        </w:rPr>
      </w:pPr>
    </w:p>
    <w:p w14:paraId="42A8B9CA" w14:textId="6CD2FABE" w:rsidR="00C54CA7" w:rsidRPr="00C54CA7" w:rsidRDefault="00EA252D" w:rsidP="00C54CA7">
      <w:pPr>
        <w:pStyle w:val="PAT4"/>
        <w:keepNext/>
        <w:keepLines/>
      </w:pPr>
      <w:bookmarkStart w:id="161" w:name="_Toc163141241"/>
      <w:r w:rsidRPr="008D2129">
        <w:t>Objectif stratégique 4.5 : Inverser la tendance de la dégradation de l’environnement et des ressources naturelles pour favoriser la résilience climatique et la réduction des émissions de gaz à effet de serre</w:t>
      </w:r>
      <w:bookmarkEnd w:id="161"/>
    </w:p>
    <w:p w14:paraId="7E00C31C" w14:textId="77777777" w:rsidR="00C54CA7" w:rsidRPr="0006699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Deux (02 actions contribuent à l’atteinte de l’OS 4.5. Il s’agit du renforcement de la résilience climatique des secteurs et domaines prioritaires (03112) et la récupération des </w:t>
      </w:r>
      <w:r w:rsidRPr="00066997">
        <w:rPr>
          <w:rFonts w:eastAsia="Calibri"/>
          <w:szCs w:val="24"/>
        </w:rPr>
        <w:t xml:space="preserve">terres dégradées (03113). </w:t>
      </w:r>
    </w:p>
    <w:p w14:paraId="47337485" w14:textId="77756107" w:rsidR="00066997" w:rsidRDefault="00C54CA7" w:rsidP="00066997">
      <w:pPr>
        <w:numPr>
          <w:ilvl w:val="0"/>
          <w:numId w:val="8"/>
        </w:numPr>
        <w:shd w:val="clear" w:color="auto" w:fill="FFFFFF"/>
        <w:spacing w:before="120" w:after="120" w:line="240" w:lineRule="auto"/>
        <w:ind w:left="0"/>
        <w:rPr>
          <w:rFonts w:eastAsia="Calibri"/>
          <w:szCs w:val="24"/>
        </w:rPr>
      </w:pPr>
      <w:r w:rsidRPr="00066997">
        <w:rPr>
          <w:rFonts w:eastAsia="Calibri"/>
          <w:szCs w:val="24"/>
        </w:rPr>
        <w:t xml:space="preserve">Les principales cibles de </w:t>
      </w:r>
      <w:r w:rsidRPr="0042784A">
        <w:rPr>
          <w:rFonts w:eastAsia="Calibri"/>
          <w:b/>
          <w:szCs w:val="24"/>
        </w:rPr>
        <w:t>l’action 03112</w:t>
      </w:r>
      <w:r w:rsidRPr="00066997">
        <w:rPr>
          <w:rFonts w:eastAsia="Calibri"/>
          <w:szCs w:val="24"/>
        </w:rPr>
        <w:t>, sont de porter le taux d’adoption des technologies d’adap</w:t>
      </w:r>
      <w:r w:rsidR="00066997" w:rsidRPr="00066997">
        <w:rPr>
          <w:rFonts w:eastAsia="Calibri"/>
          <w:szCs w:val="24"/>
        </w:rPr>
        <w:t>ta</w:t>
      </w:r>
      <w:r w:rsidRPr="00066997">
        <w:rPr>
          <w:rFonts w:eastAsia="Calibri"/>
          <w:szCs w:val="24"/>
        </w:rPr>
        <w:t xml:space="preserve">tion aux changements climatiques vulgarisées à </w:t>
      </w:r>
      <w:r w:rsidR="00066997" w:rsidRPr="00066997">
        <w:rPr>
          <w:rFonts w:eastAsia="Calibri"/>
          <w:szCs w:val="24"/>
        </w:rPr>
        <w:t xml:space="preserve">plus de 95% </w:t>
      </w:r>
      <w:r w:rsidRPr="00066997">
        <w:rPr>
          <w:rFonts w:eastAsia="Calibri"/>
          <w:szCs w:val="24"/>
        </w:rPr>
        <w:t xml:space="preserve">en 2023 et de porter la quantité de Carbonne séquestrées, en millions de tonnes à 10 contre 5,2 en 2021. Quant à la </w:t>
      </w:r>
      <w:r w:rsidRPr="00C8146D">
        <w:rPr>
          <w:rFonts w:eastAsia="Calibri"/>
          <w:b/>
          <w:szCs w:val="24"/>
        </w:rPr>
        <w:t>récupération des terres dégradées (03113)</w:t>
      </w:r>
      <w:r w:rsidRPr="00C8146D">
        <w:rPr>
          <w:rFonts w:eastAsia="Calibri"/>
          <w:szCs w:val="24"/>
        </w:rPr>
        <w:t>, la</w:t>
      </w:r>
      <w:r w:rsidRPr="00733CE8">
        <w:rPr>
          <w:rFonts w:eastAsia="Calibri"/>
          <w:szCs w:val="24"/>
        </w:rPr>
        <w:t xml:space="preserve"> principale cible de l’action est de porter la proportion de terres dégradées récupérées à 1</w:t>
      </w:r>
      <w:r w:rsidR="00017166" w:rsidRPr="00733CE8">
        <w:rPr>
          <w:rFonts w:eastAsia="Calibri"/>
          <w:szCs w:val="24"/>
        </w:rPr>
        <w:t>1,56</w:t>
      </w:r>
      <w:r w:rsidRPr="00733CE8">
        <w:rPr>
          <w:rFonts w:eastAsia="Calibri"/>
          <w:szCs w:val="24"/>
        </w:rPr>
        <w:t xml:space="preserve">% en 2023 contre </w:t>
      </w:r>
      <w:r w:rsidR="00017166" w:rsidRPr="00733CE8">
        <w:rPr>
          <w:rFonts w:eastAsia="Calibri"/>
          <w:szCs w:val="24"/>
        </w:rPr>
        <w:t>5,69</w:t>
      </w:r>
      <w:r w:rsidRPr="00733CE8">
        <w:rPr>
          <w:rFonts w:eastAsia="Calibri"/>
          <w:szCs w:val="24"/>
        </w:rPr>
        <w:t>% en 202</w:t>
      </w:r>
      <w:r w:rsidR="00017166" w:rsidRPr="00733CE8">
        <w:rPr>
          <w:rFonts w:eastAsia="Calibri"/>
          <w:szCs w:val="24"/>
        </w:rPr>
        <w:t>2</w:t>
      </w:r>
      <w:r w:rsidRPr="00733CE8">
        <w:rPr>
          <w:rFonts w:eastAsia="Calibri"/>
          <w:szCs w:val="24"/>
        </w:rPr>
        <w:t xml:space="preserve">. </w:t>
      </w:r>
    </w:p>
    <w:p w14:paraId="76B2F7EF" w14:textId="3ED1473D" w:rsidR="00C54CA7" w:rsidRPr="00066997" w:rsidRDefault="00C54CA7" w:rsidP="00066997">
      <w:pPr>
        <w:numPr>
          <w:ilvl w:val="0"/>
          <w:numId w:val="8"/>
        </w:numPr>
        <w:shd w:val="clear" w:color="auto" w:fill="FFFFFF"/>
        <w:spacing w:before="120" w:after="120" w:line="240" w:lineRule="auto"/>
        <w:ind w:left="0"/>
        <w:rPr>
          <w:rFonts w:eastAsia="Calibri"/>
          <w:szCs w:val="24"/>
        </w:rPr>
      </w:pPr>
      <w:r w:rsidRPr="00066997">
        <w:rPr>
          <w:rFonts w:eastAsia="Calibri"/>
          <w:szCs w:val="24"/>
        </w:rPr>
        <w:t xml:space="preserve">A </w:t>
      </w:r>
      <w:r w:rsidR="00017166" w:rsidRPr="00066997">
        <w:rPr>
          <w:rFonts w:eastAsia="Calibri"/>
          <w:szCs w:val="24"/>
        </w:rPr>
        <w:t xml:space="preserve">31 décembre </w:t>
      </w:r>
      <w:r w:rsidRPr="00066997">
        <w:rPr>
          <w:rFonts w:eastAsia="Calibri"/>
          <w:szCs w:val="24"/>
        </w:rPr>
        <w:t xml:space="preserve">2023, </w:t>
      </w:r>
      <w:r w:rsidR="00066997">
        <w:rPr>
          <w:rFonts w:eastAsia="Calibri"/>
          <w:szCs w:val="24"/>
        </w:rPr>
        <w:t>aucune cible des indicateurs d’actions n’a été atteinte. Cela s’explique par la prise en compte des données relevant des zones d’intervention du Programme d’investissement forestier (PIF) d’une part et par l’inaccessibilité des sites à récupérer ainsi que l’insuffisance des ressources tant matérielles que financières</w:t>
      </w:r>
      <w:r w:rsidR="00492E24">
        <w:rPr>
          <w:rFonts w:eastAsia="Calibri"/>
          <w:szCs w:val="24"/>
        </w:rPr>
        <w:t>,</w:t>
      </w:r>
      <w:r w:rsidR="00066997">
        <w:rPr>
          <w:rFonts w:eastAsia="Calibri"/>
          <w:szCs w:val="24"/>
        </w:rPr>
        <w:t xml:space="preserve"> d’autre part</w:t>
      </w:r>
      <w:r w:rsidRPr="00066997">
        <w:rPr>
          <w:rFonts w:eastAsia="Calibri"/>
          <w:szCs w:val="24"/>
        </w:rPr>
        <w:t xml:space="preserve">. Le tableau ci-dessous fournit les situations de réalisation des produits associés au 31 décembre 2023. </w:t>
      </w:r>
    </w:p>
    <w:p w14:paraId="4ADE9505" w14:textId="4DDC8512" w:rsidR="00C54CA7" w:rsidRPr="0042784A" w:rsidRDefault="00B647DA" w:rsidP="008139E1">
      <w:pPr>
        <w:pStyle w:val="Lgende"/>
        <w:rPr>
          <w:i w:val="0"/>
          <w:color w:val="auto"/>
          <w:sz w:val="22"/>
        </w:rPr>
      </w:pPr>
      <w:bookmarkStart w:id="162" w:name="_Toc164503672"/>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85</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situation des indicateurs de produits des actions 03112 et 03113 au 31 décembre 2023</w:t>
      </w:r>
      <w:bookmarkEnd w:id="162"/>
    </w:p>
    <w:tbl>
      <w:tblPr>
        <w:tblStyle w:val="GridTable4-Accent111"/>
        <w:tblW w:w="5000" w:type="pct"/>
        <w:tblLook w:val="04A0" w:firstRow="1" w:lastRow="0" w:firstColumn="1" w:lastColumn="0" w:noHBand="0" w:noVBand="1"/>
      </w:tblPr>
      <w:tblGrid>
        <w:gridCol w:w="4459"/>
        <w:gridCol w:w="1700"/>
        <w:gridCol w:w="1488"/>
        <w:gridCol w:w="1369"/>
      </w:tblGrid>
      <w:tr w:rsidR="00C54CA7" w:rsidRPr="002203B6" w14:paraId="068AEFA1" w14:textId="77777777" w:rsidTr="002203B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473" w:type="pct"/>
          </w:tcPr>
          <w:p w14:paraId="5807AAC5" w14:textId="77777777" w:rsidR="00C54CA7" w:rsidRPr="002203B6" w:rsidRDefault="00C54CA7" w:rsidP="00F175A7">
            <w:pPr>
              <w:keepNext/>
              <w:keepLines/>
              <w:spacing w:after="0" w:line="240" w:lineRule="auto"/>
              <w:rPr>
                <w:sz w:val="22"/>
              </w:rPr>
            </w:pPr>
            <w:r w:rsidRPr="002203B6">
              <w:rPr>
                <w:sz w:val="22"/>
              </w:rPr>
              <w:t>Indicateurs</w:t>
            </w:r>
          </w:p>
        </w:tc>
        <w:tc>
          <w:tcPr>
            <w:tcW w:w="943" w:type="pct"/>
          </w:tcPr>
          <w:p w14:paraId="392F2C1F" w14:textId="77777777" w:rsidR="00C54CA7" w:rsidRPr="002203B6" w:rsidRDefault="00C54CA7" w:rsidP="00F175A7">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2203B6">
              <w:rPr>
                <w:sz w:val="22"/>
              </w:rPr>
              <w:t>Réf. 2022</w:t>
            </w:r>
          </w:p>
        </w:tc>
        <w:tc>
          <w:tcPr>
            <w:tcW w:w="825" w:type="pct"/>
          </w:tcPr>
          <w:p w14:paraId="61BC71F5" w14:textId="77777777" w:rsidR="00C54CA7" w:rsidRPr="002203B6" w:rsidRDefault="00C54CA7" w:rsidP="00F175A7">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2203B6">
              <w:rPr>
                <w:sz w:val="22"/>
              </w:rPr>
              <w:t>Réal. 2023</w:t>
            </w:r>
          </w:p>
        </w:tc>
        <w:tc>
          <w:tcPr>
            <w:tcW w:w="759" w:type="pct"/>
          </w:tcPr>
          <w:p w14:paraId="156CB5E6" w14:textId="77777777" w:rsidR="00C54CA7" w:rsidRPr="002203B6" w:rsidRDefault="00C54CA7" w:rsidP="00F175A7">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2203B6">
              <w:rPr>
                <w:sz w:val="22"/>
              </w:rPr>
              <w:t>Cible 2023</w:t>
            </w:r>
          </w:p>
        </w:tc>
      </w:tr>
      <w:tr w:rsidR="00C54CA7" w:rsidRPr="002203B6" w14:paraId="7855A1E7"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1B17BA5F" w14:textId="77777777" w:rsidR="00C54CA7" w:rsidRPr="002203B6" w:rsidRDefault="00C54CA7" w:rsidP="00F175A7">
            <w:pPr>
              <w:keepNext/>
              <w:keepLines/>
              <w:spacing w:after="0" w:line="240" w:lineRule="auto"/>
              <w:jc w:val="left"/>
              <w:rPr>
                <w:color w:val="000000"/>
                <w:sz w:val="22"/>
              </w:rPr>
            </w:pPr>
            <w:r w:rsidRPr="002203B6">
              <w:rPr>
                <w:color w:val="000000"/>
                <w:sz w:val="22"/>
              </w:rPr>
              <w:t>Action 03112 « Renforcement de la résilience climatique des secteurs et domaines Prioritaires </w:t>
            </w:r>
          </w:p>
        </w:tc>
      </w:tr>
      <w:tr w:rsidR="00C54CA7" w:rsidRPr="002203B6" w14:paraId="211C6E73" w14:textId="77777777" w:rsidTr="008139E1">
        <w:trPr>
          <w:trHeight w:val="20"/>
        </w:trPr>
        <w:tc>
          <w:tcPr>
            <w:cnfStyle w:val="001000000000" w:firstRow="0" w:lastRow="0" w:firstColumn="1" w:lastColumn="0" w:oddVBand="0" w:evenVBand="0" w:oddHBand="0" w:evenHBand="0" w:firstRowFirstColumn="0" w:firstRowLastColumn="0" w:lastRowFirstColumn="0" w:lastRowLastColumn="0"/>
            <w:tcW w:w="2473" w:type="pct"/>
          </w:tcPr>
          <w:p w14:paraId="0831217E" w14:textId="1E5DCEE8" w:rsidR="00C54CA7" w:rsidRPr="0042784A" w:rsidRDefault="00C54CA7" w:rsidP="00192909">
            <w:pPr>
              <w:spacing w:after="0" w:line="240" w:lineRule="auto"/>
              <w:jc w:val="left"/>
              <w:rPr>
                <w:sz w:val="22"/>
              </w:rPr>
            </w:pPr>
            <w:r w:rsidRPr="0042784A">
              <w:rPr>
                <w:sz w:val="22"/>
              </w:rPr>
              <w:t xml:space="preserve">Nombre de </w:t>
            </w:r>
            <w:r w:rsidR="00C8146D">
              <w:rPr>
                <w:sz w:val="22"/>
              </w:rPr>
              <w:t>P</w:t>
            </w:r>
            <w:r w:rsidRPr="0042784A">
              <w:rPr>
                <w:sz w:val="22"/>
              </w:rPr>
              <w:t xml:space="preserve">lans de </w:t>
            </w:r>
            <w:r w:rsidR="00C8146D">
              <w:rPr>
                <w:sz w:val="22"/>
              </w:rPr>
              <w:t>d</w:t>
            </w:r>
            <w:r w:rsidRPr="0042784A">
              <w:rPr>
                <w:sz w:val="22"/>
              </w:rPr>
              <w:t xml:space="preserve">éveloppement </w:t>
            </w:r>
            <w:r w:rsidR="00C8146D">
              <w:rPr>
                <w:sz w:val="22"/>
              </w:rPr>
              <w:t>i</w:t>
            </w:r>
            <w:r w:rsidRPr="0042784A">
              <w:rPr>
                <w:sz w:val="22"/>
              </w:rPr>
              <w:t xml:space="preserve">ntégrés </w:t>
            </w:r>
            <w:r w:rsidR="00C8146D">
              <w:rPr>
                <w:sz w:val="22"/>
              </w:rPr>
              <w:t>c</w:t>
            </w:r>
            <w:r w:rsidRPr="0042784A">
              <w:rPr>
                <w:sz w:val="22"/>
              </w:rPr>
              <w:t>ommunaux (PDIC)</w:t>
            </w:r>
            <w:r w:rsidR="0088136F" w:rsidRPr="0042784A">
              <w:rPr>
                <w:sz w:val="22"/>
              </w:rPr>
              <w:t xml:space="preserve"> </w:t>
            </w:r>
            <w:r w:rsidRPr="0042784A">
              <w:rPr>
                <w:sz w:val="22"/>
              </w:rPr>
              <w:t>mis en œuvre</w:t>
            </w:r>
          </w:p>
        </w:tc>
        <w:tc>
          <w:tcPr>
            <w:tcW w:w="943" w:type="pct"/>
            <w:vAlign w:val="center"/>
          </w:tcPr>
          <w:p w14:paraId="5FDE9AF0" w14:textId="0FD76955" w:rsidR="00C54CA7" w:rsidRPr="0042784A" w:rsidRDefault="00066997" w:rsidP="008139E1">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42784A">
              <w:rPr>
                <w:sz w:val="22"/>
              </w:rPr>
              <w:t>-</w:t>
            </w:r>
          </w:p>
        </w:tc>
        <w:tc>
          <w:tcPr>
            <w:tcW w:w="825" w:type="pct"/>
            <w:vAlign w:val="center"/>
          </w:tcPr>
          <w:p w14:paraId="79EAE3EB" w14:textId="55F0AD8E" w:rsidR="00C54CA7" w:rsidRPr="0042784A" w:rsidRDefault="00066997" w:rsidP="008139E1">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42784A">
              <w:rPr>
                <w:sz w:val="22"/>
              </w:rPr>
              <w:t>21</w:t>
            </w:r>
          </w:p>
        </w:tc>
        <w:tc>
          <w:tcPr>
            <w:tcW w:w="759" w:type="pct"/>
            <w:vAlign w:val="center"/>
          </w:tcPr>
          <w:p w14:paraId="43369C71" w14:textId="0D3F0BF6" w:rsidR="00C54CA7" w:rsidRPr="0042784A" w:rsidRDefault="00066997" w:rsidP="008139E1">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42784A">
              <w:rPr>
                <w:sz w:val="22"/>
              </w:rPr>
              <w:t>22</w:t>
            </w:r>
          </w:p>
        </w:tc>
      </w:tr>
      <w:tr w:rsidR="00C54CA7" w:rsidRPr="002203B6" w14:paraId="6F2EE1DE" w14:textId="77777777" w:rsidTr="008139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3" w:type="pct"/>
          </w:tcPr>
          <w:p w14:paraId="5AC5EB9F" w14:textId="77777777" w:rsidR="00C54CA7" w:rsidRPr="0042784A" w:rsidRDefault="00C54CA7" w:rsidP="00192909">
            <w:pPr>
              <w:keepNext/>
              <w:keepLines/>
              <w:spacing w:after="0" w:line="240" w:lineRule="auto"/>
              <w:rPr>
                <w:sz w:val="22"/>
              </w:rPr>
            </w:pPr>
            <w:r w:rsidRPr="0042784A">
              <w:rPr>
                <w:sz w:val="22"/>
              </w:rPr>
              <w:t xml:space="preserve">Nombre de villages en transformation en </w:t>
            </w:r>
            <w:proofErr w:type="spellStart"/>
            <w:r w:rsidRPr="0042784A">
              <w:rPr>
                <w:sz w:val="22"/>
              </w:rPr>
              <w:t>écovillages</w:t>
            </w:r>
            <w:proofErr w:type="spellEnd"/>
          </w:p>
        </w:tc>
        <w:tc>
          <w:tcPr>
            <w:tcW w:w="943" w:type="pct"/>
            <w:vAlign w:val="center"/>
          </w:tcPr>
          <w:p w14:paraId="75ED154A" w14:textId="46BA9B02" w:rsidR="00C54CA7" w:rsidRPr="0042784A" w:rsidRDefault="00066997" w:rsidP="008139E1">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42784A">
              <w:rPr>
                <w:sz w:val="22"/>
              </w:rPr>
              <w:t>71</w:t>
            </w:r>
          </w:p>
        </w:tc>
        <w:tc>
          <w:tcPr>
            <w:tcW w:w="825" w:type="pct"/>
            <w:vAlign w:val="center"/>
          </w:tcPr>
          <w:p w14:paraId="2356B29E" w14:textId="7FD96FDE" w:rsidR="00C54CA7" w:rsidRPr="0042784A" w:rsidRDefault="00066997" w:rsidP="008139E1">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42784A">
              <w:rPr>
                <w:sz w:val="22"/>
              </w:rPr>
              <w:t>73</w:t>
            </w:r>
          </w:p>
        </w:tc>
        <w:tc>
          <w:tcPr>
            <w:tcW w:w="759" w:type="pct"/>
            <w:vAlign w:val="center"/>
          </w:tcPr>
          <w:p w14:paraId="500F1F41" w14:textId="53A5972D" w:rsidR="00C54CA7" w:rsidRPr="0042784A" w:rsidRDefault="00066997" w:rsidP="008139E1">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42784A">
              <w:rPr>
                <w:sz w:val="22"/>
              </w:rPr>
              <w:t>73</w:t>
            </w:r>
          </w:p>
        </w:tc>
      </w:tr>
      <w:tr w:rsidR="00C54CA7" w:rsidRPr="002203B6" w14:paraId="1EACA934" w14:textId="77777777" w:rsidTr="00F175A7">
        <w:trPr>
          <w:trHeight w:val="32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2CC" w:themeFill="accent4" w:themeFillTint="33"/>
          </w:tcPr>
          <w:p w14:paraId="749BF902" w14:textId="77777777" w:rsidR="00C54CA7" w:rsidRPr="002203B6" w:rsidRDefault="00C54CA7" w:rsidP="00F175A7">
            <w:pPr>
              <w:keepNext/>
              <w:keepLines/>
              <w:spacing w:after="0" w:line="240" w:lineRule="auto"/>
              <w:rPr>
                <w:sz w:val="22"/>
              </w:rPr>
            </w:pPr>
            <w:r w:rsidRPr="002203B6">
              <w:rPr>
                <w:color w:val="000000"/>
                <w:sz w:val="22"/>
              </w:rPr>
              <w:t>Action 03113 : Récupération des terres dégradées</w:t>
            </w:r>
          </w:p>
        </w:tc>
      </w:tr>
      <w:tr w:rsidR="00C54CA7" w:rsidRPr="002203B6" w14:paraId="108FE86D" w14:textId="77777777" w:rsidTr="008139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73" w:type="pct"/>
          </w:tcPr>
          <w:p w14:paraId="60E403E2" w14:textId="77777777" w:rsidR="00C54CA7" w:rsidRPr="002203B6" w:rsidRDefault="00C54CA7" w:rsidP="00192909">
            <w:pPr>
              <w:keepNext/>
              <w:keepLines/>
              <w:spacing w:after="0" w:line="240" w:lineRule="auto"/>
              <w:rPr>
                <w:color w:val="000000"/>
                <w:sz w:val="22"/>
              </w:rPr>
            </w:pPr>
            <w:r w:rsidRPr="002203B6">
              <w:rPr>
                <w:sz w:val="22"/>
              </w:rPr>
              <w:t>Superficie des terres dégradées récupérée dans les espaces agro-pastoraux (ha)</w:t>
            </w:r>
          </w:p>
        </w:tc>
        <w:tc>
          <w:tcPr>
            <w:tcW w:w="943" w:type="pct"/>
            <w:vAlign w:val="center"/>
          </w:tcPr>
          <w:p w14:paraId="141FFC3B" w14:textId="12A5792F" w:rsidR="00C54CA7" w:rsidRPr="002203B6" w:rsidRDefault="00C54CA7" w:rsidP="008139E1">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2203B6">
              <w:rPr>
                <w:sz w:val="22"/>
              </w:rPr>
              <w:t>14</w:t>
            </w:r>
            <w:r w:rsidR="00C8146D">
              <w:rPr>
                <w:sz w:val="22"/>
              </w:rPr>
              <w:t> </w:t>
            </w:r>
            <w:r w:rsidRPr="002203B6">
              <w:rPr>
                <w:sz w:val="22"/>
              </w:rPr>
              <w:t>336,67</w:t>
            </w:r>
          </w:p>
        </w:tc>
        <w:tc>
          <w:tcPr>
            <w:tcW w:w="825" w:type="pct"/>
            <w:vAlign w:val="center"/>
          </w:tcPr>
          <w:p w14:paraId="2A1C1470" w14:textId="049A1CAF" w:rsidR="00C54CA7" w:rsidRPr="002203B6" w:rsidRDefault="00C54CA7" w:rsidP="008139E1">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highlight w:val="yellow"/>
              </w:rPr>
            </w:pPr>
            <w:r w:rsidRPr="002203B6">
              <w:rPr>
                <w:sz w:val="22"/>
              </w:rPr>
              <w:t>22</w:t>
            </w:r>
            <w:r w:rsidR="00017166">
              <w:rPr>
                <w:sz w:val="22"/>
              </w:rPr>
              <w:t> 246,26</w:t>
            </w:r>
          </w:p>
        </w:tc>
        <w:tc>
          <w:tcPr>
            <w:tcW w:w="759" w:type="pct"/>
            <w:vAlign w:val="center"/>
          </w:tcPr>
          <w:p w14:paraId="1248DE96" w14:textId="7126BFC3" w:rsidR="00C54CA7" w:rsidRPr="002203B6" w:rsidRDefault="00C54CA7" w:rsidP="008139E1">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rPr>
            </w:pPr>
            <w:r w:rsidRPr="002203B6">
              <w:rPr>
                <w:sz w:val="22"/>
              </w:rPr>
              <w:t>19</w:t>
            </w:r>
            <w:r w:rsidR="00C8146D">
              <w:rPr>
                <w:sz w:val="22"/>
              </w:rPr>
              <w:t> </w:t>
            </w:r>
            <w:r w:rsidRPr="002203B6">
              <w:rPr>
                <w:sz w:val="22"/>
              </w:rPr>
              <w:t>221</w:t>
            </w:r>
          </w:p>
        </w:tc>
      </w:tr>
      <w:tr w:rsidR="00C54CA7" w:rsidRPr="002203B6" w14:paraId="786DE803" w14:textId="77777777" w:rsidTr="008139E1">
        <w:trPr>
          <w:trHeight w:val="320"/>
        </w:trPr>
        <w:tc>
          <w:tcPr>
            <w:cnfStyle w:val="001000000000" w:firstRow="0" w:lastRow="0" w:firstColumn="1" w:lastColumn="0" w:oddVBand="0" w:evenVBand="0" w:oddHBand="0" w:evenHBand="0" w:firstRowFirstColumn="0" w:firstRowLastColumn="0" w:lastRowFirstColumn="0" w:lastRowLastColumn="0"/>
            <w:tcW w:w="2473" w:type="pct"/>
          </w:tcPr>
          <w:p w14:paraId="7BD45F75" w14:textId="77777777" w:rsidR="00C54CA7" w:rsidRPr="002203B6" w:rsidRDefault="00C54CA7" w:rsidP="00192909">
            <w:pPr>
              <w:keepNext/>
              <w:keepLines/>
              <w:spacing w:after="0" w:line="240" w:lineRule="auto"/>
              <w:rPr>
                <w:color w:val="000000"/>
                <w:sz w:val="22"/>
              </w:rPr>
            </w:pPr>
            <w:r w:rsidRPr="002203B6">
              <w:rPr>
                <w:sz w:val="22"/>
              </w:rPr>
              <w:t>Superficie des terres dégradées, récupérée dans les écosystèmes forestiers</w:t>
            </w:r>
          </w:p>
        </w:tc>
        <w:tc>
          <w:tcPr>
            <w:tcW w:w="943" w:type="pct"/>
            <w:vAlign w:val="center"/>
          </w:tcPr>
          <w:p w14:paraId="605FA6F3" w14:textId="769784D0" w:rsidR="00C54CA7" w:rsidRPr="002203B6" w:rsidRDefault="00C54CA7" w:rsidP="0001716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2203B6">
              <w:rPr>
                <w:sz w:val="22"/>
              </w:rPr>
              <w:t>4</w:t>
            </w:r>
            <w:r w:rsidR="00C8146D">
              <w:rPr>
                <w:sz w:val="22"/>
              </w:rPr>
              <w:t> </w:t>
            </w:r>
            <w:r w:rsidRPr="002203B6">
              <w:rPr>
                <w:sz w:val="22"/>
              </w:rPr>
              <w:t>630,6</w:t>
            </w:r>
          </w:p>
        </w:tc>
        <w:tc>
          <w:tcPr>
            <w:tcW w:w="825" w:type="pct"/>
            <w:vAlign w:val="center"/>
          </w:tcPr>
          <w:p w14:paraId="6E577ED6" w14:textId="2DCF0BD6" w:rsidR="00C54CA7" w:rsidRPr="002203B6" w:rsidRDefault="00C54CA7" w:rsidP="0001716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sz w:val="22"/>
                <w:highlight w:val="yellow"/>
              </w:rPr>
            </w:pPr>
            <w:r w:rsidRPr="002203B6">
              <w:rPr>
                <w:sz w:val="22"/>
              </w:rPr>
              <w:t>3</w:t>
            </w:r>
            <w:r w:rsidR="00C8146D">
              <w:rPr>
                <w:sz w:val="22"/>
              </w:rPr>
              <w:t> </w:t>
            </w:r>
            <w:r w:rsidRPr="002203B6">
              <w:rPr>
                <w:sz w:val="22"/>
              </w:rPr>
              <w:t>872,5</w:t>
            </w:r>
          </w:p>
        </w:tc>
        <w:tc>
          <w:tcPr>
            <w:tcW w:w="759" w:type="pct"/>
            <w:vAlign w:val="center"/>
          </w:tcPr>
          <w:p w14:paraId="651F2F7E" w14:textId="7B05D659" w:rsidR="00C54CA7" w:rsidRPr="002203B6" w:rsidRDefault="00C54CA7" w:rsidP="00017166">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rPr>
            </w:pPr>
            <w:r w:rsidRPr="002203B6">
              <w:rPr>
                <w:sz w:val="22"/>
              </w:rPr>
              <w:t>5</w:t>
            </w:r>
            <w:r w:rsidR="00C8146D">
              <w:rPr>
                <w:sz w:val="22"/>
              </w:rPr>
              <w:t> </w:t>
            </w:r>
            <w:r w:rsidRPr="002203B6">
              <w:rPr>
                <w:sz w:val="22"/>
              </w:rPr>
              <w:t>000</w:t>
            </w:r>
          </w:p>
        </w:tc>
      </w:tr>
    </w:tbl>
    <w:p w14:paraId="2B6AA2DE" w14:textId="04CA49A8" w:rsidR="00C54CA7" w:rsidRDefault="00C54CA7" w:rsidP="00C54CA7">
      <w:pPr>
        <w:shd w:val="clear" w:color="auto" w:fill="FFFFFF"/>
        <w:spacing w:after="0" w:line="240" w:lineRule="auto"/>
      </w:pPr>
      <w:r>
        <w:rPr>
          <w:b/>
          <w:sz w:val="20"/>
          <w:szCs w:val="20"/>
        </w:rPr>
        <w:t>Source</w:t>
      </w:r>
      <w:r>
        <w:rPr>
          <w:sz w:val="20"/>
          <w:szCs w:val="20"/>
        </w:rPr>
        <w:t xml:space="preserve"> : rapport </w:t>
      </w:r>
      <w:r w:rsidR="00192909">
        <w:rPr>
          <w:sz w:val="20"/>
          <w:szCs w:val="20"/>
        </w:rPr>
        <w:t xml:space="preserve">annuel </w:t>
      </w:r>
      <w:r>
        <w:rPr>
          <w:sz w:val="20"/>
          <w:szCs w:val="20"/>
        </w:rPr>
        <w:t xml:space="preserve">de performance </w:t>
      </w:r>
      <w:r w:rsidR="00192909">
        <w:rPr>
          <w:sz w:val="20"/>
          <w:szCs w:val="20"/>
        </w:rPr>
        <w:t xml:space="preserve">2023 </w:t>
      </w:r>
      <w:r>
        <w:rPr>
          <w:sz w:val="20"/>
          <w:szCs w:val="20"/>
        </w:rPr>
        <w:t>du CSD-PASP, février 2024</w:t>
      </w:r>
    </w:p>
    <w:p w14:paraId="34F6E827" w14:textId="38480E63"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Ainsi, en matière </w:t>
      </w:r>
      <w:r w:rsidRPr="00F175A7">
        <w:rPr>
          <w:rFonts w:eastAsia="Calibri"/>
          <w:b/>
          <w:szCs w:val="24"/>
        </w:rPr>
        <w:t>de renforcement de la résilience climatique des secteurs et domaines prioritaires (03112)</w:t>
      </w:r>
      <w:r w:rsidRPr="00C54CA7">
        <w:rPr>
          <w:rFonts w:eastAsia="Calibri"/>
          <w:szCs w:val="24"/>
        </w:rPr>
        <w:t>, les performances au 31 décembre 2023 sont satisfaisantes.</w:t>
      </w:r>
      <w:r w:rsidR="00066997">
        <w:rPr>
          <w:rFonts w:eastAsia="Calibri"/>
          <w:szCs w:val="24"/>
        </w:rPr>
        <w:t xml:space="preserve"> Des conventions de financement ont été signé</w:t>
      </w:r>
      <w:r w:rsidR="00C8146D">
        <w:rPr>
          <w:rFonts w:eastAsia="Calibri"/>
          <w:szCs w:val="24"/>
        </w:rPr>
        <w:t>e</w:t>
      </w:r>
      <w:r w:rsidR="00066997">
        <w:rPr>
          <w:rFonts w:eastAsia="Calibri"/>
          <w:szCs w:val="24"/>
        </w:rPr>
        <w:t>s entre l’Etat et les 21 communes</w:t>
      </w:r>
      <w:r w:rsidR="00066997" w:rsidRPr="009E0E50">
        <w:rPr>
          <w:rFonts w:eastAsia="Calibri"/>
          <w:szCs w:val="24"/>
        </w:rPr>
        <w:t xml:space="preserve"> </w:t>
      </w:r>
      <w:r w:rsidR="00066997">
        <w:rPr>
          <w:rFonts w:eastAsia="Calibri"/>
          <w:szCs w:val="24"/>
        </w:rPr>
        <w:t>ayant mis en œuvre leurs PDIC/REDD+ et la première tranche d’un montant de 1</w:t>
      </w:r>
      <w:r w:rsidR="00C8146D">
        <w:rPr>
          <w:rFonts w:eastAsia="Calibri"/>
          <w:szCs w:val="24"/>
        </w:rPr>
        <w:t>,</w:t>
      </w:r>
      <w:r w:rsidR="00066997">
        <w:rPr>
          <w:rFonts w:eastAsia="Calibri"/>
          <w:szCs w:val="24"/>
        </w:rPr>
        <w:t xml:space="preserve">260 </w:t>
      </w:r>
      <w:r w:rsidR="00492E24">
        <w:rPr>
          <w:rFonts w:eastAsia="Calibri"/>
          <w:szCs w:val="24"/>
        </w:rPr>
        <w:t>milliard</w:t>
      </w:r>
      <w:r w:rsidR="00C8146D">
        <w:rPr>
          <w:rFonts w:eastAsia="Calibri"/>
          <w:szCs w:val="24"/>
        </w:rPr>
        <w:t xml:space="preserve"> </w:t>
      </w:r>
      <w:r w:rsidR="00066997">
        <w:rPr>
          <w:rFonts w:eastAsia="Calibri"/>
          <w:szCs w:val="24"/>
        </w:rPr>
        <w:t>FCFA viré</w:t>
      </w:r>
      <w:r w:rsidR="00C8146D">
        <w:rPr>
          <w:rFonts w:eastAsia="Calibri"/>
          <w:szCs w:val="24"/>
        </w:rPr>
        <w:t>e</w:t>
      </w:r>
      <w:r w:rsidR="00066997">
        <w:rPr>
          <w:rFonts w:eastAsia="Calibri"/>
          <w:szCs w:val="24"/>
        </w:rPr>
        <w:t xml:space="preserve"> dans leurs comptes. Quant aux </w:t>
      </w:r>
      <w:proofErr w:type="spellStart"/>
      <w:r w:rsidR="00066997">
        <w:rPr>
          <w:rFonts w:eastAsia="Calibri"/>
          <w:szCs w:val="24"/>
        </w:rPr>
        <w:t>écovillages</w:t>
      </w:r>
      <w:proofErr w:type="spellEnd"/>
      <w:r w:rsidR="00066997">
        <w:rPr>
          <w:rFonts w:eastAsia="Calibri"/>
          <w:szCs w:val="24"/>
        </w:rPr>
        <w:t xml:space="preserve">, ce sont 15 villages sur 73 en cours de transformation </w:t>
      </w:r>
      <w:r w:rsidR="00C8146D">
        <w:rPr>
          <w:rFonts w:eastAsia="Calibri"/>
          <w:szCs w:val="24"/>
        </w:rPr>
        <w:t xml:space="preserve">qui ont </w:t>
      </w:r>
      <w:r w:rsidR="00066997">
        <w:rPr>
          <w:rFonts w:eastAsia="Calibri"/>
          <w:szCs w:val="24"/>
        </w:rPr>
        <w:t>bénéficié d’investissements d’un montant de 112,53 millions FCFA. La réalisation financière de cette action s’affiche à 1</w:t>
      </w:r>
      <w:r w:rsidR="00C8146D">
        <w:rPr>
          <w:rFonts w:eastAsia="Calibri"/>
          <w:szCs w:val="24"/>
        </w:rPr>
        <w:t>,37</w:t>
      </w:r>
      <w:r w:rsidR="00066997">
        <w:rPr>
          <w:rFonts w:eastAsia="Calibri"/>
          <w:szCs w:val="24"/>
        </w:rPr>
        <w:t xml:space="preserve"> milli</w:t>
      </w:r>
      <w:r w:rsidR="00C8146D">
        <w:rPr>
          <w:rFonts w:eastAsia="Calibri"/>
          <w:szCs w:val="24"/>
        </w:rPr>
        <w:t xml:space="preserve">ard </w:t>
      </w:r>
      <w:r w:rsidR="00066997">
        <w:rPr>
          <w:rFonts w:eastAsia="Calibri"/>
          <w:szCs w:val="24"/>
        </w:rPr>
        <w:t xml:space="preserve">FCFA sur </w:t>
      </w:r>
      <w:r w:rsidR="00C8146D">
        <w:rPr>
          <w:rFonts w:eastAsia="Calibri"/>
          <w:szCs w:val="24"/>
        </w:rPr>
        <w:t xml:space="preserve">une </w:t>
      </w:r>
      <w:r w:rsidR="00066997">
        <w:rPr>
          <w:rFonts w:eastAsia="Calibri"/>
          <w:szCs w:val="24"/>
        </w:rPr>
        <w:t>prévision de 7</w:t>
      </w:r>
      <w:r w:rsidR="00C8146D">
        <w:rPr>
          <w:rFonts w:eastAsia="Calibri"/>
          <w:szCs w:val="24"/>
        </w:rPr>
        <w:t xml:space="preserve">,5 milliards </w:t>
      </w:r>
      <w:r w:rsidR="00066997">
        <w:rPr>
          <w:rFonts w:eastAsia="Calibri"/>
          <w:szCs w:val="24"/>
        </w:rPr>
        <w:t>FCFA</w:t>
      </w:r>
      <w:r w:rsidR="00492E24">
        <w:rPr>
          <w:rFonts w:eastAsia="Calibri"/>
          <w:szCs w:val="24"/>
        </w:rPr>
        <w:t>,</w:t>
      </w:r>
      <w:r w:rsidR="00066997">
        <w:rPr>
          <w:rFonts w:eastAsia="Calibri"/>
          <w:szCs w:val="24"/>
        </w:rPr>
        <w:t xml:space="preserve"> soit un taux d’exécution de 18,30%.</w:t>
      </w:r>
    </w:p>
    <w:p w14:paraId="7F350146" w14:textId="77777777" w:rsidR="00C54CA7" w:rsidRPr="00C54CA7"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En matière de récupération des terres dégradées </w:t>
      </w:r>
      <w:r w:rsidRPr="00F175A7">
        <w:rPr>
          <w:rFonts w:eastAsia="Calibri"/>
          <w:b/>
          <w:szCs w:val="24"/>
        </w:rPr>
        <w:t xml:space="preserve">(Action 03113), la superficie récupérée dans les espaces agro-pastoraux </w:t>
      </w:r>
      <w:r w:rsidRPr="00C54CA7">
        <w:rPr>
          <w:rFonts w:eastAsia="Calibri"/>
          <w:szCs w:val="24"/>
        </w:rPr>
        <w:t xml:space="preserve">affiche un niveau satisfaisant en s’élevant au-dessus de la cible annuelle au 31 décembre 2023. Quant à la superficie récupérée dans les écosystèmes forestiers, elle s’affiche à 3 872,5 ha, en retrait aussi bien par rapport à sa cible (5000 ha) qu’à son niveau d’il y a un an. </w:t>
      </w:r>
    </w:p>
    <w:p w14:paraId="4436582B" w14:textId="09079FDE" w:rsidR="00B34581" w:rsidRPr="008279B8" w:rsidRDefault="00C54CA7" w:rsidP="00F175A7">
      <w:pPr>
        <w:numPr>
          <w:ilvl w:val="0"/>
          <w:numId w:val="8"/>
        </w:numPr>
        <w:shd w:val="clear" w:color="auto" w:fill="FFFFFF"/>
        <w:spacing w:before="120" w:after="120" w:line="240" w:lineRule="auto"/>
        <w:ind w:left="0"/>
        <w:rPr>
          <w:rFonts w:eastAsia="Calibri"/>
          <w:szCs w:val="24"/>
        </w:rPr>
      </w:pPr>
      <w:r w:rsidRPr="00C54CA7">
        <w:rPr>
          <w:rFonts w:eastAsia="Calibri"/>
          <w:szCs w:val="24"/>
        </w:rPr>
        <w:t>En terme</w:t>
      </w:r>
      <w:r w:rsidR="00492E24">
        <w:rPr>
          <w:rFonts w:eastAsia="Calibri"/>
          <w:szCs w:val="24"/>
        </w:rPr>
        <w:t>s</w:t>
      </w:r>
      <w:r w:rsidRPr="00C54CA7">
        <w:rPr>
          <w:rFonts w:eastAsia="Calibri"/>
          <w:szCs w:val="24"/>
        </w:rPr>
        <w:t xml:space="preserve"> financier</w:t>
      </w:r>
      <w:r w:rsidR="00492E24">
        <w:rPr>
          <w:rFonts w:eastAsia="Calibri"/>
          <w:szCs w:val="24"/>
        </w:rPr>
        <w:t>s</w:t>
      </w:r>
      <w:r w:rsidRPr="00C54CA7">
        <w:rPr>
          <w:rFonts w:eastAsia="Calibri"/>
          <w:szCs w:val="24"/>
        </w:rPr>
        <w:t xml:space="preserve">, le montant global de la mise en œuvre de l’action </w:t>
      </w:r>
      <w:r w:rsidR="00017166" w:rsidRPr="00D47C8F">
        <w:rPr>
          <w:rFonts w:eastAsia="Calibri"/>
          <w:szCs w:val="24"/>
        </w:rPr>
        <w:t>03113</w:t>
      </w:r>
      <w:r w:rsidR="00017166">
        <w:rPr>
          <w:rFonts w:eastAsia="Calibri"/>
          <w:szCs w:val="24"/>
        </w:rPr>
        <w:t xml:space="preserve"> </w:t>
      </w:r>
      <w:r w:rsidR="00017166" w:rsidRPr="007E57DF">
        <w:rPr>
          <w:rFonts w:eastAsia="Calibri"/>
          <w:szCs w:val="24"/>
        </w:rPr>
        <w:t xml:space="preserve">est de </w:t>
      </w:r>
      <w:r w:rsidR="00017166" w:rsidRPr="00640B23">
        <w:rPr>
          <w:rFonts w:eastAsia="Calibri"/>
          <w:szCs w:val="24"/>
        </w:rPr>
        <w:t>5</w:t>
      </w:r>
      <w:r w:rsidR="00017166">
        <w:rPr>
          <w:rFonts w:eastAsia="Calibri"/>
          <w:szCs w:val="24"/>
        </w:rPr>
        <w:t>,</w:t>
      </w:r>
      <w:r w:rsidR="00017166" w:rsidRPr="00640B23">
        <w:rPr>
          <w:rFonts w:eastAsia="Calibri"/>
          <w:szCs w:val="24"/>
        </w:rPr>
        <w:t>0</w:t>
      </w:r>
      <w:r w:rsidR="00017166">
        <w:rPr>
          <w:rFonts w:eastAsia="Calibri"/>
          <w:szCs w:val="24"/>
        </w:rPr>
        <w:t>30 milliards FC</w:t>
      </w:r>
      <w:r w:rsidR="00017166" w:rsidRPr="00640B23">
        <w:rPr>
          <w:rFonts w:eastAsia="Calibri"/>
          <w:szCs w:val="24"/>
        </w:rPr>
        <w:t>FA</w:t>
      </w:r>
      <w:r w:rsidR="00017166" w:rsidRPr="00D47C8F">
        <w:rPr>
          <w:rFonts w:eastAsia="Calibri"/>
          <w:szCs w:val="24"/>
        </w:rPr>
        <w:t xml:space="preserve"> sur </w:t>
      </w:r>
      <w:r w:rsidR="00017166">
        <w:rPr>
          <w:rFonts w:eastAsia="Calibri"/>
          <w:szCs w:val="24"/>
        </w:rPr>
        <w:t>une</w:t>
      </w:r>
      <w:r w:rsidR="00017166" w:rsidRPr="00D47C8F">
        <w:rPr>
          <w:rFonts w:eastAsia="Calibri"/>
          <w:szCs w:val="24"/>
        </w:rPr>
        <w:t xml:space="preserve"> prévision de </w:t>
      </w:r>
      <w:r w:rsidR="00017166" w:rsidRPr="00640B23">
        <w:rPr>
          <w:rFonts w:eastAsia="Calibri"/>
          <w:szCs w:val="24"/>
        </w:rPr>
        <w:t>4</w:t>
      </w:r>
      <w:r w:rsidR="00017166">
        <w:rPr>
          <w:rFonts w:eastAsia="Calibri"/>
          <w:szCs w:val="24"/>
        </w:rPr>
        <w:t>,</w:t>
      </w:r>
      <w:r w:rsidR="00017166" w:rsidRPr="00640B23">
        <w:rPr>
          <w:rFonts w:eastAsia="Calibri"/>
          <w:szCs w:val="24"/>
        </w:rPr>
        <w:t>59</w:t>
      </w:r>
      <w:r w:rsidR="00017166">
        <w:rPr>
          <w:rFonts w:eastAsia="Calibri"/>
          <w:szCs w:val="24"/>
        </w:rPr>
        <w:t>4 milliards FCFA</w:t>
      </w:r>
      <w:r w:rsidR="00017166" w:rsidRPr="00640B23">
        <w:rPr>
          <w:rFonts w:eastAsia="Calibri"/>
          <w:szCs w:val="24"/>
        </w:rPr>
        <w:t>, représentant un taux d’exécution financière de plus de 100%</w:t>
      </w:r>
      <w:r w:rsidR="00017166">
        <w:rPr>
          <w:rFonts w:eastAsia="Calibri"/>
          <w:szCs w:val="24"/>
        </w:rPr>
        <w:t>.</w:t>
      </w:r>
    </w:p>
    <w:p w14:paraId="5A596F09" w14:textId="77777777" w:rsidR="0043621C" w:rsidRPr="008D2129" w:rsidRDefault="0043621C" w:rsidP="0043621C"/>
    <w:p w14:paraId="0966D49E" w14:textId="291CA2D8" w:rsidR="0043621C" w:rsidRPr="00C54CA7" w:rsidRDefault="00EA252D" w:rsidP="00C54CA7">
      <w:pPr>
        <w:pStyle w:val="PAT4"/>
      </w:pPr>
      <w:bookmarkStart w:id="163" w:name="_Toc163141242"/>
      <w:r w:rsidRPr="008D2129">
        <w:t>Synthèse de la dynamisation des secteurs porteurs pour l'économie et des emplois</w:t>
      </w:r>
      <w:bookmarkEnd w:id="163"/>
    </w:p>
    <w:p w14:paraId="33AAB633" w14:textId="26132AE0" w:rsidR="0075006A" w:rsidRPr="0075006A" w:rsidRDefault="0075006A" w:rsidP="0042784A">
      <w:pPr>
        <w:numPr>
          <w:ilvl w:val="0"/>
          <w:numId w:val="8"/>
        </w:numPr>
        <w:shd w:val="clear" w:color="auto" w:fill="FFFFFF"/>
        <w:spacing w:before="120" w:after="120" w:line="240" w:lineRule="auto"/>
        <w:ind w:left="0"/>
        <w:rPr>
          <w:rFonts w:eastAsia="Calibri"/>
          <w:szCs w:val="24"/>
        </w:rPr>
      </w:pPr>
      <w:r w:rsidRPr="0075006A">
        <w:rPr>
          <w:rFonts w:eastAsia="Calibri"/>
          <w:szCs w:val="24"/>
        </w:rPr>
        <w:t>En matière de dynamisation des secteurs porteurs pour l'économie et les emplois (axe 4 de la PND), des acquis importants ont été engrangés dans la réalisation des actions ci-après présentées par objectif stratégique concerné de la PND.</w:t>
      </w:r>
    </w:p>
    <w:p w14:paraId="371C8B35" w14:textId="7C5DFC34" w:rsidR="0075006A" w:rsidRDefault="0075006A" w:rsidP="0075006A">
      <w:pPr>
        <w:numPr>
          <w:ilvl w:val="0"/>
          <w:numId w:val="8"/>
        </w:numPr>
        <w:shd w:val="clear" w:color="auto" w:fill="FFFFFF"/>
        <w:spacing w:before="120" w:after="120" w:line="240" w:lineRule="auto"/>
        <w:ind w:left="0"/>
        <w:rPr>
          <w:rFonts w:eastAsia="Calibri"/>
          <w:szCs w:val="24"/>
        </w:rPr>
      </w:pPr>
      <w:r>
        <w:rPr>
          <w:rFonts w:eastAsia="Calibri"/>
          <w:szCs w:val="24"/>
        </w:rPr>
        <w:t>Ainsi, à travers l’objectif stratégique 4.1, développer durablement un secteur agro-</w:t>
      </w:r>
      <w:proofErr w:type="spellStart"/>
      <w:r>
        <w:rPr>
          <w:rFonts w:eastAsia="Calibri"/>
          <w:szCs w:val="24"/>
        </w:rPr>
        <w:t>sylvo</w:t>
      </w:r>
      <w:proofErr w:type="spellEnd"/>
      <w:r>
        <w:rPr>
          <w:rFonts w:eastAsia="Calibri"/>
          <w:szCs w:val="24"/>
        </w:rPr>
        <w:t xml:space="preserve">-pastoral, faunique et halieutique productif et résilient, orienté vers le marché, les principaux acquis se situent d’abord au niveau du </w:t>
      </w:r>
      <w:r w:rsidRPr="00C54CA7">
        <w:rPr>
          <w:rFonts w:eastAsia="Calibri"/>
          <w:szCs w:val="24"/>
        </w:rPr>
        <w:t xml:space="preserve">développement de la production agricole </w:t>
      </w:r>
      <w:r w:rsidRPr="00C54CA7">
        <w:rPr>
          <w:rFonts w:eastAsia="Calibri"/>
          <w:szCs w:val="24"/>
        </w:rPr>
        <w:lastRenderedPageBreak/>
        <w:t>sous maîtrise d'eau (03071)</w:t>
      </w:r>
      <w:r>
        <w:rPr>
          <w:rFonts w:eastAsia="Calibri"/>
          <w:szCs w:val="24"/>
        </w:rPr>
        <w:t>, de l’amélioration de l’accès des ménages aux intrants et équipements de qualité (03002) et de l’amélioration de la santé animale et de la gestion durables d</w:t>
      </w:r>
      <w:r w:rsidR="00AF128B">
        <w:rPr>
          <w:rFonts w:eastAsia="Calibri"/>
          <w:szCs w:val="24"/>
        </w:rPr>
        <w:t>es ressources animales (03006).</w:t>
      </w:r>
    </w:p>
    <w:p w14:paraId="5D15516F" w14:textId="38E21BC2" w:rsidR="0075006A" w:rsidRPr="00C54CA7" w:rsidRDefault="0075006A" w:rsidP="0075006A">
      <w:pPr>
        <w:numPr>
          <w:ilvl w:val="0"/>
          <w:numId w:val="8"/>
        </w:numPr>
        <w:shd w:val="clear" w:color="auto" w:fill="FFFFFF"/>
        <w:spacing w:before="120" w:after="120" w:line="240" w:lineRule="auto"/>
        <w:ind w:left="0"/>
        <w:rPr>
          <w:rFonts w:eastAsia="Calibri"/>
          <w:szCs w:val="24"/>
        </w:rPr>
      </w:pPr>
      <w:r>
        <w:rPr>
          <w:rFonts w:eastAsia="Calibri"/>
          <w:szCs w:val="24"/>
        </w:rPr>
        <w:t xml:space="preserve">En faveur de ces trois actions, près de 2 000 ha de </w:t>
      </w:r>
      <w:r w:rsidRPr="00C54CA7">
        <w:rPr>
          <w:rFonts w:eastAsia="Calibri"/>
          <w:szCs w:val="24"/>
        </w:rPr>
        <w:t>bas-fonds et de périmètres irrigués</w:t>
      </w:r>
      <w:r>
        <w:rPr>
          <w:rFonts w:eastAsia="Calibri"/>
          <w:szCs w:val="24"/>
        </w:rPr>
        <w:t xml:space="preserve"> ont été aménagés et </w:t>
      </w:r>
      <w:r w:rsidRPr="00C54CA7">
        <w:rPr>
          <w:rFonts w:eastAsia="Calibri"/>
          <w:szCs w:val="24"/>
        </w:rPr>
        <w:t>710 équipements d’irrigation</w:t>
      </w:r>
      <w:r>
        <w:rPr>
          <w:rFonts w:eastAsia="Calibri"/>
          <w:szCs w:val="24"/>
        </w:rPr>
        <w:t xml:space="preserve">, 32 688 tonnes d’engrais et 7 079 tonnes de semences améliorées ont été mis à la disposition des producteurs. De même, </w:t>
      </w:r>
      <w:r w:rsidRPr="00C54CA7">
        <w:rPr>
          <w:rFonts w:eastAsia="Calibri"/>
          <w:szCs w:val="24"/>
        </w:rPr>
        <w:t>6</w:t>
      </w:r>
      <w:r>
        <w:rPr>
          <w:rFonts w:eastAsia="Calibri"/>
          <w:szCs w:val="24"/>
        </w:rPr>
        <w:t> </w:t>
      </w:r>
      <w:r w:rsidRPr="00C54CA7">
        <w:rPr>
          <w:rFonts w:eastAsia="Calibri"/>
          <w:szCs w:val="24"/>
        </w:rPr>
        <w:t>71</w:t>
      </w:r>
      <w:r>
        <w:rPr>
          <w:rFonts w:eastAsia="Calibri"/>
          <w:szCs w:val="24"/>
        </w:rPr>
        <w:t>7</w:t>
      </w:r>
      <w:r w:rsidRPr="00C54CA7">
        <w:rPr>
          <w:rFonts w:eastAsia="Calibri"/>
          <w:szCs w:val="24"/>
        </w:rPr>
        <w:t xml:space="preserve"> tonnes d'aliments concentrés, 607 tonnes de semences fourragères ainsi que 250 kits pour la production fourragère</w:t>
      </w:r>
      <w:r>
        <w:rPr>
          <w:rFonts w:eastAsia="Calibri"/>
          <w:szCs w:val="24"/>
        </w:rPr>
        <w:t xml:space="preserve"> ont été distribués </w:t>
      </w:r>
      <w:r w:rsidRPr="00C54CA7">
        <w:rPr>
          <w:rFonts w:eastAsia="Calibri"/>
          <w:szCs w:val="24"/>
        </w:rPr>
        <w:t>aux acteurs. A cela s’ajoute la vaccination de 18,53 millions de volaille</w:t>
      </w:r>
      <w:r>
        <w:rPr>
          <w:rFonts w:eastAsia="Calibri"/>
          <w:szCs w:val="24"/>
        </w:rPr>
        <w:t>s</w:t>
      </w:r>
      <w:r w:rsidRPr="00C54CA7">
        <w:rPr>
          <w:rFonts w:eastAsia="Calibri"/>
          <w:szCs w:val="24"/>
        </w:rPr>
        <w:t xml:space="preserve"> contre la MNC, de 2</w:t>
      </w:r>
      <w:r w:rsidR="00AF128B" w:rsidRPr="00036AFD">
        <w:rPr>
          <w:rFonts w:eastAsia="Calibri"/>
          <w:szCs w:val="24"/>
        </w:rPr>
        <w:t> </w:t>
      </w:r>
      <w:r w:rsidRPr="00C54CA7">
        <w:rPr>
          <w:rFonts w:eastAsia="Calibri"/>
          <w:szCs w:val="24"/>
        </w:rPr>
        <w:t>271,3 9 milliers de bovins contre la PPCB et</w:t>
      </w:r>
      <w:r>
        <w:rPr>
          <w:rFonts w:eastAsia="Calibri"/>
          <w:szCs w:val="24"/>
        </w:rPr>
        <w:t xml:space="preserve"> de </w:t>
      </w:r>
      <w:r w:rsidRPr="00C54CA7">
        <w:rPr>
          <w:rFonts w:eastAsia="Calibri"/>
          <w:szCs w:val="24"/>
        </w:rPr>
        <w:t>1</w:t>
      </w:r>
      <w:r>
        <w:rPr>
          <w:rFonts w:eastAsia="Calibri"/>
          <w:szCs w:val="24"/>
        </w:rPr>
        <w:t> </w:t>
      </w:r>
      <w:r w:rsidRPr="00C54CA7">
        <w:rPr>
          <w:rFonts w:eastAsia="Calibri"/>
          <w:szCs w:val="24"/>
        </w:rPr>
        <w:t>67</w:t>
      </w:r>
      <w:r>
        <w:rPr>
          <w:rFonts w:eastAsia="Calibri"/>
          <w:szCs w:val="24"/>
        </w:rPr>
        <w:t>3</w:t>
      </w:r>
      <w:r w:rsidRPr="00C54CA7">
        <w:rPr>
          <w:rFonts w:eastAsia="Calibri"/>
          <w:szCs w:val="24"/>
        </w:rPr>
        <w:t xml:space="preserve"> milliers de petits ruminants contre la PPR</w:t>
      </w:r>
      <w:r>
        <w:rPr>
          <w:rFonts w:eastAsia="Calibri"/>
          <w:szCs w:val="24"/>
        </w:rPr>
        <w:t>.</w:t>
      </w:r>
    </w:p>
    <w:p w14:paraId="15E1FFB8" w14:textId="77777777" w:rsidR="0075006A" w:rsidRPr="00C54CA7" w:rsidRDefault="0075006A" w:rsidP="0075006A">
      <w:pPr>
        <w:numPr>
          <w:ilvl w:val="0"/>
          <w:numId w:val="8"/>
        </w:numPr>
        <w:shd w:val="clear" w:color="auto" w:fill="FFFFFF"/>
        <w:spacing w:before="120" w:after="120" w:line="240" w:lineRule="auto"/>
        <w:ind w:left="0"/>
        <w:rPr>
          <w:rFonts w:eastAsia="Calibri"/>
          <w:szCs w:val="24"/>
        </w:rPr>
      </w:pPr>
      <w:r>
        <w:rPr>
          <w:rFonts w:eastAsia="Calibri"/>
          <w:szCs w:val="24"/>
        </w:rPr>
        <w:t>Ensuite, des avancées considérables ont également été enregistrées dans la réalisation des actions que sont, le</w:t>
      </w:r>
      <w:r w:rsidRPr="00C54CA7">
        <w:rPr>
          <w:rFonts w:eastAsia="Calibri"/>
          <w:szCs w:val="24"/>
        </w:rPr>
        <w:t xml:space="preserve"> renforcement de la professionnalisation des acteurs des filières ASPHF (action 030</w:t>
      </w:r>
      <w:r>
        <w:rPr>
          <w:rFonts w:eastAsia="Calibri"/>
          <w:szCs w:val="24"/>
        </w:rPr>
        <w:t>0</w:t>
      </w:r>
      <w:r w:rsidRPr="00C54CA7">
        <w:rPr>
          <w:rFonts w:eastAsia="Calibri"/>
          <w:szCs w:val="24"/>
        </w:rPr>
        <w:t>7)</w:t>
      </w:r>
      <w:r>
        <w:rPr>
          <w:rFonts w:eastAsia="Calibri"/>
          <w:szCs w:val="24"/>
        </w:rPr>
        <w:t>, l’opérationnalisation des réformes du secteur agro-</w:t>
      </w:r>
      <w:proofErr w:type="spellStart"/>
      <w:r>
        <w:rPr>
          <w:rFonts w:eastAsia="Calibri"/>
          <w:szCs w:val="24"/>
        </w:rPr>
        <w:t>sylvo</w:t>
      </w:r>
      <w:proofErr w:type="spellEnd"/>
      <w:r>
        <w:rPr>
          <w:rFonts w:eastAsia="Calibri"/>
          <w:szCs w:val="24"/>
        </w:rPr>
        <w:t>-pastoral (03005) et la sécurisation foncière des aménagements et des exploitations (03003). A travers ces actions, 919</w:t>
      </w:r>
      <w:r w:rsidRPr="00C54CA7">
        <w:rPr>
          <w:rFonts w:eastAsia="Calibri"/>
          <w:szCs w:val="24"/>
        </w:rPr>
        <w:t xml:space="preserve"> ha de plaines et bas-fonds ont été immatriculés, 11</w:t>
      </w:r>
      <w:r>
        <w:rPr>
          <w:rFonts w:eastAsia="Calibri"/>
          <w:szCs w:val="24"/>
        </w:rPr>
        <w:t> </w:t>
      </w:r>
      <w:r w:rsidRPr="00C54CA7">
        <w:rPr>
          <w:rFonts w:eastAsia="Calibri"/>
          <w:szCs w:val="24"/>
        </w:rPr>
        <w:t>567</w:t>
      </w:r>
      <w:r>
        <w:rPr>
          <w:rFonts w:eastAsia="Calibri"/>
          <w:szCs w:val="24"/>
        </w:rPr>
        <w:t xml:space="preserve"> </w:t>
      </w:r>
      <w:r w:rsidRPr="00C54CA7">
        <w:rPr>
          <w:rFonts w:eastAsia="Calibri"/>
          <w:szCs w:val="24"/>
        </w:rPr>
        <w:t xml:space="preserve">ha </w:t>
      </w:r>
      <w:r>
        <w:rPr>
          <w:rFonts w:eastAsia="Calibri"/>
          <w:szCs w:val="24"/>
        </w:rPr>
        <w:t xml:space="preserve">des </w:t>
      </w:r>
      <w:r w:rsidRPr="00C54CA7">
        <w:rPr>
          <w:rFonts w:eastAsia="Calibri"/>
          <w:szCs w:val="24"/>
        </w:rPr>
        <w:t xml:space="preserve">espaces pastoraux ont été balisés, </w:t>
      </w:r>
      <w:r>
        <w:rPr>
          <w:rFonts w:eastAsia="Calibri"/>
          <w:szCs w:val="24"/>
        </w:rPr>
        <w:t>35</w:t>
      </w:r>
      <w:r w:rsidRPr="00C54CA7">
        <w:rPr>
          <w:rFonts w:eastAsia="Calibri"/>
          <w:szCs w:val="24"/>
        </w:rPr>
        <w:t>7 de fermiers agricoles ont</w:t>
      </w:r>
      <w:r>
        <w:rPr>
          <w:rFonts w:eastAsia="Calibri"/>
          <w:szCs w:val="24"/>
        </w:rPr>
        <w:t xml:space="preserve"> été</w:t>
      </w:r>
      <w:r w:rsidRPr="00C54CA7">
        <w:rPr>
          <w:rFonts w:eastAsia="Calibri"/>
          <w:szCs w:val="24"/>
        </w:rPr>
        <w:t xml:space="preserve"> installés et 99 coopératives dans le domaine des PFNL </w:t>
      </w:r>
      <w:r>
        <w:rPr>
          <w:rFonts w:eastAsia="Calibri"/>
          <w:szCs w:val="24"/>
        </w:rPr>
        <w:t xml:space="preserve">ont été </w:t>
      </w:r>
      <w:r w:rsidRPr="00C54CA7">
        <w:rPr>
          <w:rFonts w:eastAsia="Calibri"/>
          <w:szCs w:val="24"/>
        </w:rPr>
        <w:t>mises en place.</w:t>
      </w:r>
      <w:r>
        <w:rPr>
          <w:rFonts w:eastAsia="Calibri"/>
          <w:szCs w:val="24"/>
        </w:rPr>
        <w:t xml:space="preserve"> On note aussi le fait que </w:t>
      </w:r>
      <w:r w:rsidRPr="00C54CA7">
        <w:rPr>
          <w:rFonts w:eastAsia="Calibri"/>
          <w:szCs w:val="24"/>
        </w:rPr>
        <w:t>937 fermiers agricoles ont</w:t>
      </w:r>
      <w:r>
        <w:rPr>
          <w:rFonts w:eastAsia="Calibri"/>
          <w:szCs w:val="24"/>
        </w:rPr>
        <w:t xml:space="preserve"> été formés dans l</w:t>
      </w:r>
      <w:r w:rsidRPr="00C54CA7">
        <w:rPr>
          <w:rFonts w:eastAsia="Calibri"/>
          <w:szCs w:val="24"/>
        </w:rPr>
        <w:t>es centres de formation professionnelle agricole (CFPA)</w:t>
      </w:r>
      <w:r>
        <w:rPr>
          <w:rFonts w:eastAsia="Calibri"/>
          <w:szCs w:val="24"/>
        </w:rPr>
        <w:t xml:space="preserve">. L’assurance agricole couvre désormais une superficie totale de cultures de 42 000ha. </w:t>
      </w:r>
    </w:p>
    <w:p w14:paraId="1A1BFB01" w14:textId="77777777" w:rsidR="0075006A" w:rsidRPr="00C54CA7" w:rsidRDefault="0075006A" w:rsidP="0075006A">
      <w:pPr>
        <w:numPr>
          <w:ilvl w:val="0"/>
          <w:numId w:val="8"/>
        </w:numPr>
        <w:shd w:val="clear" w:color="auto" w:fill="FFFFFF"/>
        <w:spacing w:before="120" w:after="120" w:line="240" w:lineRule="auto"/>
        <w:ind w:left="0"/>
        <w:rPr>
          <w:rFonts w:eastAsia="Calibri"/>
          <w:szCs w:val="24"/>
        </w:rPr>
      </w:pPr>
      <w:r w:rsidRPr="00C54CA7">
        <w:rPr>
          <w:rFonts w:eastAsia="Calibri"/>
          <w:szCs w:val="24"/>
        </w:rPr>
        <w:t>Au titre de la dynamisation de l’industrie manufacturière,</w:t>
      </w:r>
      <w:r>
        <w:rPr>
          <w:rFonts w:eastAsia="Calibri"/>
          <w:szCs w:val="24"/>
        </w:rPr>
        <w:t xml:space="preserve"> objectif stratégique 4.2 de la PND,</w:t>
      </w:r>
      <w:r w:rsidRPr="00C54CA7">
        <w:rPr>
          <w:rFonts w:eastAsia="Calibri"/>
          <w:szCs w:val="24"/>
        </w:rPr>
        <w:t xml:space="preserve"> les progrès </w:t>
      </w:r>
      <w:r>
        <w:rPr>
          <w:rFonts w:eastAsia="Calibri"/>
          <w:szCs w:val="24"/>
        </w:rPr>
        <w:t>les plus importants se situent au niveau</w:t>
      </w:r>
      <w:r w:rsidRPr="00C54CA7">
        <w:rPr>
          <w:rFonts w:eastAsia="Calibri"/>
          <w:szCs w:val="24"/>
        </w:rPr>
        <w:t xml:space="preserve"> : (i) </w:t>
      </w:r>
      <w:r>
        <w:rPr>
          <w:rFonts w:eastAsia="Calibri"/>
          <w:szCs w:val="24"/>
        </w:rPr>
        <w:t>de la r</w:t>
      </w:r>
      <w:r w:rsidRPr="00C54CA7">
        <w:rPr>
          <w:rFonts w:eastAsia="Calibri"/>
          <w:szCs w:val="24"/>
        </w:rPr>
        <w:t xml:space="preserve">elance des unités industrielles (action 03084) avec la restructuration de 40 entreprises en difficulté </w:t>
      </w:r>
      <w:r>
        <w:rPr>
          <w:rFonts w:eastAsia="Calibri"/>
          <w:szCs w:val="24"/>
        </w:rPr>
        <w:t>relevant</w:t>
      </w:r>
      <w:r w:rsidRPr="00C54CA7">
        <w:rPr>
          <w:rFonts w:eastAsia="Calibri"/>
          <w:szCs w:val="24"/>
        </w:rPr>
        <w:t xml:space="preserve"> de</w:t>
      </w:r>
      <w:r>
        <w:rPr>
          <w:rFonts w:eastAsia="Calibri"/>
          <w:szCs w:val="24"/>
        </w:rPr>
        <w:t xml:space="preserve">s branches </w:t>
      </w:r>
      <w:r w:rsidRPr="00C54CA7">
        <w:rPr>
          <w:rFonts w:eastAsia="Calibri"/>
          <w:szCs w:val="24"/>
        </w:rPr>
        <w:t>énergie solaire</w:t>
      </w:r>
      <w:r>
        <w:rPr>
          <w:rFonts w:eastAsia="Calibri"/>
          <w:szCs w:val="24"/>
        </w:rPr>
        <w:t xml:space="preserve">, </w:t>
      </w:r>
      <w:r w:rsidRPr="00C54CA7">
        <w:rPr>
          <w:rFonts w:eastAsia="Calibri"/>
          <w:szCs w:val="24"/>
        </w:rPr>
        <w:t>huile</w:t>
      </w:r>
      <w:r>
        <w:rPr>
          <w:rFonts w:eastAsia="Calibri"/>
          <w:szCs w:val="24"/>
        </w:rPr>
        <w:t>rie</w:t>
      </w:r>
      <w:r w:rsidRPr="00C54CA7">
        <w:rPr>
          <w:rFonts w:eastAsia="Calibri"/>
          <w:szCs w:val="24"/>
        </w:rPr>
        <w:t xml:space="preserve">, coton et dérivés </w:t>
      </w:r>
      <w:r>
        <w:rPr>
          <w:rFonts w:eastAsia="Calibri"/>
          <w:szCs w:val="24"/>
        </w:rPr>
        <w:t>ainsi que l’</w:t>
      </w:r>
      <w:r w:rsidRPr="00C54CA7">
        <w:rPr>
          <w:rFonts w:eastAsia="Calibri"/>
          <w:szCs w:val="24"/>
        </w:rPr>
        <w:t>incubation</w:t>
      </w:r>
      <w:r>
        <w:rPr>
          <w:rFonts w:eastAsia="Calibri"/>
          <w:szCs w:val="24"/>
        </w:rPr>
        <w:t xml:space="preserve"> </w:t>
      </w:r>
      <w:r w:rsidRPr="00C54CA7">
        <w:rPr>
          <w:rFonts w:eastAsia="Calibri"/>
          <w:szCs w:val="24"/>
        </w:rPr>
        <w:t>de 15 unités industrielle</w:t>
      </w:r>
      <w:r>
        <w:rPr>
          <w:rFonts w:eastAsia="Calibri"/>
          <w:szCs w:val="24"/>
        </w:rPr>
        <w:t>s</w:t>
      </w:r>
      <w:r w:rsidRPr="00C54CA7">
        <w:rPr>
          <w:rFonts w:eastAsia="Calibri"/>
          <w:szCs w:val="24"/>
        </w:rPr>
        <w:t xml:space="preserve">  ; (ii) la </w:t>
      </w:r>
      <w:r>
        <w:rPr>
          <w:rFonts w:eastAsia="Calibri"/>
          <w:szCs w:val="24"/>
        </w:rPr>
        <w:t>p</w:t>
      </w:r>
      <w:r w:rsidRPr="00C54CA7">
        <w:rPr>
          <w:rFonts w:eastAsia="Calibri"/>
          <w:szCs w:val="24"/>
        </w:rPr>
        <w:t>romotion de l'activité industrielle (action 03085) avec l</w:t>
      </w:r>
      <w:r>
        <w:rPr>
          <w:rFonts w:eastAsia="Calibri"/>
          <w:szCs w:val="24"/>
        </w:rPr>
        <w:t>’</w:t>
      </w:r>
      <w:r w:rsidRPr="00C54CA7">
        <w:rPr>
          <w:rFonts w:eastAsia="Calibri"/>
          <w:szCs w:val="24"/>
        </w:rPr>
        <w:t>a</w:t>
      </w:r>
      <w:r>
        <w:rPr>
          <w:rFonts w:eastAsia="Calibri"/>
          <w:szCs w:val="24"/>
        </w:rPr>
        <w:t xml:space="preserve">ppui </w:t>
      </w:r>
      <w:r w:rsidRPr="00C54CA7">
        <w:rPr>
          <w:rFonts w:eastAsia="Calibri"/>
          <w:szCs w:val="24"/>
        </w:rPr>
        <w:t>en kits de production</w:t>
      </w:r>
      <w:r>
        <w:rPr>
          <w:rFonts w:eastAsia="Calibri"/>
          <w:szCs w:val="24"/>
        </w:rPr>
        <w:t xml:space="preserve"> donné à </w:t>
      </w:r>
      <w:r w:rsidRPr="00C54CA7">
        <w:rPr>
          <w:rFonts w:eastAsia="Calibri"/>
          <w:szCs w:val="24"/>
        </w:rPr>
        <w:t>162 unités de</w:t>
      </w:r>
      <w:r>
        <w:rPr>
          <w:rFonts w:eastAsia="Calibri"/>
          <w:szCs w:val="24"/>
        </w:rPr>
        <w:t xml:space="preserve"> production et de</w:t>
      </w:r>
      <w:r w:rsidRPr="00C54CA7">
        <w:rPr>
          <w:rFonts w:eastAsia="Calibri"/>
          <w:szCs w:val="24"/>
        </w:rPr>
        <w:t xml:space="preserve"> transformation des produits locaux et</w:t>
      </w:r>
      <w:r>
        <w:rPr>
          <w:rFonts w:eastAsia="Calibri"/>
          <w:szCs w:val="24"/>
        </w:rPr>
        <w:t xml:space="preserve"> à</w:t>
      </w:r>
      <w:r w:rsidRPr="00C54CA7">
        <w:rPr>
          <w:rFonts w:eastAsia="Calibri"/>
          <w:szCs w:val="24"/>
        </w:rPr>
        <w:t xml:space="preserve"> 120 PDI </w:t>
      </w:r>
      <w:r>
        <w:rPr>
          <w:rFonts w:eastAsia="Calibri"/>
          <w:szCs w:val="24"/>
        </w:rPr>
        <w:t xml:space="preserve">producteurs </w:t>
      </w:r>
      <w:r w:rsidRPr="00C54CA7">
        <w:rPr>
          <w:rFonts w:eastAsia="Calibri"/>
          <w:szCs w:val="24"/>
        </w:rPr>
        <w:t>et associations de PDI, le lancement des travaux de construction de l’unité de transformation d</w:t>
      </w:r>
      <w:r>
        <w:rPr>
          <w:rFonts w:eastAsia="Calibri"/>
          <w:szCs w:val="24"/>
        </w:rPr>
        <w:t>e t</w:t>
      </w:r>
      <w:r w:rsidRPr="00C54CA7">
        <w:rPr>
          <w:rFonts w:eastAsia="Calibri"/>
          <w:szCs w:val="24"/>
        </w:rPr>
        <w:t>omate à Bobo</w:t>
      </w:r>
      <w:r>
        <w:rPr>
          <w:rFonts w:eastAsia="Calibri"/>
          <w:szCs w:val="24"/>
        </w:rPr>
        <w:t>-</w:t>
      </w:r>
      <w:r w:rsidRPr="00C54CA7">
        <w:rPr>
          <w:rFonts w:eastAsia="Calibri"/>
          <w:szCs w:val="24"/>
        </w:rPr>
        <w:t xml:space="preserve">Dioulasso </w:t>
      </w:r>
      <w:r>
        <w:rPr>
          <w:rFonts w:eastAsia="Calibri"/>
          <w:szCs w:val="24"/>
        </w:rPr>
        <w:t>dans le cadre des activités de l’APEC</w:t>
      </w:r>
      <w:r w:rsidRPr="00C54CA7">
        <w:rPr>
          <w:rFonts w:eastAsia="Calibri"/>
          <w:szCs w:val="24"/>
        </w:rPr>
        <w:t>.</w:t>
      </w:r>
    </w:p>
    <w:p w14:paraId="3E7921F1" w14:textId="77777777" w:rsidR="0075006A" w:rsidRPr="00C54CA7" w:rsidRDefault="0075006A" w:rsidP="0075006A">
      <w:pPr>
        <w:numPr>
          <w:ilvl w:val="0"/>
          <w:numId w:val="8"/>
        </w:numPr>
        <w:shd w:val="clear" w:color="auto" w:fill="FFFFFF"/>
        <w:spacing w:before="120" w:after="120" w:line="240" w:lineRule="auto"/>
        <w:ind w:left="0"/>
        <w:rPr>
          <w:rFonts w:eastAsia="Calibri"/>
          <w:szCs w:val="24"/>
        </w:rPr>
      </w:pPr>
      <w:r w:rsidRPr="00C54CA7">
        <w:rPr>
          <w:rFonts w:eastAsia="Calibri"/>
          <w:szCs w:val="24"/>
        </w:rPr>
        <w:t>Dans le domaine de la promotion de la culture</w:t>
      </w:r>
      <w:r>
        <w:rPr>
          <w:rFonts w:eastAsia="Calibri"/>
          <w:szCs w:val="24"/>
        </w:rPr>
        <w:t>,</w:t>
      </w:r>
      <w:r w:rsidRPr="00C54CA7">
        <w:rPr>
          <w:rFonts w:eastAsia="Calibri"/>
          <w:szCs w:val="24"/>
        </w:rPr>
        <w:t xml:space="preserve"> du tourisme</w:t>
      </w:r>
      <w:r>
        <w:rPr>
          <w:rFonts w:eastAsia="Calibri"/>
          <w:szCs w:val="24"/>
        </w:rPr>
        <w:t xml:space="preserve">, </w:t>
      </w:r>
      <w:r w:rsidRPr="00C54CA7">
        <w:rPr>
          <w:rFonts w:eastAsia="Calibri"/>
          <w:szCs w:val="24"/>
        </w:rPr>
        <w:t>des arts et de l’artisanat</w:t>
      </w:r>
      <w:r>
        <w:rPr>
          <w:rFonts w:eastAsia="Calibri"/>
          <w:szCs w:val="24"/>
        </w:rPr>
        <w:t xml:space="preserve">, qui relève également de l’objectif stratégique 4.2 de la PND, </w:t>
      </w:r>
      <w:r w:rsidRPr="00C54CA7">
        <w:rPr>
          <w:rFonts w:eastAsia="Calibri"/>
          <w:szCs w:val="24"/>
        </w:rPr>
        <w:t>les principaux acquis portent sur :(i) la formation de 6 063 artistes et l’exportation de 156 841 objets culturels ; (ii) le soutien à sept (07) manifestations de promotion du livre</w:t>
      </w:r>
      <w:r>
        <w:rPr>
          <w:rFonts w:eastAsia="Calibri"/>
          <w:szCs w:val="24"/>
        </w:rPr>
        <w:t> ;</w:t>
      </w:r>
      <w:r w:rsidRPr="00C54CA7">
        <w:rPr>
          <w:rFonts w:eastAsia="Calibri"/>
          <w:szCs w:val="24"/>
        </w:rPr>
        <w:t xml:space="preserve"> (i</w:t>
      </w:r>
      <w:r>
        <w:rPr>
          <w:rFonts w:eastAsia="Calibri"/>
          <w:szCs w:val="24"/>
        </w:rPr>
        <w:t>ii</w:t>
      </w:r>
      <w:r w:rsidRPr="00C54CA7">
        <w:rPr>
          <w:rFonts w:eastAsia="Calibri"/>
          <w:szCs w:val="24"/>
        </w:rPr>
        <w:t xml:space="preserve">) l’organisation </w:t>
      </w:r>
      <w:r>
        <w:rPr>
          <w:rFonts w:eastAsia="Calibri"/>
          <w:szCs w:val="24"/>
        </w:rPr>
        <w:t>de la 16</w:t>
      </w:r>
      <w:r w:rsidRPr="00345EBE">
        <w:rPr>
          <w:rFonts w:eastAsia="Calibri"/>
          <w:szCs w:val="24"/>
          <w:vertAlign w:val="superscript"/>
        </w:rPr>
        <w:t>e</w:t>
      </w:r>
      <w:r>
        <w:rPr>
          <w:rFonts w:eastAsia="Calibri"/>
          <w:szCs w:val="24"/>
        </w:rPr>
        <w:t xml:space="preserve"> édition du Salon international de l’artisanat de Ouagadougou (SIAO) et de la 4</w:t>
      </w:r>
      <w:r w:rsidRPr="00345EBE">
        <w:rPr>
          <w:rFonts w:eastAsia="Calibri"/>
          <w:szCs w:val="24"/>
          <w:vertAlign w:val="superscript"/>
        </w:rPr>
        <w:t>e</w:t>
      </w:r>
      <w:r>
        <w:rPr>
          <w:rFonts w:eastAsia="Calibri"/>
          <w:szCs w:val="24"/>
        </w:rPr>
        <w:t xml:space="preserve"> édition du Salon régional de l’artisanat (SARA</w:t>
      </w:r>
      <w:r w:rsidRPr="00C54CA7">
        <w:rPr>
          <w:rFonts w:eastAsia="Calibri"/>
          <w:szCs w:val="24"/>
        </w:rPr>
        <w:t>) ; (</w:t>
      </w:r>
      <w:r>
        <w:rPr>
          <w:rFonts w:eastAsia="Calibri"/>
          <w:szCs w:val="24"/>
        </w:rPr>
        <w:t>i</w:t>
      </w:r>
      <w:r w:rsidRPr="00C54CA7">
        <w:rPr>
          <w:rFonts w:eastAsia="Calibri"/>
          <w:szCs w:val="24"/>
        </w:rPr>
        <w:t>v) l’octroi de 943,</w:t>
      </w:r>
      <w:r>
        <w:rPr>
          <w:rFonts w:eastAsia="Calibri"/>
          <w:szCs w:val="24"/>
        </w:rPr>
        <w:t>8</w:t>
      </w:r>
      <w:r w:rsidRPr="00C54CA7">
        <w:rPr>
          <w:rFonts w:eastAsia="Calibri"/>
          <w:szCs w:val="24"/>
        </w:rPr>
        <w:t xml:space="preserve"> millions FCFA de crédit aux artisans; (v) la mise en œuvre de 13 initiatives de développement du tourisme dans les régions et (vi) l’appui financier à 33 opérateurs culturels et touristiques d’une valeur de 325,</w:t>
      </w:r>
      <w:r>
        <w:rPr>
          <w:rFonts w:eastAsia="Calibri"/>
          <w:szCs w:val="24"/>
        </w:rPr>
        <w:t>4</w:t>
      </w:r>
      <w:r w:rsidRPr="00C54CA7">
        <w:rPr>
          <w:rFonts w:eastAsia="Calibri"/>
          <w:szCs w:val="24"/>
        </w:rPr>
        <w:t xml:space="preserve"> millions FCFA et (vii) la tenue de cinq manifestations majeures de promotion culturelle et touristique (FESPACO, SNC, FILO, PNET et SITHO/VITHRO).</w:t>
      </w:r>
    </w:p>
    <w:p w14:paraId="4817E674" w14:textId="77777777" w:rsidR="0075006A" w:rsidRPr="00C54CA7" w:rsidRDefault="0075006A" w:rsidP="0075006A">
      <w:pPr>
        <w:numPr>
          <w:ilvl w:val="0"/>
          <w:numId w:val="8"/>
        </w:numPr>
        <w:shd w:val="clear" w:color="auto" w:fill="FFFFFF"/>
        <w:spacing w:before="120" w:after="120" w:line="240" w:lineRule="auto"/>
        <w:ind w:left="0"/>
        <w:rPr>
          <w:rFonts w:eastAsia="Calibri"/>
          <w:szCs w:val="24"/>
        </w:rPr>
      </w:pPr>
      <w:r>
        <w:rPr>
          <w:rFonts w:eastAsia="Calibri"/>
          <w:szCs w:val="24"/>
        </w:rPr>
        <w:t xml:space="preserve">Pour ce qui est du sous-secteur </w:t>
      </w:r>
      <w:r w:rsidRPr="00C54CA7">
        <w:rPr>
          <w:rFonts w:eastAsia="Calibri"/>
          <w:szCs w:val="24"/>
        </w:rPr>
        <w:t xml:space="preserve">de l’industrie minière, les acquis </w:t>
      </w:r>
      <w:r>
        <w:rPr>
          <w:rFonts w:eastAsia="Calibri"/>
          <w:szCs w:val="24"/>
        </w:rPr>
        <w:t xml:space="preserve">majeurs </w:t>
      </w:r>
      <w:r w:rsidRPr="00C54CA7">
        <w:rPr>
          <w:rFonts w:eastAsia="Calibri"/>
          <w:szCs w:val="24"/>
        </w:rPr>
        <w:t xml:space="preserve">portent </w:t>
      </w:r>
      <w:r>
        <w:rPr>
          <w:rFonts w:eastAsia="Calibri"/>
          <w:szCs w:val="24"/>
        </w:rPr>
        <w:t xml:space="preserve">d’abord </w:t>
      </w:r>
      <w:r w:rsidRPr="00C54CA7">
        <w:rPr>
          <w:rFonts w:eastAsia="Calibri"/>
          <w:szCs w:val="24"/>
        </w:rPr>
        <w:t>sur l’amélioration de l’assainissement du</w:t>
      </w:r>
      <w:r>
        <w:rPr>
          <w:rFonts w:eastAsia="Calibri"/>
          <w:szCs w:val="24"/>
        </w:rPr>
        <w:t xml:space="preserve"> cadastre minier (03064)</w:t>
      </w:r>
      <w:r w:rsidRPr="00C54CA7">
        <w:rPr>
          <w:rFonts w:eastAsia="Calibri"/>
          <w:szCs w:val="24"/>
        </w:rPr>
        <w:t xml:space="preserve"> et </w:t>
      </w:r>
      <w:r>
        <w:rPr>
          <w:rFonts w:eastAsia="Calibri"/>
          <w:szCs w:val="24"/>
        </w:rPr>
        <w:t xml:space="preserve">la lutte contre le faux, le blanchiment de capitaux et le financement du terrorisme dans </w:t>
      </w:r>
      <w:r w:rsidRPr="00C54CA7">
        <w:rPr>
          <w:rFonts w:eastAsia="Calibri"/>
          <w:szCs w:val="24"/>
        </w:rPr>
        <w:t>l</w:t>
      </w:r>
      <w:r>
        <w:rPr>
          <w:rFonts w:eastAsia="Calibri"/>
          <w:szCs w:val="24"/>
        </w:rPr>
        <w:t xml:space="preserve">e secteur (03063). A ce </w:t>
      </w:r>
      <w:r>
        <w:rPr>
          <w:rFonts w:eastAsia="Calibri"/>
          <w:szCs w:val="24"/>
        </w:rPr>
        <w:lastRenderedPageBreak/>
        <w:t xml:space="preserve">double niveau, plus </w:t>
      </w:r>
      <w:r w:rsidRPr="00C54CA7">
        <w:rPr>
          <w:rFonts w:eastAsia="Calibri"/>
          <w:szCs w:val="24"/>
        </w:rPr>
        <w:t>de 10 075</w:t>
      </w:r>
      <w:r>
        <w:rPr>
          <w:rFonts w:eastAsia="Calibri"/>
          <w:szCs w:val="24"/>
        </w:rPr>
        <w:t xml:space="preserve"> </w:t>
      </w:r>
      <w:r w:rsidRPr="00C54CA7">
        <w:rPr>
          <w:rFonts w:eastAsia="Calibri"/>
          <w:szCs w:val="24"/>
        </w:rPr>
        <w:t xml:space="preserve">grammes d’or </w:t>
      </w:r>
      <w:r>
        <w:rPr>
          <w:rFonts w:eastAsia="Calibri"/>
          <w:szCs w:val="24"/>
        </w:rPr>
        <w:t xml:space="preserve">ont été saisis en 2023 </w:t>
      </w:r>
      <w:r w:rsidRPr="00C00E41">
        <w:rPr>
          <w:rFonts w:eastAsia="Calibri"/>
          <w:szCs w:val="24"/>
        </w:rPr>
        <w:t xml:space="preserve">et </w:t>
      </w:r>
      <w:r w:rsidRPr="0042784A">
        <w:rPr>
          <w:rFonts w:eastAsia="Calibri"/>
          <w:szCs w:val="24"/>
        </w:rPr>
        <w:t>le code minier a été relu et de nouveaux textes législatifs et réglementaires dans le processus d'octroi des titres miniers ont été adoptés</w:t>
      </w:r>
      <w:r w:rsidRPr="00C00E41">
        <w:rPr>
          <w:rFonts w:eastAsia="Calibri"/>
          <w:szCs w:val="24"/>
        </w:rPr>
        <w:t>. On note également le lancement des travaux de construction de la raffinerie d’or de Ouagadougou (03068) et l’achèvement de la construction</w:t>
      </w:r>
      <w:r w:rsidRPr="00C54CA7">
        <w:rPr>
          <w:rFonts w:eastAsia="Calibri"/>
          <w:szCs w:val="24"/>
        </w:rPr>
        <w:t xml:space="preserve"> d</w:t>
      </w:r>
      <w:r>
        <w:rPr>
          <w:rFonts w:eastAsia="Calibri"/>
          <w:szCs w:val="24"/>
        </w:rPr>
        <w:t>e l’</w:t>
      </w:r>
      <w:r w:rsidRPr="00C54CA7">
        <w:rPr>
          <w:rFonts w:eastAsia="Calibri"/>
          <w:szCs w:val="24"/>
        </w:rPr>
        <w:t xml:space="preserve">unité de traitement des rejets des mines </w:t>
      </w:r>
      <w:r>
        <w:rPr>
          <w:rFonts w:eastAsia="Calibri"/>
          <w:szCs w:val="24"/>
        </w:rPr>
        <w:t>(03069).</w:t>
      </w:r>
    </w:p>
    <w:p w14:paraId="57F0CA0E" w14:textId="77777777" w:rsidR="0075006A" w:rsidRPr="00C54CA7" w:rsidRDefault="0075006A" w:rsidP="0075006A">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En matière de promotion du commerce et d’expansion des services à forte valeur ajoutée, </w:t>
      </w:r>
      <w:r>
        <w:rPr>
          <w:rFonts w:eastAsia="Calibri"/>
          <w:szCs w:val="24"/>
        </w:rPr>
        <w:t xml:space="preserve">(objectif stratégique 4.3 de la PND), </w:t>
      </w:r>
      <w:r w:rsidRPr="00C54CA7">
        <w:rPr>
          <w:rFonts w:eastAsia="Calibri"/>
          <w:szCs w:val="24"/>
        </w:rPr>
        <w:t xml:space="preserve">les </w:t>
      </w:r>
      <w:r>
        <w:rPr>
          <w:rFonts w:eastAsia="Calibri"/>
          <w:szCs w:val="24"/>
        </w:rPr>
        <w:t xml:space="preserve">principaux </w:t>
      </w:r>
      <w:r w:rsidRPr="00C54CA7">
        <w:rPr>
          <w:rFonts w:eastAsia="Calibri"/>
          <w:szCs w:val="24"/>
        </w:rPr>
        <w:t xml:space="preserve">acquis enregistrés </w:t>
      </w:r>
      <w:r>
        <w:rPr>
          <w:rFonts w:eastAsia="Calibri"/>
          <w:szCs w:val="24"/>
        </w:rPr>
        <w:t xml:space="preserve">en </w:t>
      </w:r>
      <w:r w:rsidRPr="00C54CA7">
        <w:rPr>
          <w:rFonts w:eastAsia="Calibri"/>
          <w:szCs w:val="24"/>
        </w:rPr>
        <w:t xml:space="preserve">2023 sont </w:t>
      </w:r>
      <w:r>
        <w:rPr>
          <w:rFonts w:eastAsia="Calibri"/>
          <w:szCs w:val="24"/>
        </w:rPr>
        <w:t>notamment</w:t>
      </w:r>
      <w:r w:rsidRPr="00C54CA7">
        <w:rPr>
          <w:rFonts w:eastAsia="Calibri"/>
          <w:szCs w:val="24"/>
        </w:rPr>
        <w:t xml:space="preserve"> : (i) le financement de 102 médias ; (ii) la création de 259 emplois supplémentaires dans les médias ; (iii) la signature de cinq (05) accords de services aériens (ASA) ou/et de mémorandums d’entente (MOU) ; (iv) l’opérationnalisation de l’Observatoire de la qualité des services financiers à travers l’adoption des textes d’application du décret de création du plan d’action 2023-2025</w:t>
      </w:r>
      <w:r>
        <w:rPr>
          <w:rFonts w:eastAsia="Calibri"/>
          <w:szCs w:val="24"/>
        </w:rPr>
        <w:t>,</w:t>
      </w:r>
      <w:r w:rsidRPr="00C54CA7">
        <w:rPr>
          <w:rFonts w:eastAsia="Calibri"/>
          <w:szCs w:val="24"/>
        </w:rPr>
        <w:t xml:space="preserve"> la nomination de quatre médiateurs financiers </w:t>
      </w:r>
      <w:r>
        <w:rPr>
          <w:rFonts w:eastAsia="Calibri"/>
          <w:szCs w:val="24"/>
        </w:rPr>
        <w:t>ainsi que</w:t>
      </w:r>
      <w:r w:rsidRPr="00C54CA7">
        <w:rPr>
          <w:rFonts w:eastAsia="Calibri"/>
          <w:szCs w:val="24"/>
        </w:rPr>
        <w:t xml:space="preserve"> la formation de 9 234 personnes en éducation financière. </w:t>
      </w:r>
      <w:r>
        <w:rPr>
          <w:rFonts w:eastAsia="Calibri"/>
          <w:szCs w:val="24"/>
        </w:rPr>
        <w:t>En</w:t>
      </w:r>
      <w:r w:rsidRPr="00C54CA7">
        <w:rPr>
          <w:rFonts w:eastAsia="Calibri"/>
          <w:szCs w:val="24"/>
        </w:rPr>
        <w:t xml:space="preserve"> ce qui concerne la promotion du commerce, les principales réalisations portent sur le contrôle de 15</w:t>
      </w:r>
      <w:r>
        <w:rPr>
          <w:rFonts w:eastAsia="Calibri"/>
          <w:szCs w:val="24"/>
        </w:rPr>
        <w:t> </w:t>
      </w:r>
      <w:r w:rsidRPr="00C54CA7">
        <w:rPr>
          <w:rFonts w:eastAsia="Calibri"/>
          <w:szCs w:val="24"/>
        </w:rPr>
        <w:t>313 commerçants sur les prix, la qualité et la lutte contre la fraude.</w:t>
      </w:r>
    </w:p>
    <w:p w14:paraId="3F2A1B19" w14:textId="25BCC516" w:rsidR="00C00E41" w:rsidRDefault="0075006A" w:rsidP="0075006A">
      <w:pPr>
        <w:numPr>
          <w:ilvl w:val="0"/>
          <w:numId w:val="8"/>
        </w:numPr>
        <w:shd w:val="clear" w:color="auto" w:fill="FFFFFF"/>
        <w:spacing w:before="120" w:after="120" w:line="240" w:lineRule="auto"/>
        <w:ind w:left="0"/>
        <w:rPr>
          <w:rFonts w:eastAsia="Calibri"/>
          <w:szCs w:val="24"/>
        </w:rPr>
      </w:pPr>
      <w:r w:rsidRPr="00C54CA7">
        <w:rPr>
          <w:rFonts w:eastAsia="Calibri"/>
          <w:szCs w:val="24"/>
        </w:rPr>
        <w:t xml:space="preserve">Dans le domaine des infrastructures hydrauliques, </w:t>
      </w:r>
      <w:r>
        <w:rPr>
          <w:rFonts w:eastAsia="Calibri"/>
          <w:szCs w:val="24"/>
        </w:rPr>
        <w:t xml:space="preserve">énergétiques, </w:t>
      </w:r>
      <w:r w:rsidRPr="00C54CA7">
        <w:rPr>
          <w:rFonts w:eastAsia="Calibri"/>
          <w:szCs w:val="24"/>
        </w:rPr>
        <w:t xml:space="preserve">routières, aéroportuaires et sportives, </w:t>
      </w:r>
      <w:r>
        <w:rPr>
          <w:rFonts w:eastAsia="Calibri"/>
          <w:szCs w:val="24"/>
        </w:rPr>
        <w:t xml:space="preserve">objectif stratégique 4.4 de la PND, </w:t>
      </w:r>
      <w:r w:rsidRPr="00C54CA7">
        <w:rPr>
          <w:rFonts w:eastAsia="Calibri"/>
          <w:szCs w:val="24"/>
        </w:rPr>
        <w:t xml:space="preserve">les </w:t>
      </w:r>
      <w:r>
        <w:rPr>
          <w:rFonts w:eastAsia="Calibri"/>
          <w:szCs w:val="24"/>
        </w:rPr>
        <w:t>acquis majeurs par action concernée se présentent comme suit</w:t>
      </w:r>
      <w:r w:rsidRPr="00C54CA7">
        <w:rPr>
          <w:rFonts w:eastAsia="Calibri"/>
          <w:szCs w:val="24"/>
        </w:rPr>
        <w:t xml:space="preserve">: (i) la réalisation de trois (03) nouveaux barrages, l’entretien de 17 barrages et la sécurisation de deux (02) </w:t>
      </w:r>
      <w:r>
        <w:rPr>
          <w:rFonts w:eastAsia="Calibri"/>
          <w:szCs w:val="24"/>
        </w:rPr>
        <w:t>dans le cadre de la relance des travaux d’infrastructures hydrauliques (03036) et de l’entretien et maintenance des ouvrages de mobilisation des ressources en eau (03037)</w:t>
      </w:r>
      <w:r w:rsidRPr="00C54CA7">
        <w:rPr>
          <w:rFonts w:eastAsia="Calibri"/>
          <w:szCs w:val="24"/>
        </w:rPr>
        <w:t xml:space="preserve"> ; (ii) l’accroissement de la puissance installée de 92 </w:t>
      </w:r>
      <w:proofErr w:type="spellStart"/>
      <w:r w:rsidRPr="00C54CA7">
        <w:rPr>
          <w:rFonts w:eastAsia="Calibri"/>
          <w:szCs w:val="24"/>
        </w:rPr>
        <w:t>MWc</w:t>
      </w:r>
      <w:proofErr w:type="spellEnd"/>
      <w:r w:rsidRPr="00C54CA7">
        <w:rPr>
          <w:rFonts w:eastAsia="Calibri"/>
          <w:szCs w:val="24"/>
        </w:rPr>
        <w:t xml:space="preserve"> avec la mise en service des centrales solaires de Pa et de </w:t>
      </w:r>
      <w:proofErr w:type="spellStart"/>
      <w:r w:rsidRPr="00C54CA7">
        <w:rPr>
          <w:rFonts w:eastAsia="Calibri"/>
          <w:szCs w:val="24"/>
        </w:rPr>
        <w:t>Kodéni</w:t>
      </w:r>
      <w:proofErr w:type="spellEnd"/>
      <w:r w:rsidRPr="00C54CA7">
        <w:rPr>
          <w:rFonts w:eastAsia="Calibri"/>
          <w:szCs w:val="24"/>
        </w:rPr>
        <w:t xml:space="preserve"> </w:t>
      </w:r>
      <w:r>
        <w:rPr>
          <w:rFonts w:eastAsia="Calibri"/>
          <w:szCs w:val="24"/>
        </w:rPr>
        <w:t xml:space="preserve">pour ce qui est de la relance des travaux d’infrastructure énergétiques (03059). Concernant les acquis majeurs au titre de la relance des infrastructures routières (03084) et de la modernisation et de la mise à niveau du RESINA (03101), on note : </w:t>
      </w:r>
      <w:r w:rsidRPr="00C54CA7">
        <w:rPr>
          <w:rFonts w:eastAsia="Calibri"/>
          <w:szCs w:val="24"/>
        </w:rPr>
        <w:t xml:space="preserve">(i) le bitumage de </w:t>
      </w:r>
      <w:r>
        <w:rPr>
          <w:rFonts w:eastAsia="Calibri"/>
          <w:szCs w:val="24"/>
        </w:rPr>
        <w:t>80</w:t>
      </w:r>
      <w:r w:rsidRPr="00C54CA7">
        <w:rPr>
          <w:rFonts w:eastAsia="Calibri"/>
          <w:szCs w:val="24"/>
        </w:rPr>
        <w:t>,</w:t>
      </w:r>
      <w:r w:rsidR="00E0171C">
        <w:rPr>
          <w:rFonts w:eastAsia="Calibri"/>
          <w:szCs w:val="24"/>
        </w:rPr>
        <w:t>58</w:t>
      </w:r>
      <w:r w:rsidRPr="00C54CA7">
        <w:rPr>
          <w:rFonts w:eastAsia="Calibri"/>
          <w:szCs w:val="24"/>
        </w:rPr>
        <w:t xml:space="preserve"> km de nouvelles voiries, l’aménagement de 182 km de nouvelles pistes rurales, le renforcement/réhabilitation de </w:t>
      </w:r>
      <w:r>
        <w:rPr>
          <w:rFonts w:eastAsia="Calibri"/>
          <w:szCs w:val="24"/>
        </w:rPr>
        <w:t>7</w:t>
      </w:r>
      <w:r w:rsidRPr="00C54CA7">
        <w:rPr>
          <w:rFonts w:eastAsia="Calibri"/>
          <w:szCs w:val="24"/>
        </w:rPr>
        <w:t>,</w:t>
      </w:r>
      <w:r>
        <w:rPr>
          <w:rFonts w:eastAsia="Calibri"/>
          <w:szCs w:val="24"/>
        </w:rPr>
        <w:t>2</w:t>
      </w:r>
      <w:r w:rsidRPr="00C54CA7">
        <w:rPr>
          <w:rFonts w:eastAsia="Calibri"/>
          <w:szCs w:val="24"/>
        </w:rPr>
        <w:t xml:space="preserve"> km de routes bitumées</w:t>
      </w:r>
      <w:r>
        <w:rPr>
          <w:rFonts w:eastAsia="Calibri"/>
          <w:szCs w:val="24"/>
        </w:rPr>
        <w:t xml:space="preserve"> </w:t>
      </w:r>
      <w:r w:rsidRPr="00C54CA7">
        <w:rPr>
          <w:rFonts w:eastAsia="Calibri"/>
          <w:szCs w:val="24"/>
        </w:rPr>
        <w:t>ainsi que l’entretien courant de 7</w:t>
      </w:r>
      <w:r>
        <w:rPr>
          <w:rFonts w:eastAsia="Calibri"/>
          <w:szCs w:val="24"/>
        </w:rPr>
        <w:t> </w:t>
      </w:r>
      <w:r w:rsidRPr="00C54CA7">
        <w:rPr>
          <w:rFonts w:eastAsia="Calibri"/>
          <w:szCs w:val="24"/>
        </w:rPr>
        <w:t>500 km de routes classées et de 1</w:t>
      </w:r>
      <w:r>
        <w:rPr>
          <w:rFonts w:eastAsia="Calibri"/>
          <w:szCs w:val="24"/>
        </w:rPr>
        <w:t> </w:t>
      </w:r>
      <w:r w:rsidRPr="00C54CA7">
        <w:rPr>
          <w:rFonts w:eastAsia="Calibri"/>
          <w:szCs w:val="24"/>
        </w:rPr>
        <w:t>350 km de pistes rurales ; (i</w:t>
      </w:r>
      <w:r>
        <w:rPr>
          <w:rFonts w:eastAsia="Calibri"/>
          <w:szCs w:val="24"/>
        </w:rPr>
        <w:t>i</w:t>
      </w:r>
      <w:r w:rsidRPr="00C54CA7">
        <w:rPr>
          <w:rFonts w:eastAsia="Calibri"/>
          <w:szCs w:val="24"/>
        </w:rPr>
        <w:t>) la maintenance annuelle de l’ensemble de l’infrastructure du RESINA et l’interconnexion de 112</w:t>
      </w:r>
      <w:r>
        <w:rPr>
          <w:rFonts w:eastAsia="Calibri"/>
          <w:szCs w:val="24"/>
        </w:rPr>
        <w:t xml:space="preserve"> nouveaux</w:t>
      </w:r>
      <w:r w:rsidRPr="00C54CA7">
        <w:rPr>
          <w:rFonts w:eastAsia="Calibri"/>
          <w:szCs w:val="24"/>
        </w:rPr>
        <w:t xml:space="preserve"> bâtiments </w:t>
      </w:r>
      <w:r>
        <w:rPr>
          <w:rFonts w:eastAsia="Calibri"/>
          <w:szCs w:val="24"/>
        </w:rPr>
        <w:t>à ce réseau</w:t>
      </w:r>
      <w:r w:rsidRPr="00C54CA7">
        <w:rPr>
          <w:rFonts w:eastAsia="Calibri"/>
          <w:szCs w:val="24"/>
        </w:rPr>
        <w:t>.</w:t>
      </w:r>
      <w:r>
        <w:rPr>
          <w:rFonts w:eastAsia="Calibri"/>
          <w:szCs w:val="24"/>
        </w:rPr>
        <w:t xml:space="preserve"> </w:t>
      </w:r>
    </w:p>
    <w:p w14:paraId="4B8453BA" w14:textId="49FD5EBE" w:rsidR="0075006A" w:rsidRPr="00C54CA7" w:rsidRDefault="00C00E41" w:rsidP="0075006A">
      <w:pPr>
        <w:numPr>
          <w:ilvl w:val="0"/>
          <w:numId w:val="8"/>
        </w:numPr>
        <w:shd w:val="clear" w:color="auto" w:fill="FFFFFF"/>
        <w:spacing w:before="120" w:after="120" w:line="240" w:lineRule="auto"/>
        <w:ind w:left="0"/>
        <w:rPr>
          <w:rFonts w:eastAsia="Calibri"/>
          <w:szCs w:val="24"/>
        </w:rPr>
      </w:pPr>
      <w:r w:rsidRPr="0075006A">
        <w:rPr>
          <w:rFonts w:eastAsia="Calibri"/>
          <w:szCs w:val="24"/>
        </w:rPr>
        <w:t>En matière d’inversion de la tendance de la dégradation de l’environnement, les principaux acquis ont porté sur la récupération de 22 246,26 ha de terres dégradées (03042) dans les espaces agro-pastoraux</w:t>
      </w:r>
      <w:r>
        <w:rPr>
          <w:rFonts w:eastAsia="Calibri"/>
          <w:szCs w:val="24"/>
        </w:rPr>
        <w:t>.</w:t>
      </w:r>
      <w:r w:rsidR="0075006A">
        <w:rPr>
          <w:rFonts w:eastAsia="Calibri"/>
          <w:szCs w:val="24"/>
        </w:rPr>
        <w:t xml:space="preserve"> </w:t>
      </w:r>
    </w:p>
    <w:p w14:paraId="10EFA20B" w14:textId="60966F85" w:rsidR="00C00E41" w:rsidRDefault="00C00E41" w:rsidP="00C00E41">
      <w:pPr>
        <w:numPr>
          <w:ilvl w:val="0"/>
          <w:numId w:val="8"/>
        </w:numPr>
        <w:shd w:val="clear" w:color="auto" w:fill="FFFFFF"/>
        <w:spacing w:before="120" w:after="120" w:line="240" w:lineRule="auto"/>
        <w:ind w:left="0"/>
        <w:rPr>
          <w:rFonts w:eastAsia="Calibri"/>
          <w:szCs w:val="24"/>
        </w:rPr>
      </w:pPr>
      <w:r>
        <w:rPr>
          <w:rFonts w:eastAsia="Calibri"/>
          <w:szCs w:val="24"/>
        </w:rPr>
        <w:t xml:space="preserve">Les principales difficultés rencontrées dans la mise en œuvre des actions en matière de dynamisation des secteurs porteurs pour l’économie et les emplois portent notamment sur : (i) la situation sécuritaire ayant entraîné la délocalisation des travaux routiers et les difficultés d’accès aux sites ; (ii) la défaillance de certaines entreprises prestataires ; (iii) le retard dans la contractualisation des contrats ; (iv) la non-libération des emprises ; (v) les longs délais d’obtention des Avis de non objection ; (vi) les difficultés de lotissement de la zone industrielle de </w:t>
      </w:r>
      <w:proofErr w:type="spellStart"/>
      <w:r>
        <w:rPr>
          <w:rFonts w:eastAsia="Calibri"/>
          <w:szCs w:val="24"/>
        </w:rPr>
        <w:t>Samendeni</w:t>
      </w:r>
      <w:proofErr w:type="spellEnd"/>
      <w:r>
        <w:rPr>
          <w:rFonts w:eastAsia="Calibri"/>
          <w:szCs w:val="24"/>
        </w:rPr>
        <w:t xml:space="preserve"> ; (vii) l’interruption du système de production des titres de </w:t>
      </w:r>
      <w:r>
        <w:rPr>
          <w:rFonts w:eastAsia="Calibri"/>
          <w:szCs w:val="24"/>
        </w:rPr>
        <w:lastRenderedPageBreak/>
        <w:t>transport ; (viii) la redéfinition des priorités du Fonds spécial routier (FSR-B) ; (ix) les difficultés de mobilisation des ressources financières et (x) les régulations budgétaires.</w:t>
      </w:r>
    </w:p>
    <w:p w14:paraId="0641280C" w14:textId="212528C7" w:rsidR="007158E2" w:rsidRDefault="007158E2" w:rsidP="00C00E41">
      <w:pPr>
        <w:numPr>
          <w:ilvl w:val="0"/>
          <w:numId w:val="8"/>
        </w:numPr>
        <w:shd w:val="clear" w:color="auto" w:fill="FFFFFF"/>
        <w:spacing w:before="120" w:after="120" w:line="240" w:lineRule="auto"/>
        <w:ind w:left="0"/>
        <w:rPr>
          <w:rFonts w:eastAsia="Calibri"/>
          <w:szCs w:val="24"/>
        </w:rPr>
      </w:pPr>
      <w:r w:rsidRPr="00C00E41">
        <w:rPr>
          <w:rFonts w:eastAsia="Calibri"/>
          <w:szCs w:val="24"/>
        </w:rPr>
        <w:t>Pour lever ces obstacles, la recherche de financement endogène, la diversification des partenaires au développement, la diligence dans l’obtention des ANO et les efforts de sécurisation des sites devront renforcer</w:t>
      </w:r>
      <w:r>
        <w:rPr>
          <w:rFonts w:eastAsia="Calibri"/>
          <w:szCs w:val="24"/>
        </w:rPr>
        <w:t>.</w:t>
      </w:r>
    </w:p>
    <w:p w14:paraId="299A1B8F" w14:textId="77777777" w:rsidR="007158E2" w:rsidRDefault="007158E2" w:rsidP="0042784A">
      <w:pPr>
        <w:shd w:val="clear" w:color="auto" w:fill="FFFFFF"/>
        <w:spacing w:before="120" w:after="120" w:line="240" w:lineRule="auto"/>
        <w:rPr>
          <w:rFonts w:eastAsia="Calibri"/>
          <w:szCs w:val="24"/>
        </w:rPr>
      </w:pPr>
    </w:p>
    <w:p w14:paraId="24AA5254" w14:textId="33EA429C" w:rsidR="00C54CA7" w:rsidRPr="00C54CA7" w:rsidRDefault="007158E2" w:rsidP="00F175A7">
      <w:pPr>
        <w:numPr>
          <w:ilvl w:val="0"/>
          <w:numId w:val="8"/>
        </w:numPr>
        <w:shd w:val="clear" w:color="auto" w:fill="FFFFFF"/>
        <w:spacing w:before="120" w:after="120" w:line="240" w:lineRule="auto"/>
        <w:ind w:left="0"/>
        <w:rPr>
          <w:rFonts w:eastAsia="Calibri"/>
          <w:szCs w:val="24"/>
        </w:rPr>
      </w:pPr>
      <w:r>
        <w:rPr>
          <w:rFonts w:eastAsia="Calibri"/>
          <w:szCs w:val="24"/>
        </w:rPr>
        <w:t xml:space="preserve">En somme, le taux d’exécution physique de l’ensemble des produits du Pilier 3 ressort à </w:t>
      </w:r>
      <w:r w:rsidR="00582BF0">
        <w:rPr>
          <w:rFonts w:eastAsia="Calibri"/>
          <w:szCs w:val="24"/>
        </w:rPr>
        <w:t>67,54% pour une exécution financière de 55,47%. La bonne exécution physique des produits de ce pilier résulte principalement de celle des objectifs stratégiques</w:t>
      </w:r>
      <w:r w:rsidR="00C00E41" w:rsidRPr="00C00E41">
        <w:rPr>
          <w:rFonts w:eastAsia="Calibri"/>
          <w:szCs w:val="24"/>
        </w:rPr>
        <w:t xml:space="preserve"> </w:t>
      </w:r>
      <w:r w:rsidR="00582BF0">
        <w:rPr>
          <w:rFonts w:eastAsia="Calibri"/>
          <w:szCs w:val="24"/>
        </w:rPr>
        <w:t xml:space="preserve">2.2, 3.3, 3.5 et 4.5 avec des taux supérieurs à 80%. </w:t>
      </w:r>
    </w:p>
    <w:p w14:paraId="592FEA9A" w14:textId="77777777" w:rsidR="00CC47D2" w:rsidRPr="008D2129" w:rsidRDefault="00CC47D2" w:rsidP="00C54CA7">
      <w:pPr>
        <w:shd w:val="clear" w:color="auto" w:fill="FFFFFF"/>
        <w:spacing w:before="120" w:after="120" w:line="240" w:lineRule="auto"/>
        <w:rPr>
          <w:rFonts w:eastAsia="Calibri"/>
          <w:b/>
          <w:bCs/>
          <w:szCs w:val="24"/>
        </w:rPr>
      </w:pPr>
    </w:p>
    <w:p w14:paraId="553FB995" w14:textId="56AE373B" w:rsidR="008B208E" w:rsidRPr="008D2129" w:rsidRDefault="008B208E" w:rsidP="00E40130">
      <w:pPr>
        <w:pStyle w:val="PAT3"/>
      </w:pPr>
      <w:bookmarkStart w:id="164" w:name="_Toc163141243"/>
      <w:r w:rsidRPr="008D2129">
        <w:t xml:space="preserve">Contribution des collectivités territoriales à l’atteinte du pilier </w:t>
      </w:r>
      <w:r w:rsidR="002268E6" w:rsidRPr="008D2129">
        <w:t>3</w:t>
      </w:r>
      <w:bookmarkEnd w:id="164"/>
    </w:p>
    <w:p w14:paraId="503FA2F6" w14:textId="77777777"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En matière de poursuite du développement des économies locales, plusieurs réalisations ont été faites par les collectivités territoriales dont la construction de 7 marchés, 233 hangars de marchés, 868 boutiques de rue et 11 gares routières.</w:t>
      </w:r>
    </w:p>
    <w:p w14:paraId="345BA19E" w14:textId="77777777"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Concernant la poursuite des investissements en infrastructures de santé, 25 CSPS, 21 dispensaires, 26 maternités, 6 salles de mise en observation ,9 salles d’hospitalisation, 10 dépôts MEG et 42 logements de CSPS ont été construit</w:t>
      </w:r>
      <w:r>
        <w:rPr>
          <w:rFonts w:eastAsia="Calibri"/>
          <w:szCs w:val="24"/>
        </w:rPr>
        <w:t>s</w:t>
      </w:r>
      <w:r w:rsidRPr="00345EBE">
        <w:rPr>
          <w:rFonts w:eastAsia="Calibri"/>
          <w:szCs w:val="24"/>
        </w:rPr>
        <w:t xml:space="preserve"> par les collectivités territoriales. Elles ont également réhabilité 41 CSPS, 1 dispensaire et 5 maternités.</w:t>
      </w:r>
    </w:p>
    <w:p w14:paraId="41B5468B" w14:textId="3101F683" w:rsidR="00A77724" w:rsidRPr="00A77724" w:rsidRDefault="00A77724" w:rsidP="008139E1">
      <w:pPr>
        <w:numPr>
          <w:ilvl w:val="0"/>
          <w:numId w:val="8"/>
        </w:numPr>
        <w:shd w:val="clear" w:color="auto" w:fill="FFFFFF"/>
        <w:spacing w:before="120" w:after="120" w:line="240" w:lineRule="auto"/>
        <w:ind w:left="0"/>
        <w:rPr>
          <w:rFonts w:eastAsia="Calibri"/>
          <w:szCs w:val="24"/>
        </w:rPr>
      </w:pPr>
      <w:r w:rsidRPr="00A77724">
        <w:rPr>
          <w:rFonts w:eastAsia="Calibri"/>
          <w:szCs w:val="24"/>
        </w:rPr>
        <w:t>S’agissant de l’amélioration de la qualité et de l'accès au système éducatif, les réalisations des collectivités territoriales ont porté sur la construction de 46 écoles, 676 salles de classe dans les établissements primaires existants, 226 salles de classe pour le post-primaire et le secondaire, 26 complexes scolaires, 29 CEG et 14 salles de classe dans les lycées. Elles ont également réhabilité 56 écoles, 89 salles de classe pour le primaire</w:t>
      </w:r>
      <w:r w:rsidR="001D2E5B">
        <w:rPr>
          <w:rFonts w:eastAsia="Calibri"/>
          <w:szCs w:val="24"/>
        </w:rPr>
        <w:t xml:space="preserve"> et</w:t>
      </w:r>
      <w:r w:rsidRPr="00A77724">
        <w:rPr>
          <w:rFonts w:eastAsia="Calibri"/>
          <w:szCs w:val="24"/>
        </w:rPr>
        <w:t xml:space="preserve"> 3 lycées. Par ailleurs, elles ont acquis plus de 2000 tables-bancs pour les établissements scolaires.</w:t>
      </w:r>
    </w:p>
    <w:p w14:paraId="6260160A" w14:textId="7E073DDC"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Dans le cadre du renforcement de la protection des enfants en difficulté, 5</w:t>
      </w:r>
      <w:r w:rsidR="001D2E5B" w:rsidRPr="00056445">
        <w:rPr>
          <w:rFonts w:eastAsia="Calibri"/>
          <w:szCs w:val="24"/>
        </w:rPr>
        <w:t>°</w:t>
      </w:r>
      <w:r w:rsidRPr="00345EBE">
        <w:rPr>
          <w:rFonts w:eastAsia="Calibri"/>
          <w:szCs w:val="24"/>
        </w:rPr>
        <w:t>356 enfants victimes de violence</w:t>
      </w:r>
      <w:r w:rsidR="001D2E5B">
        <w:rPr>
          <w:rFonts w:eastAsia="Calibri"/>
          <w:szCs w:val="24"/>
        </w:rPr>
        <w:t>s</w:t>
      </w:r>
      <w:r w:rsidRPr="00345EBE">
        <w:rPr>
          <w:rFonts w:eastAsia="Calibri"/>
          <w:szCs w:val="24"/>
        </w:rPr>
        <w:t xml:space="preserve"> et d'abus divers ont été pris en charge et 1</w:t>
      </w:r>
      <w:r w:rsidR="001D2E5B" w:rsidRPr="00056445">
        <w:rPr>
          <w:rFonts w:eastAsia="Calibri"/>
          <w:szCs w:val="24"/>
        </w:rPr>
        <w:t>°</w:t>
      </w:r>
      <w:r w:rsidRPr="00345EBE">
        <w:rPr>
          <w:rFonts w:eastAsia="Calibri"/>
          <w:szCs w:val="24"/>
        </w:rPr>
        <w:t>732 enfants vulnérables y compris ceux porteurs de handicap ont été scolarisé</w:t>
      </w:r>
      <w:r w:rsidR="001D2E5B">
        <w:rPr>
          <w:rFonts w:eastAsia="Calibri"/>
          <w:szCs w:val="24"/>
        </w:rPr>
        <w:t>s</w:t>
      </w:r>
      <w:r w:rsidRPr="00345EBE">
        <w:rPr>
          <w:rFonts w:eastAsia="Calibri"/>
          <w:szCs w:val="24"/>
        </w:rPr>
        <w:t>.</w:t>
      </w:r>
    </w:p>
    <w:p w14:paraId="1B3A6BC8" w14:textId="3B3811F7"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Pour améliorer l’employabilité des jeunes, 2</w:t>
      </w:r>
      <w:r w:rsidR="001D2E5B" w:rsidRPr="00056445">
        <w:rPr>
          <w:rFonts w:eastAsia="Calibri"/>
          <w:szCs w:val="24"/>
        </w:rPr>
        <w:t>°</w:t>
      </w:r>
      <w:r w:rsidRPr="00345EBE">
        <w:rPr>
          <w:rFonts w:eastAsia="Calibri"/>
          <w:szCs w:val="24"/>
        </w:rPr>
        <w:t>416 jeunes ont été formé</w:t>
      </w:r>
      <w:r w:rsidR="001D2E5B">
        <w:rPr>
          <w:rFonts w:eastAsia="Calibri"/>
          <w:szCs w:val="24"/>
        </w:rPr>
        <w:t>s à l’</w:t>
      </w:r>
      <w:r w:rsidRPr="00345EBE">
        <w:rPr>
          <w:rFonts w:eastAsia="Calibri"/>
          <w:szCs w:val="24"/>
        </w:rPr>
        <w:t>entrepren</w:t>
      </w:r>
      <w:r w:rsidR="001D2E5B">
        <w:rPr>
          <w:rFonts w:eastAsia="Calibri"/>
          <w:szCs w:val="24"/>
        </w:rPr>
        <w:t>eu</w:t>
      </w:r>
      <w:r w:rsidRPr="00345EBE">
        <w:rPr>
          <w:rFonts w:eastAsia="Calibri"/>
          <w:szCs w:val="24"/>
        </w:rPr>
        <w:t>riat, 297 jeunes ont bénéficié de financements pour des micro-projets et 667 jeunes ont bénéficié de kit</w:t>
      </w:r>
      <w:r w:rsidR="001D2E5B">
        <w:rPr>
          <w:rFonts w:eastAsia="Calibri"/>
          <w:szCs w:val="24"/>
        </w:rPr>
        <w:t>s</w:t>
      </w:r>
      <w:r w:rsidRPr="00345EBE">
        <w:rPr>
          <w:rFonts w:eastAsia="Calibri"/>
          <w:szCs w:val="24"/>
        </w:rPr>
        <w:t xml:space="preserve"> d’installation.</w:t>
      </w:r>
    </w:p>
    <w:p w14:paraId="2B458B95" w14:textId="71161641"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En matière d’autonomisation des femmes, plus de 15</w:t>
      </w:r>
      <w:r w:rsidR="001D2E5B" w:rsidRPr="00056445">
        <w:rPr>
          <w:rFonts w:eastAsia="Calibri"/>
          <w:szCs w:val="24"/>
        </w:rPr>
        <w:t>°</w:t>
      </w:r>
      <w:r w:rsidRPr="00345EBE">
        <w:rPr>
          <w:rFonts w:eastAsia="Calibri"/>
          <w:szCs w:val="24"/>
        </w:rPr>
        <w:t>000 femmes ont bénéficié de crédits octroyés par les fonds nationaux de financement et 9</w:t>
      </w:r>
      <w:r w:rsidR="001D2E5B" w:rsidRPr="00056445">
        <w:rPr>
          <w:rFonts w:eastAsia="Calibri"/>
          <w:szCs w:val="24"/>
        </w:rPr>
        <w:t>°</w:t>
      </w:r>
      <w:r w:rsidRPr="00345EBE">
        <w:rPr>
          <w:rFonts w:eastAsia="Calibri"/>
          <w:szCs w:val="24"/>
        </w:rPr>
        <w:t>512 femmes ont été accompagné</w:t>
      </w:r>
      <w:r w:rsidR="001D2E5B">
        <w:rPr>
          <w:rFonts w:eastAsia="Calibri"/>
          <w:szCs w:val="24"/>
        </w:rPr>
        <w:t>es</w:t>
      </w:r>
      <w:r w:rsidRPr="00345EBE">
        <w:rPr>
          <w:rFonts w:eastAsia="Calibri"/>
          <w:szCs w:val="24"/>
        </w:rPr>
        <w:t xml:space="preserve"> dans l’entrepren</w:t>
      </w:r>
      <w:r w:rsidR="001D2E5B">
        <w:rPr>
          <w:rFonts w:eastAsia="Calibri"/>
          <w:szCs w:val="24"/>
        </w:rPr>
        <w:t>eu</w:t>
      </w:r>
      <w:r w:rsidRPr="00345EBE">
        <w:rPr>
          <w:rFonts w:eastAsia="Calibri"/>
          <w:szCs w:val="24"/>
        </w:rPr>
        <w:t>riat.</w:t>
      </w:r>
    </w:p>
    <w:p w14:paraId="2608A840" w14:textId="61528168"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En ce qui concerne l’amélioration de l'accès des populations à l'eau potable et à l’assainissement, plusieurs produits ont été réalisé</w:t>
      </w:r>
      <w:r w:rsidR="001D2E5B">
        <w:rPr>
          <w:rFonts w:eastAsia="Calibri"/>
          <w:szCs w:val="24"/>
        </w:rPr>
        <w:t>s</w:t>
      </w:r>
      <w:r w:rsidRPr="00345EBE">
        <w:rPr>
          <w:rFonts w:eastAsia="Calibri"/>
          <w:szCs w:val="24"/>
        </w:rPr>
        <w:t xml:space="preserve">. Il s’agit entre autres de 807 forages (tout type), 72 AEPS/PEA dans le domaine de l’eau potable. Dans le domaine de l’assainissement, </w:t>
      </w:r>
      <w:r w:rsidRPr="00345EBE">
        <w:rPr>
          <w:rFonts w:eastAsia="Calibri"/>
          <w:szCs w:val="24"/>
        </w:rPr>
        <w:lastRenderedPageBreak/>
        <w:t>7</w:t>
      </w:r>
      <w:r w:rsidR="00AF128B" w:rsidRPr="00036AFD">
        <w:rPr>
          <w:rFonts w:eastAsia="Calibri"/>
          <w:szCs w:val="24"/>
        </w:rPr>
        <w:t> </w:t>
      </w:r>
      <w:r w:rsidRPr="00345EBE">
        <w:rPr>
          <w:rFonts w:eastAsia="Calibri"/>
          <w:szCs w:val="24"/>
        </w:rPr>
        <w:t>081 latrines (publiques, familiales et institutionnelles) ont été réalisées par les collectivités territoriales.</w:t>
      </w:r>
    </w:p>
    <w:p w14:paraId="352B5FEA" w14:textId="7760C088" w:rsidR="00A77724" w:rsidRPr="00345EBE" w:rsidRDefault="00A77724" w:rsidP="00A77724">
      <w:pPr>
        <w:numPr>
          <w:ilvl w:val="0"/>
          <w:numId w:val="8"/>
        </w:numPr>
        <w:shd w:val="clear" w:color="auto" w:fill="FFFFFF"/>
        <w:spacing w:before="120" w:after="120" w:line="240" w:lineRule="auto"/>
        <w:ind w:left="0"/>
        <w:rPr>
          <w:rFonts w:eastAsia="Calibri"/>
          <w:szCs w:val="24"/>
        </w:rPr>
      </w:pPr>
      <w:r w:rsidRPr="00345EBE">
        <w:rPr>
          <w:rFonts w:eastAsia="Calibri"/>
          <w:szCs w:val="24"/>
        </w:rPr>
        <w:t xml:space="preserve">Afin de renforcer l'accès à un marché sécurisé, 9 aires d’abattage et 4 marchés </w:t>
      </w:r>
      <w:r w:rsidR="001D2E5B">
        <w:rPr>
          <w:rFonts w:eastAsia="Calibri"/>
          <w:szCs w:val="24"/>
        </w:rPr>
        <w:t>de</w:t>
      </w:r>
      <w:r w:rsidRPr="00345EBE">
        <w:rPr>
          <w:rFonts w:eastAsia="Calibri"/>
          <w:szCs w:val="24"/>
        </w:rPr>
        <w:t xml:space="preserve"> bétail ont ét</w:t>
      </w:r>
      <w:r>
        <w:rPr>
          <w:rFonts w:eastAsia="Calibri"/>
          <w:szCs w:val="24"/>
        </w:rPr>
        <w:t>é</w:t>
      </w:r>
      <w:r w:rsidRPr="00345EBE">
        <w:rPr>
          <w:rFonts w:eastAsia="Calibri"/>
          <w:szCs w:val="24"/>
        </w:rPr>
        <w:t xml:space="preserve"> construits.</w:t>
      </w:r>
    </w:p>
    <w:p w14:paraId="21E734D4" w14:textId="55C72A99" w:rsidR="00ED3D42" w:rsidRPr="008D2129" w:rsidRDefault="00A77724" w:rsidP="00BC7825">
      <w:pPr>
        <w:spacing w:after="0" w:line="240" w:lineRule="auto"/>
        <w:rPr>
          <w:rFonts w:eastAsia="Calibri"/>
          <w:szCs w:val="24"/>
        </w:rPr>
      </w:pPr>
      <w:r w:rsidRPr="00454163">
        <w:rPr>
          <w:rFonts w:eastAsia="Calibri"/>
          <w:szCs w:val="24"/>
        </w:rPr>
        <w:t xml:space="preserve">En matière d’amélioration de la santé animale et de la gestion durable des ressources animales, les collectivités territoriales ont réalisé 2 </w:t>
      </w:r>
      <w:proofErr w:type="spellStart"/>
      <w:r w:rsidRPr="00454163">
        <w:rPr>
          <w:rFonts w:eastAsia="Calibri"/>
          <w:szCs w:val="24"/>
        </w:rPr>
        <w:t>boulis</w:t>
      </w:r>
      <w:proofErr w:type="spellEnd"/>
      <w:r w:rsidRPr="00454163">
        <w:rPr>
          <w:rFonts w:eastAsia="Calibri"/>
          <w:szCs w:val="24"/>
        </w:rPr>
        <w:t xml:space="preserve"> et </w:t>
      </w:r>
      <w:r w:rsidR="001D2E5B">
        <w:rPr>
          <w:rFonts w:eastAsia="Calibri"/>
          <w:szCs w:val="24"/>
        </w:rPr>
        <w:t xml:space="preserve">construit </w:t>
      </w:r>
      <w:r w:rsidRPr="00454163">
        <w:rPr>
          <w:rFonts w:eastAsia="Calibri"/>
          <w:szCs w:val="24"/>
        </w:rPr>
        <w:t>45 parcs de vaccination.</w:t>
      </w:r>
      <w:r w:rsidR="00ED3D42" w:rsidRPr="008D2129">
        <w:rPr>
          <w:rFonts w:eastAsia="Calibri"/>
          <w:szCs w:val="24"/>
        </w:rPr>
        <w:br w:type="page"/>
      </w:r>
    </w:p>
    <w:p w14:paraId="017F0C1B" w14:textId="11E0389E" w:rsidR="002B733C" w:rsidRPr="00BF3C92" w:rsidRDefault="00EA252D" w:rsidP="00BF3C92">
      <w:pPr>
        <w:pStyle w:val="PAT2"/>
      </w:pPr>
      <w:bookmarkStart w:id="165" w:name="_Toc156900531"/>
      <w:bookmarkStart w:id="166" w:name="_Toc156900642"/>
      <w:bookmarkStart w:id="167" w:name="_Toc156900950"/>
      <w:bookmarkStart w:id="168" w:name="_Toc156901040"/>
      <w:bookmarkStart w:id="169" w:name="_Toc156900532"/>
      <w:bookmarkStart w:id="170" w:name="_Toc156900643"/>
      <w:bookmarkStart w:id="171" w:name="_Toc156900951"/>
      <w:bookmarkStart w:id="172" w:name="_Toc156901041"/>
      <w:bookmarkStart w:id="173" w:name="_Toc163141244"/>
      <w:bookmarkStart w:id="174" w:name="_Toc164692889"/>
      <w:bookmarkEnd w:id="65"/>
      <w:bookmarkEnd w:id="165"/>
      <w:bookmarkEnd w:id="166"/>
      <w:bookmarkEnd w:id="167"/>
      <w:bookmarkEnd w:id="168"/>
      <w:bookmarkEnd w:id="169"/>
      <w:bookmarkEnd w:id="170"/>
      <w:bookmarkEnd w:id="171"/>
      <w:bookmarkEnd w:id="172"/>
      <w:r w:rsidRPr="008D2129">
        <w:lastRenderedPageBreak/>
        <w:t>Pilier 4 : Œuvrer à la réconciliation nationale et à la cohésion sociale</w:t>
      </w:r>
      <w:bookmarkEnd w:id="173"/>
      <w:bookmarkEnd w:id="174"/>
    </w:p>
    <w:p w14:paraId="7D06CF4A" w14:textId="4D219995"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Le </w:t>
      </w:r>
      <w:r w:rsidR="00971493">
        <w:rPr>
          <w:rFonts w:eastAsia="Calibri"/>
          <w:szCs w:val="24"/>
        </w:rPr>
        <w:t>P</w:t>
      </w:r>
      <w:r w:rsidRPr="00BF3C92">
        <w:rPr>
          <w:rFonts w:eastAsia="Calibri"/>
          <w:szCs w:val="24"/>
        </w:rPr>
        <w:t>ilier 4 du PASD concerne la mise en œuvre du processus de la réconciliation nationale et la cohésion sociale. Elle se fait à travers deux axes de la PND à savoir l’Axe 1 : Consolider la résilience, la sécurité, la cohésion sociale et la paix et l’Axe 2 : Approfondir les réformes institutionnelles et moderniser l’administration publique</w:t>
      </w:r>
    </w:p>
    <w:p w14:paraId="4FE21F99" w14:textId="77777777" w:rsidR="008D6782" w:rsidRPr="008D2129" w:rsidRDefault="008D6782" w:rsidP="00D04649">
      <w:pPr>
        <w:shd w:val="clear" w:color="auto" w:fill="FFFFFF"/>
        <w:spacing w:before="120" w:after="120" w:line="240" w:lineRule="auto"/>
        <w:rPr>
          <w:rFonts w:eastAsia="Calibri"/>
          <w:szCs w:val="24"/>
        </w:rPr>
      </w:pPr>
    </w:p>
    <w:p w14:paraId="7A9CFC2C" w14:textId="3D41C9D4" w:rsidR="00BF3C92" w:rsidRPr="00BF3C92" w:rsidRDefault="008D6782" w:rsidP="00BF3C92">
      <w:pPr>
        <w:pStyle w:val="PAT3"/>
        <w:rPr>
          <w:rFonts w:eastAsia="Times New Roman" w:cs="Calibri"/>
          <w:szCs w:val="28"/>
          <w:lang w:eastAsia="fr-FR"/>
        </w:rPr>
      </w:pPr>
      <w:bookmarkStart w:id="175" w:name="_Toc163141245"/>
      <w:r w:rsidRPr="008D2129">
        <w:rPr>
          <w:rFonts w:eastAsia="Times New Roman" w:cs="Calibri"/>
          <w:szCs w:val="28"/>
          <w:lang w:eastAsia="fr-FR"/>
        </w:rPr>
        <w:t>Axe 1 : Consolider la résilience, la sécurité, la cohésion sociale et la paix</w:t>
      </w:r>
      <w:bookmarkEnd w:id="175"/>
    </w:p>
    <w:p w14:paraId="7CFBBB01" w14:textId="1D0DD81A" w:rsidR="007A588C" w:rsidRPr="008D2129"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Un seul objectif stratégique de l’axe 1 de la PND concourt à la réalisation du </w:t>
      </w:r>
      <w:r w:rsidR="00971493">
        <w:rPr>
          <w:rFonts w:eastAsia="Calibri"/>
          <w:szCs w:val="24"/>
        </w:rPr>
        <w:t>P</w:t>
      </w:r>
      <w:r w:rsidRPr="00BF3C92">
        <w:rPr>
          <w:rFonts w:eastAsia="Calibri"/>
          <w:szCs w:val="24"/>
        </w:rPr>
        <w:t>ilier 4 du PA-SD. Il s’agit de l’OS. 1.3 : renforcer la cohésion sociale et la paix</w:t>
      </w:r>
      <w:r w:rsidR="007A588C" w:rsidRPr="008D2129">
        <w:rPr>
          <w:rFonts w:eastAsia="Calibri"/>
          <w:szCs w:val="24"/>
        </w:rPr>
        <w:t>.</w:t>
      </w:r>
    </w:p>
    <w:p w14:paraId="753B0A8E" w14:textId="6F6A3795" w:rsidR="00BF3C92" w:rsidRPr="00BF3C92" w:rsidRDefault="009D4F79" w:rsidP="00BF3C92">
      <w:pPr>
        <w:pStyle w:val="PAT4"/>
        <w:rPr>
          <w:lang w:eastAsia="fr-FR"/>
        </w:rPr>
      </w:pPr>
      <w:bookmarkStart w:id="176" w:name="_Toc163141246"/>
      <w:r w:rsidRPr="008D2129" w:rsidDel="009D4F79">
        <w:t>Objectif stratégique 1.3 : Renforcer la cohésion sociale et la paix</w:t>
      </w:r>
      <w:bookmarkEnd w:id="176"/>
    </w:p>
    <w:p w14:paraId="5BC2CB5D"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bookmarkStart w:id="177" w:name="_Hlk128462790"/>
      <w:r w:rsidRPr="00BF3C92">
        <w:rPr>
          <w:rFonts w:eastAsia="Calibri"/>
          <w:szCs w:val="24"/>
        </w:rPr>
        <w:t xml:space="preserve">Le renforcement de la cohésion sociale s’opérationnalise à travers la mise en œuvre de sept (07) actions. </w:t>
      </w:r>
    </w:p>
    <w:p w14:paraId="5B009DFA"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Relativement à la première action, </w:t>
      </w:r>
      <w:r w:rsidRPr="008139E1">
        <w:rPr>
          <w:rFonts w:eastAsia="Calibri"/>
          <w:b/>
          <w:szCs w:val="24"/>
        </w:rPr>
        <w:t>la promotion des initiatives de dialogue interreligieux et interculturel (04002)</w:t>
      </w:r>
      <w:r w:rsidRPr="00BF3C92">
        <w:rPr>
          <w:rFonts w:eastAsia="Calibri"/>
          <w:szCs w:val="24"/>
        </w:rPr>
        <w:t xml:space="preserve">, portée par le CSD-GAL, aucune initiative de dialogue interreligieux et interculturel n’a été menée. Les produits de cette action n’ont pas aussi connu de début de mise en œuvre en 2023. Cette situation s’explique essentiellement par le retard dans l’opérationnalisation de la Direction générale des affaires religieuses, coutumières et traditionnelles (DGARCT), structure ayant désormais en charge la réalisation desdits produits. </w:t>
      </w:r>
    </w:p>
    <w:p w14:paraId="41B96EF0"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Le taux d’exécution financière des produits de l’action est de 00%.</w:t>
      </w:r>
    </w:p>
    <w:p w14:paraId="01E1D558"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Concernant la deuxième action relative à </w:t>
      </w:r>
      <w:r w:rsidRPr="008139E1">
        <w:rPr>
          <w:rFonts w:eastAsia="Calibri"/>
          <w:b/>
          <w:szCs w:val="24"/>
        </w:rPr>
        <w:t>la prévention et la gestion des conflits communautaires et intercommunautaires (04004)</w:t>
      </w:r>
      <w:r w:rsidRPr="00BF3C92">
        <w:rPr>
          <w:rFonts w:eastAsia="Calibri"/>
          <w:szCs w:val="24"/>
        </w:rPr>
        <w:t xml:space="preserve"> et portée par les CSD-JDH et DS, l’ambition chiffrée était de résoudre au cours de l’année 2023, dix (10) conflits intra et interreligieux. </w:t>
      </w:r>
    </w:p>
    <w:p w14:paraId="4FC23083" w14:textId="305E3830" w:rsidR="008008C3"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A fin décembre 2023, deux indicateurs de produits sur trois ont atteint leur cible : (i) la formation de membres des démembrements de l'ONAPREGECC, et (ii) la sensibilisation de membres des différentes catégories socio-professionnelles sur les thématiques liées à la prévention et à la gestion des conflits communautaires.</w:t>
      </w:r>
    </w:p>
    <w:p w14:paraId="299E5724" w14:textId="77777777" w:rsidR="008008C3" w:rsidRDefault="008008C3">
      <w:pPr>
        <w:spacing w:after="0" w:line="240" w:lineRule="auto"/>
        <w:jc w:val="left"/>
        <w:rPr>
          <w:rFonts w:eastAsia="Calibri"/>
          <w:szCs w:val="24"/>
        </w:rPr>
      </w:pPr>
      <w:r>
        <w:rPr>
          <w:rFonts w:eastAsia="Calibri"/>
          <w:szCs w:val="24"/>
        </w:rPr>
        <w:br w:type="page"/>
      </w:r>
    </w:p>
    <w:p w14:paraId="67CBFD7D" w14:textId="5164C74E" w:rsidR="00BF3C92" w:rsidRPr="0042784A" w:rsidRDefault="00B647DA" w:rsidP="008139E1">
      <w:pPr>
        <w:pStyle w:val="Lgende"/>
        <w:rPr>
          <w:rFonts w:ascii="Merriweather" w:hAnsi="Merriweather" w:cs="Merriweather"/>
          <w:color w:val="auto"/>
          <w:szCs w:val="24"/>
        </w:rPr>
      </w:pPr>
      <w:bookmarkStart w:id="178" w:name="_Toc164503673"/>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86</w:t>
      </w:r>
      <w:r w:rsidRPr="0042784A">
        <w:rPr>
          <w:b/>
          <w:i w:val="0"/>
          <w:color w:val="auto"/>
          <w:sz w:val="22"/>
          <w:szCs w:val="22"/>
          <w:u w:val="single"/>
        </w:rPr>
        <w:fldChar w:fldCharType="end"/>
      </w:r>
      <w:r w:rsidRPr="0042784A">
        <w:rPr>
          <w:b/>
          <w:i w:val="0"/>
          <w:color w:val="auto"/>
          <w:sz w:val="22"/>
          <w:szCs w:val="22"/>
          <w:u w:val="single"/>
        </w:rPr>
        <w:t xml:space="preserve"> </w:t>
      </w:r>
      <w:r w:rsidRPr="0042784A">
        <w:rPr>
          <w:i w:val="0"/>
          <w:color w:val="auto"/>
          <w:sz w:val="22"/>
          <w:szCs w:val="22"/>
        </w:rPr>
        <w:t xml:space="preserve">: </w:t>
      </w:r>
      <w:r w:rsidRPr="0042784A">
        <w:rPr>
          <w:i w:val="0"/>
          <w:color w:val="auto"/>
          <w:sz w:val="24"/>
          <w:szCs w:val="24"/>
        </w:rPr>
        <w:t xml:space="preserve">situation des indicateurs de produits au 31 décembre de l’action </w:t>
      </w:r>
      <w:r w:rsidR="00971493">
        <w:rPr>
          <w:i w:val="0"/>
          <w:color w:val="auto"/>
          <w:sz w:val="24"/>
          <w:szCs w:val="24"/>
        </w:rPr>
        <w:t>« p</w:t>
      </w:r>
      <w:r w:rsidRPr="0042784A">
        <w:rPr>
          <w:i w:val="0"/>
          <w:color w:val="auto"/>
          <w:sz w:val="24"/>
          <w:szCs w:val="24"/>
        </w:rPr>
        <w:t>révention et gestion des conflits communautaires et intercommunautaires</w:t>
      </w:r>
      <w:r w:rsidR="00971493">
        <w:rPr>
          <w:i w:val="0"/>
          <w:color w:val="auto"/>
          <w:sz w:val="24"/>
          <w:szCs w:val="24"/>
        </w:rPr>
        <w:t> »</w:t>
      </w:r>
      <w:bookmarkEnd w:id="178"/>
    </w:p>
    <w:tbl>
      <w:tblPr>
        <w:tblStyle w:val="TableauGrille3-Accentuation1"/>
        <w:tblW w:w="5000" w:type="pct"/>
        <w:tblLook w:val="0400" w:firstRow="0" w:lastRow="0" w:firstColumn="0" w:lastColumn="0" w:noHBand="0" w:noVBand="1"/>
      </w:tblPr>
      <w:tblGrid>
        <w:gridCol w:w="4742"/>
        <w:gridCol w:w="1388"/>
        <w:gridCol w:w="1443"/>
        <w:gridCol w:w="1443"/>
      </w:tblGrid>
      <w:tr w:rsidR="00192909" w:rsidRPr="002203B6" w14:paraId="43F50B94"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630" w:type="pct"/>
            <w:shd w:val="clear" w:color="auto" w:fill="4472C4" w:themeFill="accent1"/>
          </w:tcPr>
          <w:p w14:paraId="17C88479" w14:textId="63A39145" w:rsidR="00BF3C92" w:rsidRPr="00F175A7" w:rsidRDefault="00BF3C92" w:rsidP="00F175A7">
            <w:pPr>
              <w:spacing w:after="0" w:line="240" w:lineRule="auto"/>
              <w:rPr>
                <w:b/>
                <w:color w:val="FFFFFF"/>
                <w:sz w:val="22"/>
              </w:rPr>
            </w:pPr>
            <w:r w:rsidRPr="00F175A7">
              <w:rPr>
                <w:b/>
                <w:color w:val="FFFFFF"/>
                <w:sz w:val="22"/>
              </w:rPr>
              <w:t xml:space="preserve">Indicateurs </w:t>
            </w:r>
          </w:p>
        </w:tc>
        <w:tc>
          <w:tcPr>
            <w:tcW w:w="770" w:type="pct"/>
            <w:shd w:val="clear" w:color="auto" w:fill="4472C4" w:themeFill="accent1"/>
          </w:tcPr>
          <w:p w14:paraId="028EC431" w14:textId="77777777" w:rsidR="00BF3C92" w:rsidRPr="00F175A7" w:rsidRDefault="00BF3C92" w:rsidP="00E52836">
            <w:pPr>
              <w:spacing w:after="0" w:line="240" w:lineRule="auto"/>
              <w:jc w:val="center"/>
              <w:rPr>
                <w:b/>
                <w:color w:val="FFFFFF"/>
                <w:sz w:val="22"/>
              </w:rPr>
            </w:pPr>
            <w:r w:rsidRPr="00F175A7">
              <w:rPr>
                <w:b/>
                <w:color w:val="FFFFFF"/>
                <w:sz w:val="22"/>
              </w:rPr>
              <w:t>Réal. 2022</w:t>
            </w:r>
          </w:p>
        </w:tc>
        <w:tc>
          <w:tcPr>
            <w:tcW w:w="800" w:type="pct"/>
            <w:shd w:val="clear" w:color="auto" w:fill="4472C4" w:themeFill="accent1"/>
          </w:tcPr>
          <w:p w14:paraId="3A09420D" w14:textId="77777777" w:rsidR="00BF3C92" w:rsidRPr="00F175A7" w:rsidRDefault="00BF3C92" w:rsidP="00E52836">
            <w:pPr>
              <w:spacing w:after="0" w:line="240" w:lineRule="auto"/>
              <w:jc w:val="center"/>
              <w:rPr>
                <w:b/>
                <w:color w:val="FFFFFF"/>
                <w:sz w:val="22"/>
              </w:rPr>
            </w:pPr>
            <w:r w:rsidRPr="00F175A7">
              <w:rPr>
                <w:b/>
                <w:color w:val="FFFFFF"/>
                <w:sz w:val="22"/>
              </w:rPr>
              <w:t>Réal. 2023</w:t>
            </w:r>
          </w:p>
        </w:tc>
        <w:tc>
          <w:tcPr>
            <w:tcW w:w="800" w:type="pct"/>
            <w:shd w:val="clear" w:color="auto" w:fill="4472C4" w:themeFill="accent1"/>
          </w:tcPr>
          <w:p w14:paraId="1037B3AF" w14:textId="77777777" w:rsidR="00BF3C92" w:rsidRPr="00F175A7" w:rsidRDefault="00BF3C92" w:rsidP="00E52836">
            <w:pPr>
              <w:spacing w:after="0" w:line="240" w:lineRule="auto"/>
              <w:jc w:val="center"/>
              <w:rPr>
                <w:b/>
                <w:color w:val="FFFFFF"/>
                <w:sz w:val="22"/>
              </w:rPr>
            </w:pPr>
            <w:r w:rsidRPr="00F175A7">
              <w:rPr>
                <w:b/>
                <w:color w:val="FFFFFF"/>
                <w:sz w:val="22"/>
              </w:rPr>
              <w:t>Cible 2023</w:t>
            </w:r>
          </w:p>
        </w:tc>
      </w:tr>
      <w:tr w:rsidR="00BF3C92" w:rsidRPr="002203B6" w14:paraId="259F81AA" w14:textId="77777777" w:rsidTr="00F175A7">
        <w:trPr>
          <w:trHeight w:val="20"/>
        </w:trPr>
        <w:tc>
          <w:tcPr>
            <w:tcW w:w="2630" w:type="pct"/>
          </w:tcPr>
          <w:p w14:paraId="2AC9FFCA" w14:textId="018899C5" w:rsidR="00BF3C92" w:rsidRPr="00F175A7" w:rsidRDefault="00BF3C92" w:rsidP="00BA53A3">
            <w:pPr>
              <w:spacing w:after="0" w:line="240" w:lineRule="auto"/>
              <w:rPr>
                <w:b/>
                <w:color w:val="000000"/>
                <w:sz w:val="22"/>
              </w:rPr>
            </w:pPr>
            <w:r w:rsidRPr="00F175A7">
              <w:rPr>
                <w:b/>
                <w:color w:val="000000"/>
                <w:sz w:val="22"/>
              </w:rPr>
              <w:t>Proportion des autorités traditionnelles, coutumières et religieuses impliquées dans la prévention et gestion des conflits locaux</w:t>
            </w:r>
          </w:p>
        </w:tc>
        <w:tc>
          <w:tcPr>
            <w:tcW w:w="770" w:type="pct"/>
          </w:tcPr>
          <w:p w14:paraId="2266A5C0" w14:textId="77777777" w:rsidR="00BF3C92" w:rsidRPr="002203B6" w:rsidRDefault="00BF3C92" w:rsidP="00E52836">
            <w:pPr>
              <w:spacing w:after="0" w:line="240" w:lineRule="auto"/>
              <w:jc w:val="center"/>
              <w:rPr>
                <w:color w:val="000000"/>
                <w:sz w:val="22"/>
              </w:rPr>
            </w:pPr>
            <w:r w:rsidRPr="002203B6">
              <w:rPr>
                <w:color w:val="000000"/>
                <w:sz w:val="22"/>
              </w:rPr>
              <w:t>-</w:t>
            </w:r>
          </w:p>
        </w:tc>
        <w:tc>
          <w:tcPr>
            <w:tcW w:w="800" w:type="pct"/>
          </w:tcPr>
          <w:p w14:paraId="56F18786" w14:textId="77777777" w:rsidR="00BF3C92" w:rsidRPr="002203B6" w:rsidRDefault="00BF3C92" w:rsidP="00E52836">
            <w:pPr>
              <w:spacing w:after="0" w:line="240" w:lineRule="auto"/>
              <w:jc w:val="center"/>
              <w:rPr>
                <w:color w:val="000000"/>
                <w:sz w:val="22"/>
              </w:rPr>
            </w:pPr>
            <w:r w:rsidRPr="002203B6">
              <w:rPr>
                <w:color w:val="000000"/>
                <w:sz w:val="22"/>
              </w:rPr>
              <w:t>ND</w:t>
            </w:r>
          </w:p>
        </w:tc>
        <w:tc>
          <w:tcPr>
            <w:tcW w:w="800" w:type="pct"/>
          </w:tcPr>
          <w:p w14:paraId="0AE8F22E" w14:textId="77777777" w:rsidR="00BF3C92" w:rsidRPr="002203B6" w:rsidRDefault="00BF3C92" w:rsidP="00E52836">
            <w:pPr>
              <w:spacing w:after="0" w:line="240" w:lineRule="auto"/>
              <w:jc w:val="center"/>
              <w:rPr>
                <w:color w:val="000000"/>
                <w:sz w:val="22"/>
              </w:rPr>
            </w:pPr>
            <w:r w:rsidRPr="002203B6">
              <w:rPr>
                <w:color w:val="000000"/>
                <w:sz w:val="22"/>
              </w:rPr>
              <w:t>30%</w:t>
            </w:r>
          </w:p>
        </w:tc>
      </w:tr>
      <w:tr w:rsidR="00BF3C92" w:rsidRPr="002203B6" w14:paraId="6403BAE0" w14:textId="77777777" w:rsidTr="00F175A7">
        <w:trPr>
          <w:cnfStyle w:val="000000100000" w:firstRow="0" w:lastRow="0" w:firstColumn="0" w:lastColumn="0" w:oddVBand="0" w:evenVBand="0" w:oddHBand="1" w:evenHBand="0" w:firstRowFirstColumn="0" w:firstRowLastColumn="0" w:lastRowFirstColumn="0" w:lastRowLastColumn="0"/>
          <w:trHeight w:val="20"/>
        </w:trPr>
        <w:tc>
          <w:tcPr>
            <w:tcW w:w="2630" w:type="pct"/>
          </w:tcPr>
          <w:p w14:paraId="733E1E03" w14:textId="30D373DC" w:rsidR="00BF3C92" w:rsidRPr="00F175A7" w:rsidRDefault="00BF3C92" w:rsidP="00E52836">
            <w:pPr>
              <w:spacing w:after="0" w:line="240" w:lineRule="auto"/>
              <w:rPr>
                <w:b/>
                <w:color w:val="000000"/>
                <w:sz w:val="22"/>
              </w:rPr>
            </w:pPr>
            <w:r w:rsidRPr="00F175A7">
              <w:rPr>
                <w:b/>
                <w:color w:val="000000"/>
                <w:sz w:val="22"/>
              </w:rPr>
              <w:t xml:space="preserve">Nombre de membres </w:t>
            </w:r>
            <w:r w:rsidR="00C55372" w:rsidRPr="00173DBE">
              <w:rPr>
                <w:b/>
                <w:color w:val="000000"/>
                <w:sz w:val="22"/>
              </w:rPr>
              <w:t>des démembrements de l'ONAPREGECC</w:t>
            </w:r>
            <w:r w:rsidR="00C55372" w:rsidRPr="00F175A7">
              <w:rPr>
                <w:b/>
                <w:color w:val="000000"/>
                <w:sz w:val="22"/>
              </w:rPr>
              <w:t xml:space="preserve"> </w:t>
            </w:r>
            <w:r w:rsidRPr="00F175A7">
              <w:rPr>
                <w:b/>
                <w:color w:val="000000"/>
                <w:sz w:val="22"/>
              </w:rPr>
              <w:t>formés</w:t>
            </w:r>
          </w:p>
        </w:tc>
        <w:tc>
          <w:tcPr>
            <w:tcW w:w="770" w:type="pct"/>
          </w:tcPr>
          <w:p w14:paraId="31124F54" w14:textId="77777777" w:rsidR="00BF3C92" w:rsidRPr="002203B6" w:rsidRDefault="00BF3C92" w:rsidP="00E52836">
            <w:pPr>
              <w:spacing w:after="0" w:line="240" w:lineRule="auto"/>
              <w:jc w:val="center"/>
              <w:rPr>
                <w:color w:val="000000"/>
                <w:sz w:val="22"/>
              </w:rPr>
            </w:pPr>
            <w:r w:rsidRPr="002203B6">
              <w:rPr>
                <w:color w:val="000000"/>
                <w:sz w:val="22"/>
              </w:rPr>
              <w:t>458</w:t>
            </w:r>
          </w:p>
        </w:tc>
        <w:tc>
          <w:tcPr>
            <w:tcW w:w="800" w:type="pct"/>
          </w:tcPr>
          <w:p w14:paraId="267A1545" w14:textId="63946A85" w:rsidR="00BF3C92" w:rsidRPr="002203B6" w:rsidRDefault="00AF128B" w:rsidP="00E52836">
            <w:pPr>
              <w:spacing w:after="0" w:line="240" w:lineRule="auto"/>
              <w:jc w:val="center"/>
              <w:rPr>
                <w:color w:val="000000"/>
                <w:sz w:val="22"/>
              </w:rPr>
            </w:pPr>
            <w:r>
              <w:rPr>
                <w:color w:val="000000"/>
                <w:sz w:val="22"/>
              </w:rPr>
              <w:t>1</w:t>
            </w:r>
            <w:r w:rsidRPr="00036AFD">
              <w:rPr>
                <w:rFonts w:eastAsia="Calibri"/>
                <w:szCs w:val="24"/>
              </w:rPr>
              <w:t> </w:t>
            </w:r>
            <w:r w:rsidR="00BF3C92" w:rsidRPr="002203B6">
              <w:rPr>
                <w:color w:val="000000"/>
                <w:sz w:val="22"/>
              </w:rPr>
              <w:t>492</w:t>
            </w:r>
          </w:p>
        </w:tc>
        <w:tc>
          <w:tcPr>
            <w:tcW w:w="800" w:type="pct"/>
          </w:tcPr>
          <w:p w14:paraId="348EC40B" w14:textId="77777777" w:rsidR="00BF3C92" w:rsidRPr="002203B6" w:rsidRDefault="00BF3C92" w:rsidP="00E52836">
            <w:pPr>
              <w:spacing w:after="0" w:line="240" w:lineRule="auto"/>
              <w:jc w:val="center"/>
              <w:rPr>
                <w:color w:val="000000"/>
                <w:sz w:val="22"/>
              </w:rPr>
            </w:pPr>
            <w:r w:rsidRPr="002203B6">
              <w:rPr>
                <w:color w:val="000000"/>
                <w:sz w:val="22"/>
              </w:rPr>
              <w:t>400</w:t>
            </w:r>
          </w:p>
        </w:tc>
      </w:tr>
      <w:tr w:rsidR="00BF3C92" w:rsidRPr="002203B6" w14:paraId="42247517" w14:textId="77777777" w:rsidTr="00F175A7">
        <w:trPr>
          <w:trHeight w:val="20"/>
        </w:trPr>
        <w:tc>
          <w:tcPr>
            <w:tcW w:w="2630" w:type="pct"/>
          </w:tcPr>
          <w:p w14:paraId="7E251E41" w14:textId="172C5EC3" w:rsidR="00BF3C92" w:rsidRPr="00F175A7" w:rsidRDefault="00BF3C92" w:rsidP="00971493">
            <w:pPr>
              <w:spacing w:after="0" w:line="240" w:lineRule="auto"/>
              <w:rPr>
                <w:b/>
                <w:color w:val="000000"/>
                <w:sz w:val="22"/>
              </w:rPr>
            </w:pPr>
            <w:r w:rsidRPr="00F175A7">
              <w:rPr>
                <w:b/>
                <w:color w:val="000000"/>
                <w:sz w:val="22"/>
              </w:rPr>
              <w:t xml:space="preserve">Nombre d'acteurs sensibilisés </w:t>
            </w:r>
            <w:r w:rsidR="00971493">
              <w:rPr>
                <w:b/>
                <w:color w:val="000000"/>
                <w:sz w:val="22"/>
              </w:rPr>
              <w:t>aux</w:t>
            </w:r>
            <w:r w:rsidRPr="00F175A7">
              <w:rPr>
                <w:b/>
                <w:color w:val="000000"/>
                <w:sz w:val="22"/>
              </w:rPr>
              <w:t xml:space="preserve"> thématiques liées à la prévention et à la gestion des conflits</w:t>
            </w:r>
          </w:p>
        </w:tc>
        <w:tc>
          <w:tcPr>
            <w:tcW w:w="770" w:type="pct"/>
          </w:tcPr>
          <w:p w14:paraId="71069F9E" w14:textId="77777777" w:rsidR="00BF3C92" w:rsidRPr="002203B6" w:rsidRDefault="00BF3C92" w:rsidP="00E52836">
            <w:pPr>
              <w:spacing w:after="0" w:line="240" w:lineRule="auto"/>
              <w:jc w:val="center"/>
              <w:rPr>
                <w:color w:val="000000"/>
                <w:sz w:val="22"/>
              </w:rPr>
            </w:pPr>
            <w:r w:rsidRPr="002203B6">
              <w:rPr>
                <w:color w:val="000000"/>
                <w:sz w:val="22"/>
              </w:rPr>
              <w:t>0</w:t>
            </w:r>
          </w:p>
        </w:tc>
        <w:tc>
          <w:tcPr>
            <w:tcW w:w="800" w:type="pct"/>
          </w:tcPr>
          <w:p w14:paraId="262661EB" w14:textId="77777777" w:rsidR="00BF3C92" w:rsidRPr="002203B6" w:rsidRDefault="00BF3C92" w:rsidP="00E52836">
            <w:pPr>
              <w:spacing w:after="0" w:line="240" w:lineRule="auto"/>
              <w:jc w:val="center"/>
              <w:rPr>
                <w:color w:val="000000"/>
                <w:sz w:val="22"/>
              </w:rPr>
            </w:pPr>
            <w:r w:rsidRPr="002203B6">
              <w:rPr>
                <w:color w:val="000000"/>
                <w:sz w:val="22"/>
              </w:rPr>
              <w:t>180 000</w:t>
            </w:r>
          </w:p>
        </w:tc>
        <w:tc>
          <w:tcPr>
            <w:tcW w:w="800" w:type="pct"/>
          </w:tcPr>
          <w:p w14:paraId="29872F0B" w14:textId="77777777" w:rsidR="00BF3C92" w:rsidRPr="002203B6" w:rsidRDefault="00BF3C92" w:rsidP="00E52836">
            <w:pPr>
              <w:spacing w:after="0" w:line="240" w:lineRule="auto"/>
              <w:jc w:val="center"/>
              <w:rPr>
                <w:color w:val="000000"/>
                <w:sz w:val="22"/>
              </w:rPr>
            </w:pPr>
            <w:r w:rsidRPr="002203B6">
              <w:rPr>
                <w:color w:val="000000"/>
                <w:sz w:val="22"/>
              </w:rPr>
              <w:t>100 000</w:t>
            </w:r>
          </w:p>
        </w:tc>
      </w:tr>
    </w:tbl>
    <w:p w14:paraId="0BACC0C3" w14:textId="15090253" w:rsidR="00BF3C92" w:rsidRDefault="00BF3C92" w:rsidP="00BF3C92">
      <w:pPr>
        <w:shd w:val="clear" w:color="auto" w:fill="FFFFFF"/>
        <w:spacing w:before="120" w:after="120" w:line="240" w:lineRule="auto"/>
      </w:pPr>
      <w:r>
        <w:rPr>
          <w:b/>
          <w:sz w:val="20"/>
          <w:szCs w:val="20"/>
          <w:u w:val="single"/>
        </w:rPr>
        <w:t>Source</w:t>
      </w:r>
      <w:r>
        <w:rPr>
          <w:sz w:val="20"/>
          <w:szCs w:val="20"/>
        </w:rPr>
        <w:t xml:space="preserve"> : rapport </w:t>
      </w:r>
      <w:r w:rsidR="00192909">
        <w:rPr>
          <w:sz w:val="20"/>
          <w:szCs w:val="20"/>
        </w:rPr>
        <w:t xml:space="preserve">annuel </w:t>
      </w:r>
      <w:r>
        <w:rPr>
          <w:sz w:val="20"/>
          <w:szCs w:val="20"/>
        </w:rPr>
        <w:t>de performance 2023</w:t>
      </w:r>
      <w:r w:rsidR="00192909">
        <w:rPr>
          <w:sz w:val="20"/>
          <w:szCs w:val="20"/>
        </w:rPr>
        <w:t xml:space="preserve"> </w:t>
      </w:r>
      <w:r>
        <w:rPr>
          <w:sz w:val="20"/>
          <w:szCs w:val="20"/>
        </w:rPr>
        <w:t>du CSD-JDH, février 2024.</w:t>
      </w:r>
      <w:r>
        <w:t xml:space="preserve"> </w:t>
      </w:r>
    </w:p>
    <w:p w14:paraId="7D6B9E4D" w14:textId="5B956780"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Sur une prévision budgétaire de 104</w:t>
      </w:r>
      <w:r w:rsidR="00AF128B">
        <w:rPr>
          <w:rFonts w:eastAsia="Calibri"/>
          <w:szCs w:val="24"/>
        </w:rPr>
        <w:t> </w:t>
      </w:r>
      <w:r w:rsidRPr="00BF3C92">
        <w:rPr>
          <w:rFonts w:eastAsia="Calibri"/>
          <w:szCs w:val="24"/>
        </w:rPr>
        <w:t>560</w:t>
      </w:r>
      <w:r w:rsidR="00AF128B" w:rsidRPr="00036AFD">
        <w:rPr>
          <w:rFonts w:eastAsia="Calibri"/>
          <w:szCs w:val="24"/>
        </w:rPr>
        <w:t> </w:t>
      </w:r>
      <w:r w:rsidRPr="00BF3C92">
        <w:rPr>
          <w:rFonts w:eastAsia="Calibri"/>
          <w:szCs w:val="24"/>
        </w:rPr>
        <w:t>000 FCFA, ce sont 197</w:t>
      </w:r>
      <w:r w:rsidR="00AF128B">
        <w:rPr>
          <w:rFonts w:eastAsia="Calibri"/>
          <w:szCs w:val="24"/>
        </w:rPr>
        <w:t> </w:t>
      </w:r>
      <w:r w:rsidRPr="00BF3C92">
        <w:rPr>
          <w:rFonts w:eastAsia="Calibri"/>
          <w:szCs w:val="24"/>
        </w:rPr>
        <w:t>470</w:t>
      </w:r>
      <w:r w:rsidR="00AF128B" w:rsidRPr="00036AFD">
        <w:rPr>
          <w:rFonts w:eastAsia="Calibri"/>
          <w:szCs w:val="24"/>
        </w:rPr>
        <w:t> </w:t>
      </w:r>
      <w:r w:rsidRPr="00BF3C92">
        <w:rPr>
          <w:rFonts w:eastAsia="Calibri"/>
          <w:szCs w:val="24"/>
        </w:rPr>
        <w:t>000</w:t>
      </w:r>
      <w:r w:rsidR="00192909">
        <w:rPr>
          <w:rFonts w:eastAsia="Calibri"/>
          <w:szCs w:val="24"/>
        </w:rPr>
        <w:t xml:space="preserve"> </w:t>
      </w:r>
      <w:r w:rsidRPr="00BF3C92">
        <w:rPr>
          <w:rFonts w:eastAsia="Calibri"/>
          <w:szCs w:val="24"/>
        </w:rPr>
        <w:t>FCFA qui ont été consommé</w:t>
      </w:r>
      <w:r w:rsidR="00192909">
        <w:rPr>
          <w:rFonts w:eastAsia="Calibri"/>
          <w:szCs w:val="24"/>
        </w:rPr>
        <w:t>s</w:t>
      </w:r>
      <w:r w:rsidRPr="00BF3C92">
        <w:rPr>
          <w:rFonts w:eastAsia="Calibri"/>
          <w:szCs w:val="24"/>
        </w:rPr>
        <w:t xml:space="preserve">, soit un taux d’exécution financière de plus de 100%. </w:t>
      </w:r>
    </w:p>
    <w:p w14:paraId="24A4E949" w14:textId="2E5F0030"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Pour ce qui est de la troisième action relative à </w:t>
      </w:r>
      <w:r w:rsidRPr="008139E1">
        <w:rPr>
          <w:rFonts w:eastAsia="Calibri"/>
          <w:b/>
          <w:szCs w:val="24"/>
        </w:rPr>
        <w:t>la systématisation de la répression contre les discours haineux et la stigmatisation des communautés (04005)</w:t>
      </w:r>
      <w:r w:rsidRPr="00BF3C92">
        <w:rPr>
          <w:rFonts w:eastAsia="Calibri"/>
          <w:szCs w:val="24"/>
        </w:rPr>
        <w:t xml:space="preserve"> portée par le CSD-JDH et mesuré</w:t>
      </w:r>
      <w:r w:rsidR="00971493">
        <w:rPr>
          <w:rFonts w:eastAsia="Calibri"/>
          <w:szCs w:val="24"/>
        </w:rPr>
        <w:t>e</w:t>
      </w:r>
      <w:r w:rsidRPr="00BF3C92">
        <w:rPr>
          <w:rFonts w:eastAsia="Calibri"/>
          <w:szCs w:val="24"/>
        </w:rPr>
        <w:t xml:space="preserve"> par la proportion des cas identifiés et poursuivis, au 31 décembre 2023, la cible d’engager des poursuites judiciaires contre tous les auteurs (100% des cas) de discours haineux et de stigmatisation des communautés identifiés a été atteinte. </w:t>
      </w:r>
    </w:p>
    <w:p w14:paraId="65964BFE" w14:textId="21790093"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Au 31 décembre 2023, des deux produits programmés, seul celui relatif à la poursuite des cas de discours haineux et de stigmatisation des communauté</w:t>
      </w:r>
      <w:r w:rsidR="00192909">
        <w:rPr>
          <w:rFonts w:eastAsia="Calibri"/>
          <w:szCs w:val="24"/>
        </w:rPr>
        <w:t>s</w:t>
      </w:r>
      <w:r w:rsidRPr="00BF3C92">
        <w:rPr>
          <w:rFonts w:eastAsia="Calibri"/>
          <w:szCs w:val="24"/>
        </w:rPr>
        <w:t xml:space="preserve"> signalés a été réalisé. En effet, le parquet du TGI Ouaga I a engagé 03 poursuites judiciaires contre 12 personnes suspectées de propos </w:t>
      </w:r>
      <w:proofErr w:type="spellStart"/>
      <w:r w:rsidRPr="00BF3C92">
        <w:rPr>
          <w:rFonts w:eastAsia="Calibri"/>
          <w:szCs w:val="24"/>
        </w:rPr>
        <w:t>stigmatisant</w:t>
      </w:r>
      <w:r w:rsidR="00971493">
        <w:rPr>
          <w:rFonts w:eastAsia="Calibri"/>
          <w:szCs w:val="24"/>
        </w:rPr>
        <w:t>s</w:t>
      </w:r>
      <w:proofErr w:type="spellEnd"/>
      <w:r w:rsidRPr="00BF3C92">
        <w:rPr>
          <w:rFonts w:eastAsia="Calibri"/>
          <w:szCs w:val="24"/>
        </w:rPr>
        <w:t>. A l’issue des audiences, 09 personnes ont été condamnées et les 03 autres relaxées au bénéfice du doute. En revanche, la cellule de veille et d’alerte contre les discours haineux et la stigmatisation des communautés programmée n’a pu être créée et rendue fonctionnelle.</w:t>
      </w:r>
    </w:p>
    <w:p w14:paraId="51EE2B22"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La quatrième action est relative à </w:t>
      </w:r>
      <w:r w:rsidRPr="008139E1">
        <w:rPr>
          <w:rFonts w:eastAsia="Calibri"/>
          <w:b/>
          <w:szCs w:val="24"/>
        </w:rPr>
        <w:t>la finalisation et mise en œuvre de la stratégie de communication gouvernementale en temps de crise (04006)</w:t>
      </w:r>
      <w:r w:rsidRPr="00BF3C92">
        <w:rPr>
          <w:rFonts w:eastAsia="Calibri"/>
          <w:szCs w:val="24"/>
        </w:rPr>
        <w:t>. Portée par le CSD-GAL, elle est mesurée par 03 indicateurs à savoir le « taux d'exécution de la stratégie de communication de crise gouvernementale », le « nombre de productions audiovisuelles de sensibilisation produites et diffusées » et le « nombre de personnes sensibilisées et formées ». Au 31 décembre 2023, les trois (03) indicateurs ont atteint leurs cibles. En effet, les réalisations sont respectivement de 16,15% pour une cible de 13,13%, de 822 pour une cible de 720 et de 2 319 606 pour une cible de 2 319 606.</w:t>
      </w:r>
    </w:p>
    <w:p w14:paraId="38F9ABB7"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Les indicateurs des trois (03) produits programmés ont tous atteint leurs cibles. Le contexte sécuritaire national recommande la production massive des capsules audiovisuelles de sensibilisation, ce qui a entrainé le dépassement de la cible de l’indicateur « nombre de productions audiovisuelles réalisées et diffusées ». </w:t>
      </w:r>
    </w:p>
    <w:p w14:paraId="5D3D68B1" w14:textId="4C55F018" w:rsidR="008008C3"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La situation des indicateurs de produits de l’action est présentée dans le tableau ci-après.</w:t>
      </w:r>
    </w:p>
    <w:p w14:paraId="17E8A1BD" w14:textId="77777777" w:rsidR="008008C3" w:rsidRDefault="008008C3">
      <w:pPr>
        <w:spacing w:after="0" w:line="240" w:lineRule="auto"/>
        <w:jc w:val="left"/>
        <w:rPr>
          <w:rFonts w:eastAsia="Calibri"/>
          <w:szCs w:val="24"/>
        </w:rPr>
      </w:pPr>
      <w:r>
        <w:rPr>
          <w:rFonts w:eastAsia="Calibri"/>
          <w:szCs w:val="24"/>
        </w:rPr>
        <w:br w:type="page"/>
      </w:r>
    </w:p>
    <w:p w14:paraId="17E626A5" w14:textId="700DD65C" w:rsidR="00BF3C92" w:rsidRPr="0042784A" w:rsidRDefault="00383CDB" w:rsidP="008139E1">
      <w:pPr>
        <w:pStyle w:val="Lgende"/>
        <w:rPr>
          <w:rFonts w:ascii="Merriweather" w:hAnsi="Merriweather" w:cs="Merriweather"/>
          <w:color w:val="auto"/>
        </w:rPr>
      </w:pPr>
      <w:bookmarkStart w:id="179" w:name="_Toc164503674"/>
      <w:r w:rsidRPr="0042784A">
        <w:rPr>
          <w:b/>
          <w:i w:val="0"/>
          <w:color w:val="auto"/>
          <w:sz w:val="22"/>
          <w:szCs w:val="22"/>
          <w:u w:val="single"/>
        </w:rPr>
        <w:lastRenderedPageBreak/>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87</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3"/>
          <w:szCs w:val="23"/>
        </w:rPr>
        <w:t>situation des indicateurs de produits de l'action « finalisation et mise en œuvre de la stratégie de communication gouvernementale en temps de crise » au 31 décembre 2023</w:t>
      </w:r>
      <w:bookmarkEnd w:id="179"/>
    </w:p>
    <w:tbl>
      <w:tblPr>
        <w:tblStyle w:val="GridTable4-Accent111"/>
        <w:tblW w:w="5000" w:type="pct"/>
        <w:tblLook w:val="04A0" w:firstRow="1" w:lastRow="0" w:firstColumn="1" w:lastColumn="0" w:noHBand="0" w:noVBand="1"/>
      </w:tblPr>
      <w:tblGrid>
        <w:gridCol w:w="4782"/>
        <w:gridCol w:w="1412"/>
        <w:gridCol w:w="1412"/>
        <w:gridCol w:w="1410"/>
      </w:tblGrid>
      <w:tr w:rsidR="00BF3C92" w:rsidRPr="00F175A7" w14:paraId="35AABE18" w14:textId="77777777" w:rsidTr="002203B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652" w:type="pct"/>
          </w:tcPr>
          <w:p w14:paraId="73654155" w14:textId="36A87CCC" w:rsidR="00BF3C92" w:rsidRPr="00192909" w:rsidRDefault="00BF3C92" w:rsidP="00F175A7">
            <w:pPr>
              <w:spacing w:after="0" w:line="240" w:lineRule="auto"/>
              <w:rPr>
                <w:sz w:val="22"/>
              </w:rPr>
            </w:pPr>
            <w:r w:rsidRPr="00192909">
              <w:rPr>
                <w:sz w:val="22"/>
              </w:rPr>
              <w:t>Indicateur</w:t>
            </w:r>
            <w:r w:rsidR="00192909" w:rsidRPr="00192909">
              <w:rPr>
                <w:sz w:val="22"/>
              </w:rPr>
              <w:t>s</w:t>
            </w:r>
          </w:p>
        </w:tc>
        <w:tc>
          <w:tcPr>
            <w:tcW w:w="783" w:type="pct"/>
          </w:tcPr>
          <w:p w14:paraId="0E885F54" w14:textId="77777777" w:rsidR="00BF3C92" w:rsidRPr="00546A22" w:rsidRDefault="00BF3C9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546A22">
              <w:rPr>
                <w:sz w:val="22"/>
              </w:rPr>
              <w:t>Réal. 2022</w:t>
            </w:r>
          </w:p>
        </w:tc>
        <w:tc>
          <w:tcPr>
            <w:tcW w:w="783" w:type="pct"/>
          </w:tcPr>
          <w:p w14:paraId="20BDE053" w14:textId="77777777" w:rsidR="00BF3C92" w:rsidRPr="00E958AE" w:rsidRDefault="00BF3C9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E958AE">
              <w:rPr>
                <w:sz w:val="22"/>
              </w:rPr>
              <w:t>Réal. 2023</w:t>
            </w:r>
          </w:p>
        </w:tc>
        <w:tc>
          <w:tcPr>
            <w:tcW w:w="782" w:type="pct"/>
          </w:tcPr>
          <w:p w14:paraId="2F539C95" w14:textId="77777777" w:rsidR="00BF3C92" w:rsidRPr="00F175A7" w:rsidRDefault="00BF3C92" w:rsidP="00F175A7">
            <w:pPr>
              <w:spacing w:after="0" w:line="240" w:lineRule="auto"/>
              <w:cnfStyle w:val="100000000000" w:firstRow="1" w:lastRow="0" w:firstColumn="0" w:lastColumn="0" w:oddVBand="0" w:evenVBand="0" w:oddHBand="0" w:evenHBand="0" w:firstRowFirstColumn="0" w:firstRowLastColumn="0" w:lastRowFirstColumn="0" w:lastRowLastColumn="0"/>
              <w:rPr>
                <w:sz w:val="22"/>
              </w:rPr>
            </w:pPr>
            <w:r w:rsidRPr="00F175A7">
              <w:rPr>
                <w:sz w:val="22"/>
              </w:rPr>
              <w:t>Cible 2023</w:t>
            </w:r>
          </w:p>
        </w:tc>
      </w:tr>
      <w:tr w:rsidR="00BF3C92" w:rsidRPr="00F175A7" w14:paraId="5CD7104B"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52" w:type="pct"/>
          </w:tcPr>
          <w:p w14:paraId="724B80DF" w14:textId="77777777" w:rsidR="00BF3C92" w:rsidRPr="00F175A7" w:rsidRDefault="00BF3C92" w:rsidP="00F175A7">
            <w:pPr>
              <w:spacing w:after="0" w:line="240" w:lineRule="auto"/>
              <w:rPr>
                <w:sz w:val="22"/>
              </w:rPr>
            </w:pPr>
            <w:r w:rsidRPr="00F175A7">
              <w:rPr>
                <w:sz w:val="22"/>
              </w:rPr>
              <w:t>Taux d’exécution de la stratégie de communication gouvernementale</w:t>
            </w:r>
          </w:p>
        </w:tc>
        <w:tc>
          <w:tcPr>
            <w:tcW w:w="783" w:type="pct"/>
          </w:tcPr>
          <w:p w14:paraId="559BE944" w14:textId="77777777" w:rsidR="00BF3C92" w:rsidRPr="00F175A7" w:rsidRDefault="00BF3C9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ND</w:t>
            </w:r>
          </w:p>
        </w:tc>
        <w:tc>
          <w:tcPr>
            <w:tcW w:w="783" w:type="pct"/>
          </w:tcPr>
          <w:p w14:paraId="5950B217" w14:textId="77777777" w:rsidR="00BF3C92" w:rsidRPr="00F175A7" w:rsidRDefault="00BF3C9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16,15</w:t>
            </w:r>
          </w:p>
        </w:tc>
        <w:tc>
          <w:tcPr>
            <w:tcW w:w="782" w:type="pct"/>
          </w:tcPr>
          <w:p w14:paraId="07CCF4C6" w14:textId="77777777" w:rsidR="00BF3C92" w:rsidRPr="00F175A7" w:rsidRDefault="00BF3C9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13,3</w:t>
            </w:r>
          </w:p>
        </w:tc>
      </w:tr>
      <w:tr w:rsidR="00BF3C92" w:rsidRPr="00F175A7" w14:paraId="144F7032"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52" w:type="pct"/>
          </w:tcPr>
          <w:p w14:paraId="4198E836" w14:textId="77777777" w:rsidR="00BF3C92" w:rsidRPr="00F175A7" w:rsidRDefault="00BF3C92" w:rsidP="00F175A7">
            <w:pPr>
              <w:spacing w:after="0" w:line="240" w:lineRule="auto"/>
              <w:rPr>
                <w:sz w:val="22"/>
              </w:rPr>
            </w:pPr>
            <w:r w:rsidRPr="00F175A7">
              <w:rPr>
                <w:sz w:val="22"/>
              </w:rPr>
              <w:t>Nombre de conférences publiques sur l’extrémisme violent organisées</w:t>
            </w:r>
          </w:p>
        </w:tc>
        <w:tc>
          <w:tcPr>
            <w:tcW w:w="783" w:type="pct"/>
          </w:tcPr>
          <w:p w14:paraId="221126BA" w14:textId="77777777" w:rsidR="00BF3C92" w:rsidRPr="00F175A7" w:rsidRDefault="00BF3C9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04</w:t>
            </w:r>
          </w:p>
        </w:tc>
        <w:tc>
          <w:tcPr>
            <w:tcW w:w="783" w:type="pct"/>
          </w:tcPr>
          <w:p w14:paraId="07076F83" w14:textId="77777777" w:rsidR="00BF3C92" w:rsidRPr="00F175A7" w:rsidRDefault="00BF3C9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03</w:t>
            </w:r>
          </w:p>
        </w:tc>
        <w:tc>
          <w:tcPr>
            <w:tcW w:w="782" w:type="pct"/>
          </w:tcPr>
          <w:p w14:paraId="434DA212" w14:textId="77777777" w:rsidR="00BF3C92" w:rsidRPr="00F175A7" w:rsidRDefault="00BF3C92" w:rsidP="00F175A7">
            <w:pPr>
              <w:spacing w:after="0" w:line="240" w:lineRule="auto"/>
              <w:cnfStyle w:val="000000000000" w:firstRow="0" w:lastRow="0" w:firstColumn="0" w:lastColumn="0" w:oddVBand="0" w:evenVBand="0" w:oddHBand="0" w:evenHBand="0" w:firstRowFirstColumn="0" w:firstRowLastColumn="0" w:lastRowFirstColumn="0" w:lastRowLastColumn="0"/>
              <w:rPr>
                <w:sz w:val="22"/>
              </w:rPr>
            </w:pPr>
            <w:r w:rsidRPr="00F175A7">
              <w:rPr>
                <w:sz w:val="22"/>
              </w:rPr>
              <w:t>03</w:t>
            </w:r>
          </w:p>
        </w:tc>
      </w:tr>
      <w:tr w:rsidR="00BF3C92" w:rsidRPr="00F175A7" w14:paraId="3D4F358D"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52" w:type="pct"/>
          </w:tcPr>
          <w:p w14:paraId="468FF7F8" w14:textId="77777777" w:rsidR="00BF3C92" w:rsidRPr="00F175A7" w:rsidRDefault="00BF3C92" w:rsidP="00F175A7">
            <w:pPr>
              <w:spacing w:after="0" w:line="240" w:lineRule="auto"/>
              <w:rPr>
                <w:sz w:val="22"/>
              </w:rPr>
            </w:pPr>
            <w:r w:rsidRPr="00F175A7">
              <w:rPr>
                <w:sz w:val="22"/>
              </w:rPr>
              <w:t>Nombre de productions audiovisuelles réalisées et diffusées</w:t>
            </w:r>
          </w:p>
        </w:tc>
        <w:tc>
          <w:tcPr>
            <w:tcW w:w="783" w:type="pct"/>
          </w:tcPr>
          <w:p w14:paraId="1C28BBB7" w14:textId="77777777" w:rsidR="00BF3C92" w:rsidRPr="00F175A7" w:rsidRDefault="00BF3C9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230</w:t>
            </w:r>
          </w:p>
        </w:tc>
        <w:tc>
          <w:tcPr>
            <w:tcW w:w="783" w:type="pct"/>
          </w:tcPr>
          <w:p w14:paraId="61B60E0E" w14:textId="77777777" w:rsidR="00BF3C92" w:rsidRPr="00F175A7" w:rsidRDefault="00BF3C9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822</w:t>
            </w:r>
          </w:p>
        </w:tc>
        <w:tc>
          <w:tcPr>
            <w:tcW w:w="782" w:type="pct"/>
          </w:tcPr>
          <w:p w14:paraId="2046203B" w14:textId="77777777" w:rsidR="00BF3C92" w:rsidRPr="00F175A7" w:rsidRDefault="00BF3C92" w:rsidP="00F175A7">
            <w:pPr>
              <w:spacing w:after="0" w:line="240" w:lineRule="auto"/>
              <w:cnfStyle w:val="000000100000" w:firstRow="0" w:lastRow="0" w:firstColumn="0" w:lastColumn="0" w:oddVBand="0" w:evenVBand="0" w:oddHBand="1" w:evenHBand="0" w:firstRowFirstColumn="0" w:firstRowLastColumn="0" w:lastRowFirstColumn="0" w:lastRowLastColumn="0"/>
              <w:rPr>
                <w:sz w:val="22"/>
              </w:rPr>
            </w:pPr>
            <w:r w:rsidRPr="00F175A7">
              <w:rPr>
                <w:sz w:val="22"/>
              </w:rPr>
              <w:t>720</w:t>
            </w:r>
          </w:p>
        </w:tc>
      </w:tr>
    </w:tbl>
    <w:p w14:paraId="22C62BF4" w14:textId="40E9FEF8" w:rsidR="00BF3C92" w:rsidRDefault="00BF3C92" w:rsidP="00BF3C92">
      <w:pPr>
        <w:shd w:val="clear" w:color="auto" w:fill="FFFFFF"/>
        <w:spacing w:before="120" w:after="120" w:line="240" w:lineRule="auto"/>
      </w:pPr>
      <w:r>
        <w:rPr>
          <w:b/>
          <w:sz w:val="20"/>
          <w:szCs w:val="20"/>
          <w:u w:val="single"/>
        </w:rPr>
        <w:t>Source</w:t>
      </w:r>
      <w:r>
        <w:rPr>
          <w:sz w:val="20"/>
          <w:szCs w:val="20"/>
        </w:rPr>
        <w:t xml:space="preserve"> : rapport </w:t>
      </w:r>
      <w:r w:rsidR="00192909">
        <w:rPr>
          <w:sz w:val="20"/>
          <w:szCs w:val="20"/>
        </w:rPr>
        <w:t xml:space="preserve">annuel </w:t>
      </w:r>
      <w:r>
        <w:rPr>
          <w:sz w:val="20"/>
          <w:szCs w:val="20"/>
        </w:rPr>
        <w:t>de performance 2023</w:t>
      </w:r>
      <w:r w:rsidR="00192909">
        <w:rPr>
          <w:sz w:val="20"/>
          <w:szCs w:val="20"/>
        </w:rPr>
        <w:t xml:space="preserve"> </w:t>
      </w:r>
      <w:r>
        <w:rPr>
          <w:sz w:val="20"/>
          <w:szCs w:val="20"/>
        </w:rPr>
        <w:t>du CSD-GAL, février 2024.</w:t>
      </w:r>
      <w:r>
        <w:t xml:space="preserve"> </w:t>
      </w:r>
    </w:p>
    <w:p w14:paraId="2790FF4B"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Sur une prévision de 439 003 000 FCA, 416 536 000 FCA ont été dépensés, soit un taux de 95%.</w:t>
      </w:r>
    </w:p>
    <w:p w14:paraId="009E96F3" w14:textId="6348850E"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Pour la cinquième action concernant </w:t>
      </w:r>
      <w:r w:rsidRPr="008139E1">
        <w:rPr>
          <w:rFonts w:eastAsia="Calibri"/>
          <w:b/>
          <w:szCs w:val="24"/>
        </w:rPr>
        <w:t>la promotion du civisme, du dialogue et de l'engagement citoyen (04007)</w:t>
      </w:r>
      <w:r w:rsidRPr="00BF3C92">
        <w:rPr>
          <w:rFonts w:eastAsia="Calibri"/>
          <w:szCs w:val="24"/>
        </w:rPr>
        <w:t xml:space="preserve"> qui est portée par le CSD-JDH, au 31 décembre 2023, l’indicateur de l’action a atteint sa cible car 150</w:t>
      </w:r>
      <w:r w:rsidR="00AF128B" w:rsidRPr="00036AFD">
        <w:rPr>
          <w:rFonts w:eastAsia="Calibri"/>
          <w:szCs w:val="24"/>
        </w:rPr>
        <w:t> </w:t>
      </w:r>
      <w:r w:rsidRPr="00BF3C92">
        <w:rPr>
          <w:rFonts w:eastAsia="Calibri"/>
          <w:szCs w:val="24"/>
        </w:rPr>
        <w:t xml:space="preserve">000 personnes ont été sensibilisés </w:t>
      </w:r>
      <w:r w:rsidR="00971493">
        <w:rPr>
          <w:rFonts w:eastAsia="Calibri"/>
          <w:szCs w:val="24"/>
        </w:rPr>
        <w:t>au</w:t>
      </w:r>
      <w:r w:rsidRPr="00BF3C92">
        <w:rPr>
          <w:rFonts w:eastAsia="Calibri"/>
          <w:szCs w:val="24"/>
        </w:rPr>
        <w:t xml:space="preserve"> civisme sur une prévision de 100</w:t>
      </w:r>
      <w:r w:rsidR="00AF128B" w:rsidRPr="00036AFD">
        <w:rPr>
          <w:rFonts w:eastAsia="Calibri"/>
          <w:szCs w:val="24"/>
        </w:rPr>
        <w:t> </w:t>
      </w:r>
      <w:r w:rsidRPr="00BF3C92">
        <w:rPr>
          <w:rFonts w:eastAsia="Calibri"/>
          <w:szCs w:val="24"/>
        </w:rPr>
        <w:t xml:space="preserve">000 personnes. </w:t>
      </w:r>
    </w:p>
    <w:p w14:paraId="5F118C51" w14:textId="5D236C44"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Deux indicateurs de produit</w:t>
      </w:r>
      <w:r w:rsidR="00971493">
        <w:rPr>
          <w:rFonts w:eastAsia="Calibri"/>
          <w:szCs w:val="24"/>
        </w:rPr>
        <w:t>s</w:t>
      </w:r>
      <w:r w:rsidRPr="00BF3C92">
        <w:rPr>
          <w:rFonts w:eastAsia="Calibri"/>
          <w:szCs w:val="24"/>
        </w:rPr>
        <w:t xml:space="preserve"> concourent à la réalisation de cette action. Il s’agit du nombre de personnes sensibilisées lors de la SENAC et du nombre de personnes sensibilisées et formées </w:t>
      </w:r>
      <w:r w:rsidR="00971493">
        <w:rPr>
          <w:rFonts w:eastAsia="Calibri"/>
          <w:szCs w:val="24"/>
        </w:rPr>
        <w:t>au</w:t>
      </w:r>
      <w:r w:rsidRPr="00BF3C92">
        <w:rPr>
          <w:rFonts w:eastAsia="Calibri"/>
          <w:szCs w:val="24"/>
        </w:rPr>
        <w:t xml:space="preserve"> civisme en milieu scolaire. En fin décembre 2023, tous les deux (02) indicateurs de produits ont atteint leur cible. En effet, sur une prévision de 100</w:t>
      </w:r>
      <w:r w:rsidR="00AF128B" w:rsidRPr="00036AFD">
        <w:rPr>
          <w:rFonts w:eastAsia="Calibri"/>
          <w:szCs w:val="24"/>
        </w:rPr>
        <w:t> </w:t>
      </w:r>
      <w:r w:rsidRPr="00BF3C92">
        <w:rPr>
          <w:rFonts w:eastAsia="Calibri"/>
          <w:szCs w:val="24"/>
        </w:rPr>
        <w:t>000 personnes, 150</w:t>
      </w:r>
      <w:r w:rsidR="00AF128B" w:rsidRPr="00036AFD">
        <w:rPr>
          <w:rFonts w:eastAsia="Calibri"/>
          <w:szCs w:val="24"/>
        </w:rPr>
        <w:t> </w:t>
      </w:r>
      <w:r w:rsidRPr="00BF3C92">
        <w:rPr>
          <w:rFonts w:eastAsia="Calibri"/>
          <w:szCs w:val="24"/>
        </w:rPr>
        <w:t xml:space="preserve">000 personnes ont été sensibilisées </w:t>
      </w:r>
      <w:r w:rsidR="00971493">
        <w:rPr>
          <w:rFonts w:eastAsia="Calibri"/>
          <w:szCs w:val="24"/>
        </w:rPr>
        <w:t>au</w:t>
      </w:r>
      <w:r w:rsidRPr="00BF3C92">
        <w:rPr>
          <w:rFonts w:eastAsia="Calibri"/>
          <w:szCs w:val="24"/>
        </w:rPr>
        <w:t xml:space="preserve"> civisme lors de la SENAC tenue du 23 au 27 octobre autour du thème :</w:t>
      </w:r>
      <w:proofErr w:type="gramStart"/>
      <w:r w:rsidRPr="00BF3C92">
        <w:rPr>
          <w:rFonts w:eastAsia="Calibri"/>
          <w:szCs w:val="24"/>
        </w:rPr>
        <w:t xml:space="preserve"> «</w:t>
      </w:r>
      <w:r w:rsidR="00971493">
        <w:rPr>
          <w:rFonts w:eastAsia="Calibri"/>
          <w:szCs w:val="24"/>
        </w:rPr>
        <w:t>C</w:t>
      </w:r>
      <w:r w:rsidRPr="00BF3C92">
        <w:rPr>
          <w:rFonts w:eastAsia="Calibri"/>
          <w:szCs w:val="24"/>
        </w:rPr>
        <w:t>itoyenneté</w:t>
      </w:r>
      <w:proofErr w:type="gramEnd"/>
      <w:r w:rsidRPr="00BF3C92">
        <w:rPr>
          <w:rFonts w:eastAsia="Calibri"/>
          <w:szCs w:val="24"/>
        </w:rPr>
        <w:t xml:space="preserve"> en action pour la reconquête de l’intégrité du territoire national ». Aussi, sur une prévision de 1 120 élèves à sensibiliser en milieu scolaire, 2 150 élèves de la région du Centre et 97 membres d’organisations scolaires des régions du Centre-Ouest, de la Boucle du Mouhoun et du Centre-Est ont été sensibilisés </w:t>
      </w:r>
      <w:r w:rsidR="00971493">
        <w:rPr>
          <w:rFonts w:eastAsia="Calibri"/>
          <w:szCs w:val="24"/>
        </w:rPr>
        <w:t xml:space="preserve">à </w:t>
      </w:r>
      <w:r w:rsidRPr="00BF3C92">
        <w:rPr>
          <w:rFonts w:eastAsia="Calibri"/>
          <w:szCs w:val="24"/>
        </w:rPr>
        <w:t xml:space="preserve">la culture du civisme. </w:t>
      </w:r>
    </w:p>
    <w:p w14:paraId="3F40E76E" w14:textId="1D17017B"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Pour ce qui est de la sixième action relative à </w:t>
      </w:r>
      <w:r w:rsidRPr="008139E1">
        <w:rPr>
          <w:rFonts w:eastAsia="Calibri"/>
          <w:b/>
          <w:szCs w:val="24"/>
        </w:rPr>
        <w:t>la poursuite du processus de la réconciliation nationale (04008)</w:t>
      </w:r>
      <w:r w:rsidRPr="00BF3C92">
        <w:rPr>
          <w:rFonts w:eastAsia="Calibri"/>
          <w:szCs w:val="24"/>
        </w:rPr>
        <w:t>, il vise notamment à faire indemniser les victimes ayant subi des préjudices des crises sociopolitiques de 1960 à 2015. Les produits programmés à ce titre n’ont pas connu un début de mise en œuvre. Pour l’année 2023, il s’agit d’organiser quatre (04) séances de formation des acteurs sur les formes de justice, de désarmer et réintégrer 1 000 ex</w:t>
      </w:r>
      <w:r w:rsidR="00971493">
        <w:rPr>
          <w:rFonts w:eastAsia="Calibri"/>
          <w:szCs w:val="24"/>
        </w:rPr>
        <w:t>-</w:t>
      </w:r>
      <w:r w:rsidRPr="00BF3C92">
        <w:rPr>
          <w:rFonts w:eastAsia="Calibri"/>
          <w:szCs w:val="24"/>
        </w:rPr>
        <w:t>combattants des groupes armés terroristes dans leur communauté, d’indemniser 10 000 victimes des crises socio-politiques et de vulgariser et mettre en œuvre trois (03) outils sur les valeurs endogènes et traditionnelles du pacte de vivre-ensemble.</w:t>
      </w:r>
    </w:p>
    <w:p w14:paraId="37FB2A66" w14:textId="43E971CB"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L’action relative au </w:t>
      </w:r>
      <w:r w:rsidRPr="008139E1">
        <w:rPr>
          <w:rFonts w:eastAsia="Calibri"/>
          <w:b/>
          <w:szCs w:val="24"/>
        </w:rPr>
        <w:t xml:space="preserve">renforcement de la citoyenneté et l'insertion socio-économique des jeunes et </w:t>
      </w:r>
      <w:proofErr w:type="gramStart"/>
      <w:r w:rsidRPr="008139E1">
        <w:rPr>
          <w:rFonts w:eastAsia="Calibri"/>
          <w:b/>
          <w:szCs w:val="24"/>
        </w:rPr>
        <w:t>des femmes exposés</w:t>
      </w:r>
      <w:proofErr w:type="gramEnd"/>
      <w:r w:rsidRPr="008139E1">
        <w:rPr>
          <w:rFonts w:eastAsia="Calibri"/>
          <w:b/>
          <w:szCs w:val="24"/>
        </w:rPr>
        <w:t xml:space="preserve"> au risque de basculement dans l'extrémisme violent dans les zones à fort défi sécuritaire</w:t>
      </w:r>
      <w:r w:rsidRPr="00BF3C92">
        <w:rPr>
          <w:rFonts w:eastAsia="Calibri"/>
          <w:szCs w:val="24"/>
        </w:rPr>
        <w:t xml:space="preserve"> est mise en œuvre par le CSD-JDH. Au 31 décembre 2023, l’indicateur l’action a atteint sa cible car, 114</w:t>
      </w:r>
      <w:r w:rsidR="00AF128B" w:rsidRPr="00036AFD">
        <w:rPr>
          <w:rFonts w:eastAsia="Calibri"/>
          <w:szCs w:val="24"/>
        </w:rPr>
        <w:t> </w:t>
      </w:r>
      <w:r w:rsidRPr="00BF3C92">
        <w:rPr>
          <w:rFonts w:eastAsia="Calibri"/>
          <w:szCs w:val="24"/>
        </w:rPr>
        <w:t xml:space="preserve">630 jeunes et femmes ont été formés </w:t>
      </w:r>
      <w:r w:rsidR="00971493">
        <w:rPr>
          <w:rFonts w:eastAsia="Calibri"/>
          <w:szCs w:val="24"/>
        </w:rPr>
        <w:t xml:space="preserve">à la </w:t>
      </w:r>
      <w:r w:rsidRPr="00BF3C92">
        <w:rPr>
          <w:rFonts w:eastAsia="Calibri"/>
          <w:szCs w:val="24"/>
        </w:rPr>
        <w:t>citoyenneté et à l'insertion</w:t>
      </w:r>
      <w:r w:rsidR="00971493">
        <w:rPr>
          <w:rFonts w:eastAsia="Calibri"/>
          <w:szCs w:val="24"/>
        </w:rPr>
        <w:t xml:space="preserve"> </w:t>
      </w:r>
      <w:r w:rsidRPr="00BF3C92">
        <w:rPr>
          <w:rFonts w:eastAsia="Calibri"/>
          <w:szCs w:val="24"/>
        </w:rPr>
        <w:t>socio-économique pour une cible 62</w:t>
      </w:r>
      <w:r w:rsidR="00971493" w:rsidRPr="00056445">
        <w:rPr>
          <w:rFonts w:eastAsia="Calibri"/>
          <w:szCs w:val="24"/>
        </w:rPr>
        <w:t>°</w:t>
      </w:r>
      <w:r w:rsidRPr="00BF3C92">
        <w:rPr>
          <w:rFonts w:eastAsia="Calibri"/>
          <w:szCs w:val="24"/>
        </w:rPr>
        <w:t>239.</w:t>
      </w:r>
    </w:p>
    <w:p w14:paraId="399650D0" w14:textId="6B7BD254"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lastRenderedPageBreak/>
        <w:t xml:space="preserve">Aussi, en fin décembre 2023, tous les indicateurs de produits ont atteint leur cible. Il s’agit de : (i) la sensibilisation de 794 jeunes </w:t>
      </w:r>
      <w:r w:rsidR="00971493">
        <w:rPr>
          <w:rFonts w:eastAsia="Calibri"/>
          <w:szCs w:val="24"/>
        </w:rPr>
        <w:t xml:space="preserve">à la </w:t>
      </w:r>
      <w:r w:rsidRPr="00BF3C92">
        <w:rPr>
          <w:rFonts w:eastAsia="Calibri"/>
          <w:szCs w:val="24"/>
        </w:rPr>
        <w:t xml:space="preserve">vie associative ; (ii) la sensibilisation de </w:t>
      </w:r>
      <w:r w:rsidR="00A01C65">
        <w:rPr>
          <w:rFonts w:eastAsia="Calibri"/>
          <w:szCs w:val="24"/>
        </w:rPr>
        <w:t>44</w:t>
      </w:r>
      <w:r w:rsidR="00971493" w:rsidRPr="00056445">
        <w:rPr>
          <w:rFonts w:eastAsia="Calibri"/>
          <w:szCs w:val="24"/>
        </w:rPr>
        <w:t>°</w:t>
      </w:r>
      <w:r w:rsidR="00A01C65">
        <w:rPr>
          <w:rFonts w:eastAsia="Calibri"/>
          <w:szCs w:val="24"/>
        </w:rPr>
        <w:t>088</w:t>
      </w:r>
      <w:r w:rsidRPr="00BF3C92">
        <w:rPr>
          <w:rFonts w:eastAsia="Calibri"/>
          <w:szCs w:val="24"/>
        </w:rPr>
        <w:t xml:space="preserve"> jeunes sur l’engagement citoyen ; (iii) la sensibilisation de 58 630 jeunes </w:t>
      </w:r>
      <w:r w:rsidR="00971493">
        <w:rPr>
          <w:rFonts w:eastAsia="Calibri"/>
          <w:szCs w:val="24"/>
        </w:rPr>
        <w:t>au</w:t>
      </w:r>
      <w:r w:rsidRPr="00BF3C92">
        <w:rPr>
          <w:rFonts w:eastAsia="Calibri"/>
          <w:szCs w:val="24"/>
        </w:rPr>
        <w:t xml:space="preserve"> civisme, la culture de la paix, la lutte contre les conduites addictives et l’extrémisme violent et (iv) du recrutement et le placement de </w:t>
      </w:r>
      <w:r w:rsidR="002B3EC1">
        <w:rPr>
          <w:rFonts w:eastAsia="Calibri"/>
          <w:szCs w:val="24"/>
        </w:rPr>
        <w:t>44</w:t>
      </w:r>
      <w:r w:rsidR="00971493" w:rsidRPr="00056445">
        <w:rPr>
          <w:rFonts w:eastAsia="Calibri"/>
          <w:szCs w:val="24"/>
        </w:rPr>
        <w:t>°</w:t>
      </w:r>
      <w:r w:rsidR="002B3EC1">
        <w:rPr>
          <w:rFonts w:eastAsia="Calibri"/>
          <w:szCs w:val="24"/>
        </w:rPr>
        <w:t>088</w:t>
      </w:r>
      <w:r w:rsidRPr="00BF3C92">
        <w:rPr>
          <w:rFonts w:eastAsia="Calibri"/>
          <w:szCs w:val="24"/>
        </w:rPr>
        <w:t xml:space="preserve"> jeunes volontaires sur</w:t>
      </w:r>
      <w:r w:rsidR="008008C3">
        <w:rPr>
          <w:rFonts w:eastAsia="Calibri"/>
          <w:szCs w:val="24"/>
        </w:rPr>
        <w:t xml:space="preserve"> les chantiers de développement</w:t>
      </w:r>
      <w:r w:rsidRPr="00BF3C92">
        <w:rPr>
          <w:rFonts w:eastAsia="Calibri"/>
          <w:szCs w:val="24"/>
        </w:rPr>
        <w:t>.</w:t>
      </w:r>
    </w:p>
    <w:p w14:paraId="56A71986" w14:textId="60449628" w:rsidR="00BF3C92" w:rsidRPr="0042784A" w:rsidRDefault="00590817" w:rsidP="008139E1">
      <w:pPr>
        <w:pStyle w:val="Lgende"/>
        <w:rPr>
          <w:rFonts w:ascii="Merriweather" w:hAnsi="Merriweather" w:cs="Merriweather"/>
          <w:color w:val="auto"/>
          <w:sz w:val="22"/>
        </w:rPr>
      </w:pPr>
      <w:bookmarkStart w:id="180" w:name="_Toc164503675"/>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88</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3"/>
          <w:szCs w:val="23"/>
        </w:rPr>
        <w:t xml:space="preserve">situation des indicateurs de produits au 31 décembre de l’action </w:t>
      </w:r>
      <w:r w:rsidR="00971493" w:rsidRPr="0042784A">
        <w:rPr>
          <w:i w:val="0"/>
          <w:color w:val="auto"/>
          <w:sz w:val="23"/>
          <w:szCs w:val="23"/>
        </w:rPr>
        <w:t>« </w:t>
      </w:r>
      <w:r w:rsidRPr="0042784A">
        <w:rPr>
          <w:i w:val="0"/>
          <w:color w:val="auto"/>
          <w:sz w:val="23"/>
          <w:szCs w:val="23"/>
        </w:rPr>
        <w:t>renforcement de la citoyenneté et l'insertion socio-économique des jeunes et des femmes exposés au risque de basculement dans l'extrémisme violent dans les zones à fort défi sécuritaire</w:t>
      </w:r>
      <w:r w:rsidR="00971493" w:rsidRPr="0042784A">
        <w:rPr>
          <w:i w:val="0"/>
          <w:color w:val="auto"/>
          <w:sz w:val="23"/>
          <w:szCs w:val="23"/>
        </w:rPr>
        <w:t> »</w:t>
      </w:r>
      <w:bookmarkEnd w:id="180"/>
    </w:p>
    <w:tbl>
      <w:tblPr>
        <w:tblW w:w="5000" w:type="pct"/>
        <w:tblLook w:val="0400" w:firstRow="0" w:lastRow="0" w:firstColumn="0" w:lastColumn="0" w:noHBand="0" w:noVBand="1"/>
      </w:tblPr>
      <w:tblGrid>
        <w:gridCol w:w="4855"/>
        <w:gridCol w:w="1386"/>
        <w:gridCol w:w="1386"/>
        <w:gridCol w:w="1384"/>
      </w:tblGrid>
      <w:tr w:rsidR="00BF3C92" w:rsidRPr="002203B6" w14:paraId="0ABCC938" w14:textId="77777777" w:rsidTr="001F0DBD">
        <w:trPr>
          <w:trHeight w:val="840"/>
        </w:trPr>
        <w:tc>
          <w:tcPr>
            <w:tcW w:w="2694" w:type="pct"/>
            <w:tcBorders>
              <w:top w:val="single" w:sz="8" w:space="0" w:color="5B9BD5"/>
              <w:left w:val="single" w:sz="8" w:space="0" w:color="5B9BD5"/>
              <w:bottom w:val="single" w:sz="8" w:space="0" w:color="5B9BD5"/>
              <w:right w:val="single" w:sz="4" w:space="0" w:color="5B9BD5" w:themeColor="accent5"/>
            </w:tcBorders>
            <w:shd w:val="clear" w:color="auto" w:fill="4472C4" w:themeFill="accent1"/>
            <w:vAlign w:val="center"/>
          </w:tcPr>
          <w:p w14:paraId="638AFAFA" w14:textId="77777777" w:rsidR="00BF3C92" w:rsidRPr="002203B6" w:rsidRDefault="00BF3C92" w:rsidP="00F175A7">
            <w:pPr>
              <w:spacing w:after="0" w:line="240" w:lineRule="auto"/>
              <w:rPr>
                <w:b/>
                <w:color w:val="FFFFFF"/>
                <w:sz w:val="22"/>
              </w:rPr>
            </w:pPr>
            <w:r w:rsidRPr="002203B6">
              <w:rPr>
                <w:b/>
                <w:color w:val="FFFFFF"/>
                <w:sz w:val="22"/>
              </w:rPr>
              <w:t>Indicateurs</w:t>
            </w:r>
          </w:p>
        </w:tc>
        <w:tc>
          <w:tcPr>
            <w:tcW w:w="769" w:type="pct"/>
            <w:tcBorders>
              <w:top w:val="single" w:sz="8" w:space="0" w:color="5B9BD5"/>
              <w:left w:val="single" w:sz="4" w:space="0" w:color="5B9BD5" w:themeColor="accent5"/>
              <w:bottom w:val="single" w:sz="8" w:space="0" w:color="5B9BD5"/>
              <w:right w:val="single" w:sz="4" w:space="0" w:color="5B9BD5" w:themeColor="accent5"/>
            </w:tcBorders>
            <w:shd w:val="clear" w:color="auto" w:fill="4472C4" w:themeFill="accent1"/>
            <w:vAlign w:val="center"/>
          </w:tcPr>
          <w:p w14:paraId="65CB25BB" w14:textId="77777777" w:rsidR="00BF3C92" w:rsidRPr="002203B6" w:rsidRDefault="00BF3C92" w:rsidP="00E52836">
            <w:pPr>
              <w:spacing w:after="0" w:line="240" w:lineRule="auto"/>
              <w:jc w:val="center"/>
              <w:rPr>
                <w:b/>
                <w:color w:val="FFFFFF"/>
                <w:sz w:val="22"/>
              </w:rPr>
            </w:pPr>
            <w:r w:rsidRPr="002203B6">
              <w:rPr>
                <w:b/>
                <w:color w:val="FFFFFF"/>
                <w:sz w:val="22"/>
              </w:rPr>
              <w:t>Réal. 2022</w:t>
            </w:r>
          </w:p>
        </w:tc>
        <w:tc>
          <w:tcPr>
            <w:tcW w:w="769" w:type="pct"/>
            <w:tcBorders>
              <w:top w:val="single" w:sz="8" w:space="0" w:color="5B9BD5"/>
              <w:left w:val="single" w:sz="4" w:space="0" w:color="5B9BD5" w:themeColor="accent5"/>
              <w:bottom w:val="single" w:sz="8" w:space="0" w:color="5B9BD5"/>
              <w:right w:val="single" w:sz="4" w:space="0" w:color="5B9BD5" w:themeColor="accent5"/>
            </w:tcBorders>
            <w:shd w:val="clear" w:color="auto" w:fill="4472C4" w:themeFill="accent1"/>
            <w:vAlign w:val="center"/>
          </w:tcPr>
          <w:p w14:paraId="3D7359C4" w14:textId="77777777" w:rsidR="00BF3C92" w:rsidRPr="002203B6" w:rsidRDefault="00BF3C92" w:rsidP="00E52836">
            <w:pPr>
              <w:spacing w:after="0" w:line="240" w:lineRule="auto"/>
              <w:jc w:val="center"/>
              <w:rPr>
                <w:b/>
                <w:color w:val="FFFFFF"/>
                <w:sz w:val="22"/>
              </w:rPr>
            </w:pPr>
            <w:r w:rsidRPr="002203B6">
              <w:rPr>
                <w:b/>
                <w:color w:val="FFFFFF"/>
                <w:sz w:val="22"/>
              </w:rPr>
              <w:t>Réal. 2023</w:t>
            </w:r>
          </w:p>
        </w:tc>
        <w:tc>
          <w:tcPr>
            <w:tcW w:w="769" w:type="pct"/>
            <w:tcBorders>
              <w:top w:val="single" w:sz="8" w:space="0" w:color="5B9BD5"/>
              <w:left w:val="single" w:sz="4" w:space="0" w:color="5B9BD5" w:themeColor="accent5"/>
              <w:bottom w:val="single" w:sz="8" w:space="0" w:color="5B9BD5"/>
              <w:right w:val="single" w:sz="4" w:space="0" w:color="5B9BD5" w:themeColor="accent5"/>
            </w:tcBorders>
            <w:shd w:val="clear" w:color="auto" w:fill="4472C4" w:themeFill="accent1"/>
            <w:vAlign w:val="center"/>
          </w:tcPr>
          <w:p w14:paraId="0D477E16" w14:textId="77777777" w:rsidR="00BF3C92" w:rsidRPr="002203B6" w:rsidRDefault="00BF3C92" w:rsidP="00E52836">
            <w:pPr>
              <w:spacing w:after="0" w:line="240" w:lineRule="auto"/>
              <w:jc w:val="center"/>
              <w:rPr>
                <w:b/>
                <w:color w:val="FFFFFF"/>
                <w:sz w:val="22"/>
              </w:rPr>
            </w:pPr>
            <w:r w:rsidRPr="002203B6">
              <w:rPr>
                <w:b/>
                <w:color w:val="FFFFFF"/>
                <w:sz w:val="22"/>
              </w:rPr>
              <w:t>Cible 2023</w:t>
            </w:r>
          </w:p>
        </w:tc>
      </w:tr>
      <w:tr w:rsidR="00BF3C92" w:rsidRPr="002203B6" w14:paraId="42ABF66C" w14:textId="77777777" w:rsidTr="001F0DBD">
        <w:trPr>
          <w:trHeight w:val="564"/>
        </w:trPr>
        <w:tc>
          <w:tcPr>
            <w:tcW w:w="2694" w:type="pct"/>
            <w:tcBorders>
              <w:top w:val="nil"/>
              <w:left w:val="single" w:sz="8" w:space="0" w:color="9CC2E5"/>
              <w:bottom w:val="single" w:sz="8" w:space="0" w:color="9CC2E5"/>
              <w:right w:val="single" w:sz="8" w:space="0" w:color="9CC2E5"/>
            </w:tcBorders>
            <w:shd w:val="clear" w:color="auto" w:fill="DEEAF6"/>
            <w:vAlign w:val="center"/>
          </w:tcPr>
          <w:p w14:paraId="078017CE" w14:textId="1A265C6D" w:rsidR="00BF3C92" w:rsidRPr="002203B6" w:rsidRDefault="00BF3C92" w:rsidP="00971493">
            <w:pPr>
              <w:spacing w:after="0" w:line="240" w:lineRule="auto"/>
              <w:rPr>
                <w:b/>
                <w:color w:val="000000"/>
                <w:sz w:val="22"/>
              </w:rPr>
            </w:pPr>
            <w:r w:rsidRPr="002203B6">
              <w:rPr>
                <w:b/>
                <w:color w:val="000000"/>
                <w:sz w:val="22"/>
              </w:rPr>
              <w:t xml:space="preserve">Nombre de jeunes sensibilisés </w:t>
            </w:r>
            <w:r w:rsidR="00971493">
              <w:rPr>
                <w:b/>
                <w:color w:val="000000"/>
                <w:sz w:val="22"/>
              </w:rPr>
              <w:t xml:space="preserve">à la </w:t>
            </w:r>
            <w:r w:rsidRPr="002203B6">
              <w:rPr>
                <w:b/>
                <w:color w:val="000000"/>
                <w:sz w:val="22"/>
              </w:rPr>
              <w:t>vie associative</w:t>
            </w:r>
          </w:p>
        </w:tc>
        <w:tc>
          <w:tcPr>
            <w:tcW w:w="769" w:type="pct"/>
            <w:tcBorders>
              <w:top w:val="nil"/>
              <w:left w:val="nil"/>
              <w:bottom w:val="single" w:sz="8" w:space="0" w:color="9CC2E5"/>
              <w:right w:val="single" w:sz="8" w:space="0" w:color="9CC2E5"/>
            </w:tcBorders>
            <w:shd w:val="clear" w:color="auto" w:fill="DEEAF6"/>
            <w:vAlign w:val="center"/>
          </w:tcPr>
          <w:p w14:paraId="581DDEA0" w14:textId="77777777" w:rsidR="00BF3C92" w:rsidRPr="002203B6" w:rsidRDefault="00BF3C92" w:rsidP="00E52836">
            <w:pPr>
              <w:spacing w:after="0" w:line="240" w:lineRule="auto"/>
              <w:jc w:val="center"/>
              <w:rPr>
                <w:color w:val="000000"/>
                <w:sz w:val="22"/>
              </w:rPr>
            </w:pPr>
            <w:r w:rsidRPr="002203B6">
              <w:rPr>
                <w:color w:val="000000"/>
                <w:sz w:val="22"/>
              </w:rPr>
              <w:t>262</w:t>
            </w:r>
          </w:p>
        </w:tc>
        <w:tc>
          <w:tcPr>
            <w:tcW w:w="769" w:type="pct"/>
            <w:tcBorders>
              <w:top w:val="nil"/>
              <w:left w:val="nil"/>
              <w:bottom w:val="single" w:sz="8" w:space="0" w:color="9CC2E5"/>
              <w:right w:val="single" w:sz="8" w:space="0" w:color="9CC2E5"/>
            </w:tcBorders>
            <w:shd w:val="clear" w:color="auto" w:fill="DEEAF6"/>
            <w:vAlign w:val="center"/>
          </w:tcPr>
          <w:p w14:paraId="0CF28116" w14:textId="77777777" w:rsidR="00BF3C92" w:rsidRPr="002203B6" w:rsidRDefault="00BF3C92" w:rsidP="00E52836">
            <w:pPr>
              <w:spacing w:after="0" w:line="240" w:lineRule="auto"/>
              <w:jc w:val="center"/>
              <w:rPr>
                <w:color w:val="000000"/>
                <w:sz w:val="22"/>
              </w:rPr>
            </w:pPr>
            <w:r w:rsidRPr="002203B6">
              <w:rPr>
                <w:color w:val="000000"/>
                <w:sz w:val="22"/>
              </w:rPr>
              <w:t>794</w:t>
            </w:r>
          </w:p>
        </w:tc>
        <w:tc>
          <w:tcPr>
            <w:tcW w:w="769" w:type="pct"/>
            <w:tcBorders>
              <w:top w:val="nil"/>
              <w:left w:val="nil"/>
              <w:bottom w:val="single" w:sz="8" w:space="0" w:color="9CC2E5"/>
              <w:right w:val="single" w:sz="4" w:space="0" w:color="5B9BD5" w:themeColor="accent5"/>
            </w:tcBorders>
            <w:shd w:val="clear" w:color="auto" w:fill="DEEAF6"/>
            <w:vAlign w:val="center"/>
          </w:tcPr>
          <w:p w14:paraId="4E4EDE1E" w14:textId="77777777" w:rsidR="00BF3C92" w:rsidRPr="002203B6" w:rsidRDefault="00BF3C92" w:rsidP="00E52836">
            <w:pPr>
              <w:spacing w:after="0" w:line="240" w:lineRule="auto"/>
              <w:jc w:val="center"/>
              <w:rPr>
                <w:color w:val="000000"/>
                <w:sz w:val="22"/>
              </w:rPr>
            </w:pPr>
            <w:r w:rsidRPr="002203B6">
              <w:rPr>
                <w:color w:val="000000"/>
                <w:sz w:val="22"/>
              </w:rPr>
              <w:t>770</w:t>
            </w:r>
          </w:p>
        </w:tc>
      </w:tr>
      <w:tr w:rsidR="00BF3C92" w:rsidRPr="002203B6" w14:paraId="22C8935D" w14:textId="77777777" w:rsidTr="001F0DBD">
        <w:trPr>
          <w:trHeight w:val="564"/>
        </w:trPr>
        <w:tc>
          <w:tcPr>
            <w:tcW w:w="2694" w:type="pct"/>
            <w:tcBorders>
              <w:top w:val="nil"/>
              <w:left w:val="single" w:sz="8" w:space="0" w:color="9CC2E5"/>
              <w:bottom w:val="single" w:sz="8" w:space="0" w:color="9CC2E5"/>
              <w:right w:val="single" w:sz="8" w:space="0" w:color="9CC2E5"/>
            </w:tcBorders>
            <w:shd w:val="clear" w:color="auto" w:fill="auto"/>
            <w:vAlign w:val="center"/>
          </w:tcPr>
          <w:p w14:paraId="5A1958B0" w14:textId="4CB4870E" w:rsidR="00BF3C92" w:rsidRPr="002203B6" w:rsidRDefault="00BF3C92" w:rsidP="00971493">
            <w:pPr>
              <w:spacing w:after="0" w:line="240" w:lineRule="auto"/>
              <w:rPr>
                <w:b/>
                <w:color w:val="000000"/>
                <w:sz w:val="22"/>
              </w:rPr>
            </w:pPr>
            <w:r w:rsidRPr="002203B6">
              <w:rPr>
                <w:b/>
                <w:color w:val="000000"/>
                <w:sz w:val="22"/>
              </w:rPr>
              <w:t xml:space="preserve">Effectif des jeunes sensibilisés </w:t>
            </w:r>
            <w:r w:rsidR="00971493">
              <w:rPr>
                <w:b/>
                <w:color w:val="000000"/>
                <w:sz w:val="22"/>
              </w:rPr>
              <w:t xml:space="preserve">à </w:t>
            </w:r>
            <w:r w:rsidRPr="002203B6">
              <w:rPr>
                <w:b/>
                <w:color w:val="000000"/>
                <w:sz w:val="22"/>
              </w:rPr>
              <w:t>l'engagement citoyen</w:t>
            </w:r>
          </w:p>
        </w:tc>
        <w:tc>
          <w:tcPr>
            <w:tcW w:w="769" w:type="pct"/>
            <w:tcBorders>
              <w:top w:val="nil"/>
              <w:left w:val="nil"/>
              <w:bottom w:val="single" w:sz="8" w:space="0" w:color="9CC2E5"/>
              <w:right w:val="single" w:sz="8" w:space="0" w:color="9CC2E5"/>
            </w:tcBorders>
            <w:shd w:val="clear" w:color="auto" w:fill="auto"/>
            <w:vAlign w:val="center"/>
          </w:tcPr>
          <w:p w14:paraId="196C2E68" w14:textId="77777777" w:rsidR="00BF3C92" w:rsidRPr="002203B6" w:rsidRDefault="00BF3C92" w:rsidP="00E52836">
            <w:pPr>
              <w:spacing w:after="0" w:line="240" w:lineRule="auto"/>
              <w:jc w:val="center"/>
              <w:rPr>
                <w:color w:val="000000"/>
                <w:sz w:val="22"/>
              </w:rPr>
            </w:pPr>
            <w:r w:rsidRPr="002203B6">
              <w:rPr>
                <w:color w:val="000000"/>
                <w:sz w:val="22"/>
              </w:rPr>
              <w:t>330</w:t>
            </w:r>
          </w:p>
        </w:tc>
        <w:tc>
          <w:tcPr>
            <w:tcW w:w="769" w:type="pct"/>
            <w:tcBorders>
              <w:top w:val="nil"/>
              <w:left w:val="nil"/>
              <w:bottom w:val="single" w:sz="8" w:space="0" w:color="9CC2E5"/>
              <w:right w:val="single" w:sz="8" w:space="0" w:color="9CC2E5"/>
            </w:tcBorders>
            <w:shd w:val="clear" w:color="auto" w:fill="auto"/>
            <w:vAlign w:val="center"/>
          </w:tcPr>
          <w:p w14:paraId="663D16C8" w14:textId="0840C646" w:rsidR="00BF3C92" w:rsidRPr="002203B6" w:rsidRDefault="00A01C65" w:rsidP="00E52836">
            <w:pPr>
              <w:spacing w:after="0" w:line="240" w:lineRule="auto"/>
              <w:jc w:val="center"/>
              <w:rPr>
                <w:color w:val="000000"/>
                <w:sz w:val="22"/>
              </w:rPr>
            </w:pPr>
            <w:r>
              <w:rPr>
                <w:rFonts w:eastAsia="Calibri"/>
                <w:szCs w:val="24"/>
              </w:rPr>
              <w:t>44 088</w:t>
            </w:r>
          </w:p>
        </w:tc>
        <w:tc>
          <w:tcPr>
            <w:tcW w:w="769" w:type="pct"/>
            <w:tcBorders>
              <w:top w:val="nil"/>
              <w:left w:val="nil"/>
              <w:bottom w:val="single" w:sz="8" w:space="0" w:color="9CC2E5"/>
              <w:right w:val="single" w:sz="4" w:space="0" w:color="5B9BD5" w:themeColor="accent5"/>
            </w:tcBorders>
            <w:vAlign w:val="center"/>
          </w:tcPr>
          <w:p w14:paraId="509FF00A" w14:textId="77777777" w:rsidR="00BF3C92" w:rsidRPr="002203B6" w:rsidRDefault="00BF3C92" w:rsidP="00E52836">
            <w:pPr>
              <w:spacing w:after="0" w:line="240" w:lineRule="auto"/>
              <w:jc w:val="center"/>
              <w:rPr>
                <w:color w:val="000000"/>
                <w:sz w:val="22"/>
              </w:rPr>
            </w:pPr>
            <w:r w:rsidRPr="002203B6">
              <w:rPr>
                <w:color w:val="000000"/>
                <w:sz w:val="22"/>
              </w:rPr>
              <w:t>1 469</w:t>
            </w:r>
          </w:p>
        </w:tc>
      </w:tr>
      <w:tr w:rsidR="00BF3C92" w:rsidRPr="002203B6" w14:paraId="53F095AC" w14:textId="77777777" w:rsidTr="009A288B">
        <w:trPr>
          <w:trHeight w:val="918"/>
        </w:trPr>
        <w:tc>
          <w:tcPr>
            <w:tcW w:w="2694" w:type="pct"/>
            <w:tcBorders>
              <w:top w:val="nil"/>
              <w:left w:val="single" w:sz="8" w:space="0" w:color="9CC2E5"/>
              <w:bottom w:val="single" w:sz="8" w:space="0" w:color="9CC2E5"/>
              <w:right w:val="single" w:sz="8" w:space="0" w:color="9CC2E5"/>
            </w:tcBorders>
            <w:shd w:val="clear" w:color="auto" w:fill="DEEAF6"/>
            <w:vAlign w:val="center"/>
          </w:tcPr>
          <w:p w14:paraId="03CA2790" w14:textId="44AE0C89" w:rsidR="00BF3C92" w:rsidRPr="002203B6" w:rsidRDefault="00BF3C92" w:rsidP="00971493">
            <w:pPr>
              <w:spacing w:after="0" w:line="240" w:lineRule="auto"/>
              <w:rPr>
                <w:b/>
                <w:color w:val="000000"/>
                <w:sz w:val="22"/>
              </w:rPr>
            </w:pPr>
            <w:r w:rsidRPr="002203B6">
              <w:rPr>
                <w:b/>
                <w:color w:val="000000"/>
                <w:sz w:val="22"/>
              </w:rPr>
              <w:t xml:space="preserve">Effectif des jeunes sensibilisés </w:t>
            </w:r>
            <w:r w:rsidR="00971493">
              <w:rPr>
                <w:b/>
                <w:color w:val="000000"/>
                <w:sz w:val="22"/>
              </w:rPr>
              <w:t>au</w:t>
            </w:r>
            <w:r w:rsidRPr="002203B6">
              <w:rPr>
                <w:b/>
                <w:color w:val="000000"/>
                <w:sz w:val="22"/>
              </w:rPr>
              <w:t xml:space="preserve"> civisme, la culture de la paix, la lutte contre les conduites addictives et l’extrémisme violent</w:t>
            </w:r>
          </w:p>
        </w:tc>
        <w:tc>
          <w:tcPr>
            <w:tcW w:w="769" w:type="pct"/>
            <w:tcBorders>
              <w:top w:val="nil"/>
              <w:left w:val="nil"/>
              <w:bottom w:val="single" w:sz="8" w:space="0" w:color="9CC2E5"/>
              <w:right w:val="single" w:sz="8" w:space="0" w:color="9CC2E5"/>
            </w:tcBorders>
            <w:shd w:val="clear" w:color="auto" w:fill="DEEAF6"/>
            <w:vAlign w:val="center"/>
          </w:tcPr>
          <w:p w14:paraId="7D5C6B71" w14:textId="77777777" w:rsidR="00BF3C92" w:rsidRPr="002203B6" w:rsidRDefault="00BF3C92" w:rsidP="00E52836">
            <w:pPr>
              <w:spacing w:after="0" w:line="240" w:lineRule="auto"/>
              <w:jc w:val="center"/>
              <w:rPr>
                <w:color w:val="000000"/>
                <w:sz w:val="22"/>
              </w:rPr>
            </w:pPr>
            <w:r w:rsidRPr="002203B6">
              <w:rPr>
                <w:color w:val="000000"/>
                <w:sz w:val="22"/>
              </w:rPr>
              <w:t>26 927</w:t>
            </w:r>
          </w:p>
        </w:tc>
        <w:tc>
          <w:tcPr>
            <w:tcW w:w="769" w:type="pct"/>
            <w:tcBorders>
              <w:top w:val="nil"/>
              <w:left w:val="nil"/>
              <w:bottom w:val="single" w:sz="8" w:space="0" w:color="9CC2E5"/>
              <w:right w:val="single" w:sz="8" w:space="0" w:color="9CC2E5"/>
            </w:tcBorders>
            <w:shd w:val="clear" w:color="auto" w:fill="DEEAF6"/>
            <w:vAlign w:val="center"/>
          </w:tcPr>
          <w:p w14:paraId="5D92CDBA" w14:textId="77777777" w:rsidR="00BF3C92" w:rsidRPr="002203B6" w:rsidRDefault="00BF3C92" w:rsidP="00E52836">
            <w:pPr>
              <w:spacing w:after="0" w:line="240" w:lineRule="auto"/>
              <w:jc w:val="center"/>
              <w:rPr>
                <w:color w:val="000000"/>
                <w:sz w:val="22"/>
              </w:rPr>
            </w:pPr>
            <w:r w:rsidRPr="002203B6">
              <w:rPr>
                <w:color w:val="000000"/>
                <w:sz w:val="22"/>
              </w:rPr>
              <w:t>58 630</w:t>
            </w:r>
          </w:p>
        </w:tc>
        <w:tc>
          <w:tcPr>
            <w:tcW w:w="769" w:type="pct"/>
            <w:tcBorders>
              <w:top w:val="nil"/>
              <w:left w:val="nil"/>
              <w:bottom w:val="single" w:sz="8" w:space="0" w:color="9CC2E5"/>
              <w:right w:val="single" w:sz="4" w:space="0" w:color="5B9BD5" w:themeColor="accent5"/>
            </w:tcBorders>
            <w:shd w:val="clear" w:color="auto" w:fill="DEEAF6"/>
            <w:vAlign w:val="center"/>
          </w:tcPr>
          <w:p w14:paraId="63EB4630" w14:textId="77777777" w:rsidR="00BF3C92" w:rsidRPr="002203B6" w:rsidRDefault="00BF3C92" w:rsidP="00E52836">
            <w:pPr>
              <w:spacing w:after="0" w:line="240" w:lineRule="auto"/>
              <w:jc w:val="center"/>
              <w:rPr>
                <w:color w:val="000000"/>
                <w:sz w:val="22"/>
              </w:rPr>
            </w:pPr>
            <w:r w:rsidRPr="002203B6">
              <w:rPr>
                <w:color w:val="000000"/>
                <w:sz w:val="22"/>
              </w:rPr>
              <w:t>40 000</w:t>
            </w:r>
          </w:p>
        </w:tc>
      </w:tr>
      <w:tr w:rsidR="00BF3C92" w:rsidRPr="002203B6" w14:paraId="50B36D47" w14:textId="77777777" w:rsidTr="001F0DBD">
        <w:trPr>
          <w:trHeight w:val="564"/>
        </w:trPr>
        <w:tc>
          <w:tcPr>
            <w:tcW w:w="2694" w:type="pct"/>
            <w:tcBorders>
              <w:top w:val="nil"/>
              <w:left w:val="single" w:sz="8" w:space="0" w:color="9CC2E5"/>
              <w:bottom w:val="single" w:sz="8" w:space="0" w:color="9CC2E5"/>
              <w:right w:val="single" w:sz="8" w:space="0" w:color="9CC2E5"/>
            </w:tcBorders>
            <w:shd w:val="clear" w:color="auto" w:fill="auto"/>
            <w:vAlign w:val="center"/>
          </w:tcPr>
          <w:p w14:paraId="4FAAD973" w14:textId="77777777" w:rsidR="00BF3C92" w:rsidRPr="002203B6" w:rsidRDefault="00BF3C92" w:rsidP="00E52836">
            <w:pPr>
              <w:spacing w:after="0" w:line="240" w:lineRule="auto"/>
              <w:rPr>
                <w:b/>
                <w:color w:val="000000"/>
                <w:sz w:val="22"/>
              </w:rPr>
            </w:pPr>
            <w:r w:rsidRPr="002203B6">
              <w:rPr>
                <w:b/>
                <w:color w:val="000000"/>
                <w:sz w:val="22"/>
              </w:rPr>
              <w:t>Effectif de volontaires recrutés et placés sur les chantiers de développement</w:t>
            </w:r>
          </w:p>
        </w:tc>
        <w:tc>
          <w:tcPr>
            <w:tcW w:w="769" w:type="pct"/>
            <w:tcBorders>
              <w:top w:val="nil"/>
              <w:left w:val="nil"/>
              <w:bottom w:val="single" w:sz="8" w:space="0" w:color="9CC2E5"/>
              <w:right w:val="single" w:sz="8" w:space="0" w:color="9CC2E5"/>
            </w:tcBorders>
            <w:shd w:val="clear" w:color="auto" w:fill="auto"/>
            <w:vAlign w:val="center"/>
          </w:tcPr>
          <w:p w14:paraId="6864F52E" w14:textId="77777777" w:rsidR="00BF3C92" w:rsidRPr="002203B6" w:rsidRDefault="00BF3C92" w:rsidP="00E52836">
            <w:pPr>
              <w:spacing w:after="0" w:line="240" w:lineRule="auto"/>
              <w:jc w:val="center"/>
              <w:rPr>
                <w:color w:val="000000"/>
                <w:sz w:val="22"/>
              </w:rPr>
            </w:pPr>
            <w:r w:rsidRPr="002203B6">
              <w:rPr>
                <w:color w:val="000000"/>
                <w:sz w:val="22"/>
              </w:rPr>
              <w:t>1 020</w:t>
            </w:r>
          </w:p>
        </w:tc>
        <w:tc>
          <w:tcPr>
            <w:tcW w:w="769" w:type="pct"/>
            <w:tcBorders>
              <w:top w:val="nil"/>
              <w:left w:val="nil"/>
              <w:bottom w:val="single" w:sz="8" w:space="0" w:color="9CC2E5"/>
              <w:right w:val="single" w:sz="8" w:space="0" w:color="9CC2E5"/>
            </w:tcBorders>
            <w:shd w:val="clear" w:color="auto" w:fill="auto"/>
            <w:vAlign w:val="center"/>
          </w:tcPr>
          <w:p w14:paraId="041ECED7" w14:textId="53F9B32A" w:rsidR="00BF3C92" w:rsidRPr="002203B6" w:rsidRDefault="002B3EC1" w:rsidP="002B3EC1">
            <w:pPr>
              <w:spacing w:after="0" w:line="240" w:lineRule="auto"/>
              <w:jc w:val="center"/>
              <w:rPr>
                <w:color w:val="000000"/>
                <w:sz w:val="22"/>
              </w:rPr>
            </w:pPr>
            <w:r>
              <w:rPr>
                <w:rFonts w:eastAsia="Calibri"/>
                <w:szCs w:val="24"/>
              </w:rPr>
              <w:t>44 088</w:t>
            </w:r>
          </w:p>
        </w:tc>
        <w:tc>
          <w:tcPr>
            <w:tcW w:w="769" w:type="pct"/>
            <w:tcBorders>
              <w:top w:val="nil"/>
              <w:left w:val="nil"/>
              <w:bottom w:val="single" w:sz="8" w:space="0" w:color="9CC2E5"/>
              <w:right w:val="single" w:sz="4" w:space="0" w:color="5B9BD5" w:themeColor="accent5"/>
            </w:tcBorders>
            <w:vAlign w:val="center"/>
          </w:tcPr>
          <w:p w14:paraId="2CF1BB83" w14:textId="77777777" w:rsidR="00BF3C92" w:rsidRPr="002203B6" w:rsidRDefault="00BF3C92" w:rsidP="00E52836">
            <w:pPr>
              <w:spacing w:after="0" w:line="240" w:lineRule="auto"/>
              <w:jc w:val="center"/>
              <w:rPr>
                <w:color w:val="000000"/>
                <w:sz w:val="22"/>
              </w:rPr>
            </w:pPr>
            <w:r w:rsidRPr="002203B6">
              <w:rPr>
                <w:color w:val="000000"/>
                <w:sz w:val="22"/>
              </w:rPr>
              <w:t>20 000</w:t>
            </w:r>
          </w:p>
        </w:tc>
      </w:tr>
    </w:tbl>
    <w:p w14:paraId="0E740AB9" w14:textId="6423C58D" w:rsidR="00BF3C92" w:rsidRDefault="00BF3C92" w:rsidP="00BF3C92">
      <w:pPr>
        <w:shd w:val="clear" w:color="auto" w:fill="FFFFFF"/>
        <w:spacing w:before="120" w:after="120" w:line="240" w:lineRule="auto"/>
      </w:pPr>
      <w:r>
        <w:rPr>
          <w:b/>
          <w:sz w:val="20"/>
          <w:szCs w:val="20"/>
          <w:u w:val="single"/>
        </w:rPr>
        <w:t>Source</w:t>
      </w:r>
      <w:r>
        <w:rPr>
          <w:sz w:val="20"/>
          <w:szCs w:val="20"/>
        </w:rPr>
        <w:t xml:space="preserve"> : rapport </w:t>
      </w:r>
      <w:r w:rsidR="00EE1BF3">
        <w:rPr>
          <w:sz w:val="20"/>
          <w:szCs w:val="20"/>
        </w:rPr>
        <w:t xml:space="preserve">annuel </w:t>
      </w:r>
      <w:r>
        <w:rPr>
          <w:sz w:val="20"/>
          <w:szCs w:val="20"/>
        </w:rPr>
        <w:t>de performance 2023</w:t>
      </w:r>
      <w:r w:rsidR="00EE1BF3">
        <w:rPr>
          <w:sz w:val="20"/>
          <w:szCs w:val="20"/>
        </w:rPr>
        <w:t xml:space="preserve"> </w:t>
      </w:r>
      <w:r>
        <w:rPr>
          <w:sz w:val="20"/>
          <w:szCs w:val="20"/>
        </w:rPr>
        <w:t>du CSD-JDH, février 2024</w:t>
      </w:r>
    </w:p>
    <w:p w14:paraId="77E176FC" w14:textId="4B5E8DA3" w:rsidR="00C93C67" w:rsidRPr="008279B8"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Le taux de réalisation financière des produits de cette action est de plus de 100% car sur une prévision financière de 198 millions FCFA, plus de 505 millions ont été dépensés. Cela s’explique par un appui exceptionnel des PTF dans le cadre du recrutement et </w:t>
      </w:r>
      <w:r w:rsidR="00971493">
        <w:rPr>
          <w:rFonts w:eastAsia="Calibri"/>
          <w:szCs w:val="24"/>
        </w:rPr>
        <w:t>du</w:t>
      </w:r>
      <w:r w:rsidRPr="00BF3C92">
        <w:rPr>
          <w:rFonts w:eastAsia="Calibri"/>
          <w:szCs w:val="24"/>
        </w:rPr>
        <w:t xml:space="preserve"> placement des volontaires sur les chantiers de développement</w:t>
      </w:r>
      <w:r w:rsidR="00C93C67" w:rsidRPr="008279B8">
        <w:rPr>
          <w:rFonts w:eastAsia="Calibri"/>
          <w:szCs w:val="24"/>
        </w:rPr>
        <w:t>.</w:t>
      </w:r>
    </w:p>
    <w:p w14:paraId="44E66F62" w14:textId="77777777" w:rsidR="00F4678F" w:rsidRPr="008D2129" w:rsidRDefault="00F4678F" w:rsidP="00D04649">
      <w:pPr>
        <w:rPr>
          <w:sz w:val="8"/>
          <w:szCs w:val="24"/>
        </w:rPr>
      </w:pPr>
    </w:p>
    <w:p w14:paraId="719C7C59" w14:textId="77C44553" w:rsidR="00BF3C92" w:rsidRPr="00BF3C92" w:rsidRDefault="008D6782" w:rsidP="00BF3C92">
      <w:pPr>
        <w:pStyle w:val="PAT3"/>
        <w:rPr>
          <w:rFonts w:eastAsia="Times New Roman" w:cs="Calibri"/>
          <w:color w:val="000000"/>
          <w:szCs w:val="28"/>
          <w:lang w:eastAsia="fr-FR"/>
        </w:rPr>
      </w:pPr>
      <w:bookmarkStart w:id="181" w:name="_Toc163141247"/>
      <w:r w:rsidRPr="008D2129">
        <w:rPr>
          <w:rFonts w:eastAsia="Times New Roman" w:cs="Calibri"/>
          <w:color w:val="000000"/>
          <w:szCs w:val="28"/>
          <w:lang w:eastAsia="fr-FR"/>
        </w:rPr>
        <w:t>Axe 2 : Approfondir les réformes institutionnelles et moderniser l’administration publique</w:t>
      </w:r>
      <w:bookmarkEnd w:id="181"/>
    </w:p>
    <w:p w14:paraId="0837087D" w14:textId="056C70C6"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Le Pilier 4 du PA-SD est également mis en œuvre au moyen d’actions inscrites dans   l’Objectif stratégique 2.1 de la PND, à savoir, promouvoir la démocratie et la bonne gouvernance politique </w:t>
      </w:r>
    </w:p>
    <w:p w14:paraId="1BDFF385" w14:textId="77777777" w:rsidR="00BF3C92" w:rsidRDefault="00BF3C92" w:rsidP="00BF3C92">
      <w:pPr>
        <w:shd w:val="clear" w:color="auto" w:fill="FFFFFF"/>
        <w:spacing w:before="120" w:after="120" w:line="240" w:lineRule="auto"/>
        <w:rPr>
          <w:rFonts w:eastAsia="Calibri"/>
          <w:szCs w:val="24"/>
        </w:rPr>
      </w:pPr>
    </w:p>
    <w:p w14:paraId="7C439AD2" w14:textId="170A8EE3" w:rsidR="00C93C67" w:rsidRPr="00BF3C92" w:rsidRDefault="009D4F79" w:rsidP="00BF3C92">
      <w:pPr>
        <w:pStyle w:val="PAT4"/>
        <w:rPr>
          <w:lang w:eastAsia="fr-FR"/>
        </w:rPr>
      </w:pPr>
      <w:bookmarkStart w:id="182" w:name="_Toc163141248"/>
      <w:r w:rsidRPr="008D2129" w:rsidDel="009D4F79">
        <w:t>Objectif stratégique 2.1 : Promouvoir la démocratie et la bonne gouvernance politique</w:t>
      </w:r>
      <w:bookmarkEnd w:id="177"/>
      <w:bookmarkEnd w:id="182"/>
    </w:p>
    <w:p w14:paraId="611C11D3" w14:textId="5C0CDA91"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L’OS 2.1 contribution à l’opérationnalisation du Pilier 4 du PA-SD à travers l’action </w:t>
      </w:r>
      <w:r w:rsidR="00971493">
        <w:rPr>
          <w:rFonts w:eastAsia="Calibri"/>
          <w:szCs w:val="24"/>
        </w:rPr>
        <w:t>« </w:t>
      </w:r>
      <w:r w:rsidRPr="008139E1">
        <w:rPr>
          <w:rFonts w:eastAsia="Calibri"/>
          <w:b/>
          <w:szCs w:val="24"/>
        </w:rPr>
        <w:t>accélération du traitement des dossiers pendants en justice (04009)</w:t>
      </w:r>
      <w:r w:rsidR="00971493">
        <w:rPr>
          <w:rFonts w:eastAsia="Calibri"/>
          <w:b/>
          <w:szCs w:val="24"/>
        </w:rPr>
        <w:t> »</w:t>
      </w:r>
      <w:r w:rsidRPr="00BF3C92">
        <w:rPr>
          <w:rFonts w:eastAsia="Calibri"/>
          <w:szCs w:val="24"/>
        </w:rPr>
        <w:t xml:space="preserve"> portée par le secteur JDH. L’objectif chiffré de cette action en 2023 était de traiter au moins 240 dossiers pendants en justice traités. Au terme de l’année, 336 dossiers de ce type ont été traité</w:t>
      </w:r>
      <w:r w:rsidR="002B3EC1">
        <w:rPr>
          <w:rFonts w:eastAsia="Calibri"/>
          <w:szCs w:val="24"/>
        </w:rPr>
        <w:t>s</w:t>
      </w:r>
      <w:r w:rsidRPr="00BF3C92">
        <w:rPr>
          <w:rFonts w:eastAsia="Calibri"/>
          <w:szCs w:val="24"/>
        </w:rPr>
        <w:t xml:space="preserve">, </w:t>
      </w:r>
      <w:r w:rsidRPr="00BF3C92">
        <w:rPr>
          <w:rFonts w:eastAsia="Calibri"/>
          <w:szCs w:val="24"/>
        </w:rPr>
        <w:lastRenderedPageBreak/>
        <w:t>comprenant, des dossiers emblématiques, les dossiers jugés par les pôles spécialisés et les dossiers des chambres criminelles des Cours d’appels.</w:t>
      </w:r>
    </w:p>
    <w:p w14:paraId="0CE4A5A5" w14:textId="3C0FC4A2"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Le bilan de la mise en œuvre des indicateurs des produits se présente dans le tableau ci-dessous. Sur les quatorze (14) indicateurs de produit</w:t>
      </w:r>
      <w:r w:rsidR="00526031">
        <w:rPr>
          <w:rFonts w:eastAsia="Calibri"/>
          <w:szCs w:val="24"/>
        </w:rPr>
        <w:t>s</w:t>
      </w:r>
      <w:r w:rsidRPr="00BF3C92">
        <w:rPr>
          <w:rFonts w:eastAsia="Calibri"/>
          <w:szCs w:val="24"/>
        </w:rPr>
        <w:t>, douze (12) ont atteint leurs cibles.</w:t>
      </w:r>
    </w:p>
    <w:p w14:paraId="3AB36430" w14:textId="080FDA6C"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Les avancées concernent entre autres : (i) le jugement de 04 dossiers emblématiques en 2023, à savoir </w:t>
      </w:r>
      <w:r w:rsidR="00A01C65">
        <w:rPr>
          <w:rFonts w:eastAsia="Calibri"/>
          <w:szCs w:val="24"/>
        </w:rPr>
        <w:t>ceux relatifs</w:t>
      </w:r>
      <w:r w:rsidRPr="00BF3C92">
        <w:rPr>
          <w:rFonts w:eastAsia="Calibri"/>
          <w:szCs w:val="24"/>
        </w:rPr>
        <w:t xml:space="preserve"> au détournement de deniers publics par l</w:t>
      </w:r>
      <w:r w:rsidR="00A01C65">
        <w:rPr>
          <w:rFonts w:eastAsia="Calibri"/>
          <w:szCs w:val="24"/>
        </w:rPr>
        <w:t>’</w:t>
      </w:r>
      <w:r w:rsidRPr="00BF3C92">
        <w:rPr>
          <w:rFonts w:eastAsia="Calibri"/>
          <w:szCs w:val="24"/>
        </w:rPr>
        <w:t>e</w:t>
      </w:r>
      <w:r w:rsidR="00A01C65">
        <w:rPr>
          <w:rFonts w:eastAsia="Calibri"/>
          <w:szCs w:val="24"/>
        </w:rPr>
        <w:t>x</w:t>
      </w:r>
      <w:r w:rsidRPr="00BF3C92">
        <w:rPr>
          <w:rFonts w:eastAsia="Calibri"/>
          <w:szCs w:val="24"/>
        </w:rPr>
        <w:t xml:space="preserve"> « Directeur général de la LONAB » dont le jugement a été effectif en mars 2023, </w:t>
      </w:r>
      <w:r w:rsidR="00A01C65">
        <w:rPr>
          <w:rFonts w:eastAsia="Calibri"/>
          <w:szCs w:val="24"/>
        </w:rPr>
        <w:t>à l’</w:t>
      </w:r>
      <w:r w:rsidRPr="00BF3C92">
        <w:rPr>
          <w:rFonts w:eastAsia="Calibri"/>
          <w:szCs w:val="24"/>
        </w:rPr>
        <w:t xml:space="preserve">« Appel à incendier le Palais du </w:t>
      </w:r>
      <w:proofErr w:type="spellStart"/>
      <w:r w:rsidRPr="00BF3C92">
        <w:rPr>
          <w:rFonts w:eastAsia="Calibri"/>
          <w:szCs w:val="24"/>
        </w:rPr>
        <w:t>Mogho</w:t>
      </w:r>
      <w:proofErr w:type="spellEnd"/>
      <w:r w:rsidRPr="00BF3C92">
        <w:rPr>
          <w:rFonts w:eastAsia="Calibri"/>
          <w:szCs w:val="24"/>
        </w:rPr>
        <w:t xml:space="preserve"> </w:t>
      </w:r>
      <w:proofErr w:type="spellStart"/>
      <w:r w:rsidRPr="00BF3C92">
        <w:rPr>
          <w:rFonts w:eastAsia="Calibri"/>
          <w:szCs w:val="24"/>
        </w:rPr>
        <w:t>Naba</w:t>
      </w:r>
      <w:proofErr w:type="spellEnd"/>
      <w:r w:rsidRPr="00BF3C92">
        <w:rPr>
          <w:rFonts w:eastAsia="Calibri"/>
          <w:szCs w:val="24"/>
        </w:rPr>
        <w:t xml:space="preserve"> », </w:t>
      </w:r>
      <w:r w:rsidR="00A01C65">
        <w:rPr>
          <w:rFonts w:eastAsia="Calibri"/>
          <w:szCs w:val="24"/>
        </w:rPr>
        <w:t xml:space="preserve">au </w:t>
      </w:r>
      <w:r w:rsidRPr="00BF3C92">
        <w:rPr>
          <w:rFonts w:eastAsia="Calibri"/>
          <w:szCs w:val="24"/>
        </w:rPr>
        <w:t xml:space="preserve">détournement de derniers publics par le « NTD ou Vincent DABILGOU » et </w:t>
      </w:r>
      <w:r w:rsidR="00A01C65">
        <w:rPr>
          <w:rFonts w:eastAsia="Calibri"/>
          <w:szCs w:val="24"/>
        </w:rPr>
        <w:t xml:space="preserve">à </w:t>
      </w:r>
      <w:r w:rsidRPr="00BF3C92">
        <w:rPr>
          <w:rFonts w:eastAsia="Calibri"/>
          <w:szCs w:val="24"/>
        </w:rPr>
        <w:t>celui opposant l’</w:t>
      </w:r>
      <w:r w:rsidR="00526031">
        <w:rPr>
          <w:rFonts w:eastAsia="Calibri"/>
          <w:szCs w:val="24"/>
        </w:rPr>
        <w:t>E</w:t>
      </w:r>
      <w:r w:rsidRPr="00BF3C92">
        <w:rPr>
          <w:rFonts w:eastAsia="Calibri"/>
          <w:szCs w:val="24"/>
        </w:rPr>
        <w:t xml:space="preserve">tat à une </w:t>
      </w:r>
      <w:r w:rsidR="002B3EC1" w:rsidRPr="00BF3C92">
        <w:rPr>
          <w:rFonts w:eastAsia="Calibri"/>
          <w:szCs w:val="24"/>
        </w:rPr>
        <w:t>société</w:t>
      </w:r>
      <w:r w:rsidRPr="00BF3C92">
        <w:rPr>
          <w:rFonts w:eastAsia="Calibri"/>
          <w:szCs w:val="24"/>
        </w:rPr>
        <w:t xml:space="preserve"> minière ou « charbon fin » ; (ii) la tenue de 5</w:t>
      </w:r>
      <w:r w:rsidR="002B3EC1">
        <w:rPr>
          <w:rFonts w:eastAsia="Calibri"/>
          <w:szCs w:val="24"/>
        </w:rPr>
        <w:t>4</w:t>
      </w:r>
      <w:r w:rsidRPr="00BF3C92">
        <w:rPr>
          <w:rFonts w:eastAsia="Calibri"/>
          <w:szCs w:val="24"/>
        </w:rPr>
        <w:t xml:space="preserve"> audiences foraine</w:t>
      </w:r>
      <w:r w:rsidR="002B3EC1">
        <w:rPr>
          <w:rFonts w:eastAsia="Calibri"/>
          <w:szCs w:val="24"/>
        </w:rPr>
        <w:t>s</w:t>
      </w:r>
      <w:r w:rsidRPr="00BF3C92">
        <w:rPr>
          <w:rFonts w:eastAsia="Calibri"/>
          <w:szCs w:val="24"/>
        </w:rPr>
        <w:t>, soit 13 en matière correctionnelle et 40 en matière civile, commerciale, administrative et sociale par les TGI, les 03 Cours d’</w:t>
      </w:r>
      <w:r w:rsidR="00526031">
        <w:rPr>
          <w:rFonts w:eastAsia="Calibri"/>
          <w:szCs w:val="24"/>
        </w:rPr>
        <w:t>a</w:t>
      </w:r>
      <w:r w:rsidRPr="00BF3C92">
        <w:rPr>
          <w:rFonts w:eastAsia="Calibri"/>
          <w:szCs w:val="24"/>
        </w:rPr>
        <w:t xml:space="preserve">ppel, la Cour </w:t>
      </w:r>
      <w:r w:rsidR="00526031">
        <w:rPr>
          <w:rFonts w:eastAsia="Calibri"/>
          <w:szCs w:val="24"/>
        </w:rPr>
        <w:t>a</w:t>
      </w:r>
      <w:r w:rsidRPr="00BF3C92">
        <w:rPr>
          <w:rFonts w:eastAsia="Calibri"/>
          <w:szCs w:val="24"/>
        </w:rPr>
        <w:t>dministrative d’appel et le Tribunal du travail de Ouagadougou ; (iii) la tenue de 12 audiences par les chambres criminelles des Cours d’</w:t>
      </w:r>
      <w:r w:rsidR="00526031">
        <w:rPr>
          <w:rFonts w:eastAsia="Calibri"/>
          <w:szCs w:val="24"/>
        </w:rPr>
        <w:t>a</w:t>
      </w:r>
      <w:r w:rsidRPr="00BF3C92">
        <w:rPr>
          <w:rFonts w:eastAsia="Calibri"/>
          <w:szCs w:val="24"/>
        </w:rPr>
        <w:t xml:space="preserve">ppel dont 03 à Bobo-Dioulasso, 03 à Fada </w:t>
      </w:r>
      <w:r w:rsidR="00526031">
        <w:rPr>
          <w:rFonts w:eastAsia="Calibri"/>
          <w:szCs w:val="24"/>
        </w:rPr>
        <w:t>N</w:t>
      </w:r>
      <w:r w:rsidRPr="00BF3C92">
        <w:rPr>
          <w:rFonts w:eastAsia="Calibri"/>
          <w:szCs w:val="24"/>
        </w:rPr>
        <w:t>’Gourma et 06 à Ouagadougou. Au cours de ces audiences, 184 décisions ont été rendues ; (iv) la tenue de 03 sessions de jugement du pôle anti terrorisme qui ont permis le jugement de 61 dossiers ayant impliqué 83 présumés terroristes dont 0</w:t>
      </w:r>
      <w:r w:rsidR="002B3EC1">
        <w:rPr>
          <w:rFonts w:eastAsia="Calibri"/>
          <w:szCs w:val="24"/>
        </w:rPr>
        <w:t>9</w:t>
      </w:r>
      <w:r w:rsidRPr="00BF3C92">
        <w:rPr>
          <w:rFonts w:eastAsia="Calibri"/>
          <w:szCs w:val="24"/>
        </w:rPr>
        <w:t xml:space="preserve"> mineurs ; (v) le jugement de 87 décisions par les pôles spécialisés dans la répression des infractions économiques et financières au cours de l’année. En effet, le pôle ECOFI du TGI Ouaga I a rendu 31 jugements et celui de Bobo-Dioulasso 56 décisions ; (vi) l’élaboration de 08 projets de textes sur 04 programmés. Il s’agit des avant-projets des lois portant modification du code de procédure pénale et organisation judiciaire au Burkina Faso, relecture de la loi portant administration du travail d'intérêt général, de </w:t>
      </w:r>
      <w:r w:rsidR="002B3EC1">
        <w:rPr>
          <w:rFonts w:eastAsia="Calibri"/>
          <w:szCs w:val="24"/>
        </w:rPr>
        <w:t xml:space="preserve">la </w:t>
      </w:r>
      <w:r w:rsidRPr="00BF3C92">
        <w:rPr>
          <w:rFonts w:eastAsia="Calibri"/>
          <w:szCs w:val="24"/>
        </w:rPr>
        <w:t xml:space="preserve">loi organique sur la </w:t>
      </w:r>
      <w:r w:rsidR="00526031">
        <w:rPr>
          <w:rFonts w:eastAsia="Calibri"/>
          <w:szCs w:val="24"/>
        </w:rPr>
        <w:t>C</w:t>
      </w:r>
      <w:r w:rsidRPr="00BF3C92">
        <w:rPr>
          <w:rFonts w:eastAsia="Calibri"/>
          <w:szCs w:val="24"/>
        </w:rPr>
        <w:t xml:space="preserve">our des comptes et ses 03 projets de décret d’application et de </w:t>
      </w:r>
      <w:r w:rsidR="002B3EC1">
        <w:rPr>
          <w:rFonts w:eastAsia="Calibri"/>
          <w:szCs w:val="24"/>
        </w:rPr>
        <w:t xml:space="preserve">la </w:t>
      </w:r>
      <w:r w:rsidRPr="00BF3C92">
        <w:rPr>
          <w:rFonts w:eastAsia="Calibri"/>
          <w:szCs w:val="24"/>
        </w:rPr>
        <w:t xml:space="preserve">loi portant relecture du statut des greffiers. L’avant-projet de loi portant relecture du code des personnes et de la famille a été finalisé et transmis au Secrétariat général du gouvernement et du </w:t>
      </w:r>
      <w:r w:rsidR="00526031">
        <w:rPr>
          <w:rFonts w:eastAsia="Calibri"/>
          <w:szCs w:val="24"/>
        </w:rPr>
        <w:t>C</w:t>
      </w:r>
      <w:r w:rsidRPr="00BF3C92">
        <w:rPr>
          <w:rFonts w:eastAsia="Calibri"/>
          <w:szCs w:val="24"/>
        </w:rPr>
        <w:t>onseil des ministres pour adoption et (vii) l’adoption de 04 décrets. Il s’agit du décret n°2023-0154/PRES-TRANS/PM/MEFP/MJDHRI du 28 février 2023 portant création d’une agence nationale de gestion et de recouvrement des avoirs saisis ou confisqués ; du décret n°2023-0263/PRES-TRANS/PM/MEFP/MJDHRI du 21 mars 2023 portant approbation des statuts de l’ANAGRASC, du décret n°2023-040/PRES-TRANS/PM/MEFP/MJDHRI du 22 juin 2023 relatif au casier judiciaire central et du décret n°2023-0843/PRES-TRANS/PM/MEFP/MJDHRI du 12 juillet 2023 portant approbation des statuts particuliers du Fonds d’assistance judiciaire.</w:t>
      </w:r>
    </w:p>
    <w:p w14:paraId="0F175697" w14:textId="18DCC1D2"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D’autres acquis concernent la formation de 290 acteurs (magistrats, greffiers et personnel d’appui technique) de la Cour de cassation (39 dont 8 femmes) et du Conseil d’Etat (70 dont 30 femmes) sur diverses thématiques afin de les doter de compétences appropriées pour un traitement diligent, efficient et efficace des dossiers dans les juridictions. Pour ce qui concerne la formation des acteurs de la chaine pénale, 557 acteurs (</w:t>
      </w:r>
      <w:r w:rsidR="00526031">
        <w:rPr>
          <w:rFonts w:eastAsia="Calibri"/>
          <w:szCs w:val="24"/>
        </w:rPr>
        <w:t>m</w:t>
      </w:r>
      <w:r w:rsidRPr="00BF3C92">
        <w:rPr>
          <w:rFonts w:eastAsia="Calibri"/>
          <w:szCs w:val="24"/>
        </w:rPr>
        <w:t xml:space="preserve">agistrats, </w:t>
      </w:r>
      <w:r w:rsidR="00526031">
        <w:rPr>
          <w:rFonts w:eastAsia="Calibri"/>
          <w:szCs w:val="24"/>
        </w:rPr>
        <w:t>g</w:t>
      </w:r>
      <w:r w:rsidRPr="00BF3C92">
        <w:rPr>
          <w:rFonts w:eastAsia="Calibri"/>
          <w:szCs w:val="24"/>
        </w:rPr>
        <w:t xml:space="preserve">reffiers, OPJ, </w:t>
      </w:r>
      <w:r w:rsidR="00526031">
        <w:rPr>
          <w:rFonts w:eastAsia="Calibri"/>
          <w:szCs w:val="24"/>
        </w:rPr>
        <w:t>m</w:t>
      </w:r>
      <w:r w:rsidRPr="00BF3C92">
        <w:rPr>
          <w:rFonts w:eastAsia="Calibri"/>
          <w:szCs w:val="24"/>
        </w:rPr>
        <w:t xml:space="preserve">édecins légistes) ont été formés </w:t>
      </w:r>
      <w:r w:rsidR="00526031">
        <w:rPr>
          <w:rFonts w:eastAsia="Calibri"/>
          <w:szCs w:val="24"/>
        </w:rPr>
        <w:t>à</w:t>
      </w:r>
      <w:r w:rsidRPr="00BF3C92">
        <w:rPr>
          <w:rFonts w:eastAsia="Calibri"/>
          <w:szCs w:val="24"/>
        </w:rPr>
        <w:t xml:space="preserve"> diverses thématiques. Il s’agit notamment de la mobilisation de la médecine légale, de la police technique et scientifique dans les enquêtes judiciaires, de l’utilisation du logiciel de suivi de l’exécution des peines, de la fonction de partie civile et </w:t>
      </w:r>
      <w:r w:rsidR="00526031">
        <w:rPr>
          <w:rFonts w:eastAsia="Calibri"/>
          <w:szCs w:val="24"/>
        </w:rPr>
        <w:t>d</w:t>
      </w:r>
      <w:r w:rsidRPr="00BF3C92">
        <w:rPr>
          <w:rFonts w:eastAsia="Calibri"/>
          <w:szCs w:val="24"/>
        </w:rPr>
        <w:t xml:space="preserve">es modalités d’indemnisation devant les juridictions répressives,  des </w:t>
      </w:r>
      <w:r w:rsidRPr="00BF3C92">
        <w:rPr>
          <w:rFonts w:eastAsia="Calibri"/>
          <w:szCs w:val="24"/>
        </w:rPr>
        <w:lastRenderedPageBreak/>
        <w:t xml:space="preserve">poursuites, de l’instruction et du jugement des affaires ECOFI, du respect des dispositions du Code de procédure pénale et du guide pour l’efficacité de la chaîne pénale, </w:t>
      </w:r>
      <w:r w:rsidR="00526031">
        <w:rPr>
          <w:rFonts w:eastAsia="Calibri"/>
          <w:szCs w:val="24"/>
        </w:rPr>
        <w:t>d</w:t>
      </w:r>
      <w:r w:rsidRPr="00BF3C92">
        <w:rPr>
          <w:rFonts w:eastAsia="Calibri"/>
          <w:szCs w:val="24"/>
        </w:rPr>
        <w:t xml:space="preserve">es procédures spéciales et la tenue des audiences en matière pénale, </w:t>
      </w:r>
      <w:r w:rsidR="00526031">
        <w:rPr>
          <w:rFonts w:eastAsia="Calibri"/>
          <w:szCs w:val="24"/>
        </w:rPr>
        <w:t>du</w:t>
      </w:r>
      <w:r w:rsidRPr="00BF3C92">
        <w:rPr>
          <w:rFonts w:eastAsia="Calibri"/>
          <w:szCs w:val="24"/>
        </w:rPr>
        <w:t xml:space="preserve"> recours à l’entraide judiciaire en matière pénale, </w:t>
      </w:r>
      <w:r w:rsidR="00526031">
        <w:rPr>
          <w:rFonts w:eastAsia="Calibri"/>
          <w:szCs w:val="24"/>
        </w:rPr>
        <w:t>d</w:t>
      </w:r>
      <w:r w:rsidRPr="00BF3C92">
        <w:rPr>
          <w:rFonts w:eastAsia="Calibri"/>
          <w:szCs w:val="24"/>
        </w:rPr>
        <w:t xml:space="preserve">es mesures alternatives à l’emprisonnement et sur l’établissement des pièces d’exécution. </w:t>
      </w:r>
    </w:p>
    <w:p w14:paraId="0D618778" w14:textId="77777777"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 xml:space="preserve">Aussi, 150 enfants en danger (abandonnés, dans la rue) ont bénéficié de mesures de protection judiciaire, sous forme de placement dans les centres de réinsertion. </w:t>
      </w:r>
    </w:p>
    <w:p w14:paraId="7196CB4D" w14:textId="0B9E4862" w:rsidR="00BF3C92" w:rsidRPr="00BF3C92" w:rsidRDefault="00BF3C92" w:rsidP="00F175A7">
      <w:pPr>
        <w:numPr>
          <w:ilvl w:val="0"/>
          <w:numId w:val="8"/>
        </w:numPr>
        <w:shd w:val="clear" w:color="auto" w:fill="FFFFFF"/>
        <w:spacing w:before="120" w:after="120" w:line="240" w:lineRule="auto"/>
        <w:ind w:left="0"/>
        <w:rPr>
          <w:rFonts w:eastAsia="Calibri"/>
          <w:szCs w:val="24"/>
        </w:rPr>
      </w:pPr>
      <w:r w:rsidRPr="00BF3C92">
        <w:rPr>
          <w:rFonts w:eastAsia="Calibri"/>
          <w:szCs w:val="24"/>
        </w:rPr>
        <w:t>La non</w:t>
      </w:r>
      <w:r w:rsidR="00526031">
        <w:rPr>
          <w:rFonts w:eastAsia="Calibri"/>
          <w:szCs w:val="24"/>
        </w:rPr>
        <w:t>-</w:t>
      </w:r>
      <w:r w:rsidRPr="00BF3C92">
        <w:rPr>
          <w:rFonts w:eastAsia="Calibri"/>
          <w:szCs w:val="24"/>
        </w:rPr>
        <w:t>atteinte des cibles de certains indicateurs de produit</w:t>
      </w:r>
      <w:r w:rsidR="00526031">
        <w:rPr>
          <w:rFonts w:eastAsia="Calibri"/>
          <w:szCs w:val="24"/>
        </w:rPr>
        <w:t>s</w:t>
      </w:r>
      <w:r w:rsidRPr="00BF3C92">
        <w:rPr>
          <w:rFonts w:eastAsia="Calibri"/>
          <w:szCs w:val="24"/>
        </w:rPr>
        <w:t xml:space="preserve"> s’explique entre autres par (i) l’insuffisance des ressources financières du</w:t>
      </w:r>
      <w:r w:rsidR="00526031">
        <w:rPr>
          <w:rFonts w:eastAsia="Calibri"/>
          <w:szCs w:val="24"/>
        </w:rPr>
        <w:t>e à</w:t>
      </w:r>
      <w:r w:rsidRPr="00BF3C92">
        <w:rPr>
          <w:rFonts w:eastAsia="Calibri"/>
          <w:szCs w:val="24"/>
        </w:rPr>
        <w:t xml:space="preserve"> la régulation budgétaire</w:t>
      </w:r>
      <w:r w:rsidR="00526031">
        <w:rPr>
          <w:rFonts w:eastAsia="Calibri"/>
          <w:szCs w:val="24"/>
        </w:rPr>
        <w:t>,</w:t>
      </w:r>
      <w:r w:rsidRPr="00BF3C92">
        <w:rPr>
          <w:rFonts w:eastAsia="Calibri"/>
          <w:szCs w:val="24"/>
        </w:rPr>
        <w:t xml:space="preserve"> (ii) le contexte sécuritaire qui </w:t>
      </w:r>
      <w:r w:rsidR="00526031">
        <w:rPr>
          <w:rFonts w:eastAsia="Calibri"/>
          <w:szCs w:val="24"/>
        </w:rPr>
        <w:t>a</w:t>
      </w:r>
      <w:r w:rsidRPr="00BF3C92">
        <w:rPr>
          <w:rFonts w:eastAsia="Calibri"/>
          <w:szCs w:val="24"/>
        </w:rPr>
        <w:t xml:space="preserve"> entravé la mise en œuvre des produits et (iii) l’insuffisance des effectifs du personnel de vérification.</w:t>
      </w:r>
    </w:p>
    <w:p w14:paraId="41023877" w14:textId="5B00D743" w:rsidR="00BF3C92" w:rsidRPr="0042784A" w:rsidRDefault="00590817" w:rsidP="008139E1">
      <w:pPr>
        <w:pStyle w:val="Lgende"/>
        <w:rPr>
          <w:rFonts w:cs="Merriweather"/>
          <w:color w:val="auto"/>
          <w:sz w:val="22"/>
        </w:rPr>
      </w:pPr>
      <w:bookmarkStart w:id="183" w:name="_Toc164503676"/>
      <w:r w:rsidRPr="0042784A">
        <w:rPr>
          <w:b/>
          <w:i w:val="0"/>
          <w:color w:val="auto"/>
          <w:sz w:val="22"/>
          <w:szCs w:val="22"/>
          <w:u w:val="single"/>
        </w:rPr>
        <w:t xml:space="preserve">Tableau </w:t>
      </w:r>
      <w:r w:rsidRPr="0042784A">
        <w:rPr>
          <w:b/>
          <w:i w:val="0"/>
          <w:color w:val="auto"/>
          <w:sz w:val="22"/>
          <w:szCs w:val="22"/>
          <w:u w:val="single"/>
        </w:rPr>
        <w:fldChar w:fldCharType="begin"/>
      </w:r>
      <w:r w:rsidRPr="0042784A">
        <w:rPr>
          <w:b/>
          <w:i w:val="0"/>
          <w:color w:val="auto"/>
          <w:sz w:val="22"/>
          <w:szCs w:val="22"/>
          <w:u w:val="single"/>
        </w:rPr>
        <w:instrText xml:space="preserve"> SEQ Tableau \* ARABIC </w:instrText>
      </w:r>
      <w:r w:rsidRPr="0042784A">
        <w:rPr>
          <w:b/>
          <w:i w:val="0"/>
          <w:color w:val="auto"/>
          <w:sz w:val="22"/>
          <w:szCs w:val="22"/>
          <w:u w:val="single"/>
        </w:rPr>
        <w:fldChar w:fldCharType="separate"/>
      </w:r>
      <w:r w:rsidR="007C2E4E">
        <w:rPr>
          <w:b/>
          <w:i w:val="0"/>
          <w:noProof/>
          <w:color w:val="auto"/>
          <w:sz w:val="22"/>
          <w:szCs w:val="22"/>
          <w:u w:val="single"/>
        </w:rPr>
        <w:t>89</w:t>
      </w:r>
      <w:r w:rsidRPr="0042784A">
        <w:rPr>
          <w:b/>
          <w:i w:val="0"/>
          <w:color w:val="auto"/>
          <w:sz w:val="22"/>
          <w:szCs w:val="22"/>
          <w:u w:val="single"/>
        </w:rPr>
        <w:fldChar w:fldCharType="end"/>
      </w:r>
      <w:r w:rsidRPr="0042784A">
        <w:rPr>
          <w:i w:val="0"/>
          <w:color w:val="auto"/>
          <w:sz w:val="22"/>
          <w:szCs w:val="22"/>
        </w:rPr>
        <w:t xml:space="preserve">: </w:t>
      </w:r>
      <w:r w:rsidRPr="0042784A">
        <w:rPr>
          <w:i w:val="0"/>
          <w:color w:val="auto"/>
          <w:sz w:val="24"/>
          <w:szCs w:val="24"/>
        </w:rPr>
        <w:t xml:space="preserve">situation des indicateurs de produits de l’action « </w:t>
      </w:r>
      <w:r w:rsidR="00526031" w:rsidRPr="0042784A">
        <w:rPr>
          <w:i w:val="0"/>
          <w:color w:val="auto"/>
          <w:sz w:val="24"/>
          <w:szCs w:val="24"/>
        </w:rPr>
        <w:t>a</w:t>
      </w:r>
      <w:r w:rsidRPr="0042784A">
        <w:rPr>
          <w:i w:val="0"/>
          <w:color w:val="auto"/>
          <w:sz w:val="24"/>
          <w:szCs w:val="24"/>
        </w:rPr>
        <w:t>ccélération du traitement des dossiers pendants en justice » au 31 décembre 2023</w:t>
      </w:r>
      <w:bookmarkEnd w:id="183"/>
    </w:p>
    <w:tbl>
      <w:tblPr>
        <w:tblW w:w="5000" w:type="pct"/>
        <w:tblLook w:val="0400" w:firstRow="0" w:lastRow="0" w:firstColumn="0" w:lastColumn="0" w:noHBand="0" w:noVBand="1"/>
      </w:tblPr>
      <w:tblGrid>
        <w:gridCol w:w="4875"/>
        <w:gridCol w:w="1381"/>
        <w:gridCol w:w="1381"/>
        <w:gridCol w:w="1379"/>
      </w:tblGrid>
      <w:tr w:rsidR="009E2F1E" w:rsidRPr="002203B6" w14:paraId="52BB5779" w14:textId="77777777" w:rsidTr="009A288B">
        <w:trPr>
          <w:trHeight w:val="20"/>
        </w:trPr>
        <w:tc>
          <w:tcPr>
            <w:tcW w:w="2703" w:type="pct"/>
            <w:tcBorders>
              <w:top w:val="single" w:sz="8" w:space="0" w:color="5B9BD5"/>
              <w:left w:val="single" w:sz="8" w:space="0" w:color="5B9BD5"/>
              <w:bottom w:val="single" w:sz="8" w:space="0" w:color="5B9BD5"/>
              <w:right w:val="nil"/>
            </w:tcBorders>
            <w:shd w:val="clear" w:color="auto" w:fill="5B9BD5"/>
            <w:vAlign w:val="center"/>
          </w:tcPr>
          <w:p w14:paraId="0D3D11DD" w14:textId="77777777" w:rsidR="009E2F1E" w:rsidRPr="002203B6" w:rsidRDefault="009E2F1E" w:rsidP="009E2F1E">
            <w:pPr>
              <w:spacing w:after="0" w:line="240" w:lineRule="auto"/>
              <w:jc w:val="left"/>
              <w:rPr>
                <w:b/>
                <w:color w:val="FFFFFF"/>
                <w:sz w:val="22"/>
              </w:rPr>
            </w:pPr>
            <w:r w:rsidRPr="002203B6">
              <w:rPr>
                <w:b/>
                <w:color w:val="FFFFFF"/>
                <w:sz w:val="22"/>
              </w:rPr>
              <w:t>Indicateur</w:t>
            </w:r>
          </w:p>
        </w:tc>
        <w:tc>
          <w:tcPr>
            <w:tcW w:w="766" w:type="pct"/>
            <w:tcBorders>
              <w:top w:val="single" w:sz="8" w:space="0" w:color="5B9BD5"/>
              <w:left w:val="nil"/>
              <w:bottom w:val="single" w:sz="8" w:space="0" w:color="5B9BD5"/>
              <w:right w:val="nil"/>
            </w:tcBorders>
            <w:shd w:val="clear" w:color="auto" w:fill="5B9BD5"/>
            <w:vAlign w:val="center"/>
          </w:tcPr>
          <w:p w14:paraId="7AE2FC96" w14:textId="77777777" w:rsidR="009E2F1E" w:rsidRPr="002203B6" w:rsidRDefault="009E2F1E" w:rsidP="009E2F1E">
            <w:pPr>
              <w:spacing w:after="0" w:line="240" w:lineRule="auto"/>
              <w:jc w:val="center"/>
              <w:rPr>
                <w:b/>
                <w:color w:val="FFFFFF"/>
                <w:sz w:val="22"/>
              </w:rPr>
            </w:pPr>
            <w:r w:rsidRPr="002203B6">
              <w:rPr>
                <w:b/>
                <w:color w:val="FFFFFF"/>
                <w:sz w:val="22"/>
              </w:rPr>
              <w:t>Réal. 2022</w:t>
            </w:r>
          </w:p>
        </w:tc>
        <w:tc>
          <w:tcPr>
            <w:tcW w:w="766" w:type="pct"/>
            <w:tcBorders>
              <w:top w:val="single" w:sz="8" w:space="0" w:color="5B9BD5"/>
              <w:left w:val="nil"/>
              <w:bottom w:val="single" w:sz="8" w:space="0" w:color="5B9BD5"/>
              <w:right w:val="nil"/>
            </w:tcBorders>
            <w:shd w:val="clear" w:color="auto" w:fill="5B9BD5"/>
            <w:vAlign w:val="center"/>
          </w:tcPr>
          <w:p w14:paraId="590743F6" w14:textId="357FD146" w:rsidR="009E2F1E" w:rsidRPr="002E69F1" w:rsidRDefault="009E2F1E" w:rsidP="009E2F1E">
            <w:pPr>
              <w:spacing w:after="0" w:line="240" w:lineRule="auto"/>
              <w:jc w:val="center"/>
              <w:rPr>
                <w:b/>
                <w:color w:val="FFFFFF"/>
                <w:sz w:val="22"/>
              </w:rPr>
            </w:pPr>
            <w:r w:rsidRPr="002E69F1">
              <w:rPr>
                <w:b/>
                <w:color w:val="FFFFFF"/>
                <w:sz w:val="22"/>
              </w:rPr>
              <w:t>Réal 2023</w:t>
            </w:r>
          </w:p>
        </w:tc>
        <w:tc>
          <w:tcPr>
            <w:tcW w:w="766" w:type="pct"/>
            <w:tcBorders>
              <w:top w:val="single" w:sz="8" w:space="0" w:color="5B9BD5"/>
              <w:left w:val="nil"/>
              <w:bottom w:val="single" w:sz="8" w:space="0" w:color="5B9BD5"/>
              <w:right w:val="nil"/>
            </w:tcBorders>
            <w:shd w:val="clear" w:color="auto" w:fill="5B9BD5"/>
            <w:vAlign w:val="center"/>
          </w:tcPr>
          <w:p w14:paraId="7100F442" w14:textId="1255E179" w:rsidR="009E2F1E" w:rsidRPr="002203B6" w:rsidRDefault="009E2F1E" w:rsidP="009E2F1E">
            <w:pPr>
              <w:spacing w:after="0" w:line="240" w:lineRule="auto"/>
              <w:jc w:val="center"/>
              <w:rPr>
                <w:b/>
                <w:color w:val="FFFFFF"/>
                <w:sz w:val="22"/>
              </w:rPr>
            </w:pPr>
            <w:r w:rsidRPr="002203B6">
              <w:rPr>
                <w:b/>
                <w:color w:val="FFFFFF"/>
                <w:sz w:val="22"/>
              </w:rPr>
              <w:t>Cible 2023</w:t>
            </w:r>
          </w:p>
        </w:tc>
      </w:tr>
      <w:tr w:rsidR="009E2F1E" w:rsidRPr="002203B6" w14:paraId="5BC7EA06"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7817A4F4" w14:textId="77777777" w:rsidR="009E2F1E" w:rsidRPr="002203B6" w:rsidRDefault="009E2F1E" w:rsidP="009E2F1E">
            <w:pPr>
              <w:spacing w:after="0" w:line="240" w:lineRule="auto"/>
              <w:rPr>
                <w:b/>
                <w:color w:val="000000"/>
                <w:sz w:val="22"/>
              </w:rPr>
            </w:pPr>
            <w:r w:rsidRPr="002203B6">
              <w:rPr>
                <w:b/>
                <w:color w:val="000000"/>
                <w:sz w:val="22"/>
              </w:rPr>
              <w:t>Nombre de dossiers pendants en justice dont le procès a débuté</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3E202957" w14:textId="77777777" w:rsidR="009E2F1E" w:rsidRPr="002203B6" w:rsidRDefault="009E2F1E" w:rsidP="009E2F1E">
            <w:pPr>
              <w:spacing w:after="0" w:line="240" w:lineRule="auto"/>
              <w:jc w:val="center"/>
              <w:rPr>
                <w:color w:val="000000"/>
                <w:sz w:val="22"/>
              </w:rPr>
            </w:pPr>
            <w:r w:rsidRPr="002203B6">
              <w:rPr>
                <w:color w:val="000000"/>
                <w:sz w:val="22"/>
              </w:rPr>
              <w:t>2</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1E7E6D29" w14:textId="038C421A" w:rsidR="009E2F1E" w:rsidRPr="002203B6" w:rsidRDefault="009E2F1E" w:rsidP="009E2F1E">
            <w:pPr>
              <w:spacing w:after="0" w:line="240" w:lineRule="auto"/>
              <w:jc w:val="center"/>
              <w:rPr>
                <w:color w:val="000000"/>
                <w:sz w:val="22"/>
              </w:rPr>
            </w:pPr>
            <w:r w:rsidRPr="002203B6">
              <w:rPr>
                <w:color w:val="000000"/>
                <w:sz w:val="22"/>
              </w:rPr>
              <w:t>4</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72DEBC74" w14:textId="35D26E7A" w:rsidR="009E2F1E" w:rsidRPr="002203B6" w:rsidRDefault="009E2F1E" w:rsidP="009E2F1E">
            <w:pPr>
              <w:spacing w:after="0" w:line="240" w:lineRule="auto"/>
              <w:jc w:val="center"/>
              <w:rPr>
                <w:color w:val="000000"/>
                <w:sz w:val="22"/>
              </w:rPr>
            </w:pPr>
            <w:r w:rsidRPr="002203B6">
              <w:rPr>
                <w:color w:val="000000"/>
                <w:sz w:val="22"/>
              </w:rPr>
              <w:t>1</w:t>
            </w:r>
          </w:p>
        </w:tc>
      </w:tr>
      <w:tr w:rsidR="009E2F1E" w:rsidRPr="002203B6" w14:paraId="28123EE0"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1F69D521" w14:textId="77777777" w:rsidR="009E2F1E" w:rsidRPr="002203B6" w:rsidRDefault="009E2F1E" w:rsidP="009E2F1E">
            <w:pPr>
              <w:spacing w:after="0" w:line="240" w:lineRule="auto"/>
              <w:rPr>
                <w:b/>
                <w:color w:val="000000"/>
                <w:sz w:val="22"/>
              </w:rPr>
            </w:pPr>
            <w:r w:rsidRPr="002203B6">
              <w:rPr>
                <w:b/>
                <w:color w:val="000000"/>
                <w:sz w:val="22"/>
              </w:rPr>
              <w:t>Nombre d’audiences foraines tenues</w:t>
            </w:r>
          </w:p>
        </w:tc>
        <w:tc>
          <w:tcPr>
            <w:tcW w:w="766" w:type="pct"/>
            <w:tcBorders>
              <w:top w:val="single" w:sz="8" w:space="0" w:color="5B9BD5"/>
              <w:left w:val="nil"/>
              <w:bottom w:val="single" w:sz="8" w:space="0" w:color="5B9BD5"/>
              <w:right w:val="single" w:sz="8" w:space="0" w:color="5B9BD5"/>
            </w:tcBorders>
            <w:shd w:val="clear" w:color="auto" w:fill="auto"/>
            <w:vAlign w:val="center"/>
          </w:tcPr>
          <w:p w14:paraId="3A220A83" w14:textId="77777777" w:rsidR="009E2F1E" w:rsidRPr="002203B6" w:rsidRDefault="009E2F1E" w:rsidP="009E2F1E">
            <w:pPr>
              <w:spacing w:after="0" w:line="240" w:lineRule="auto"/>
              <w:jc w:val="center"/>
              <w:rPr>
                <w:color w:val="000000"/>
                <w:sz w:val="22"/>
              </w:rPr>
            </w:pPr>
            <w:r w:rsidRPr="002203B6">
              <w:rPr>
                <w:color w:val="000000"/>
                <w:sz w:val="22"/>
              </w:rPr>
              <w:t>22</w:t>
            </w:r>
          </w:p>
        </w:tc>
        <w:tc>
          <w:tcPr>
            <w:tcW w:w="766" w:type="pct"/>
            <w:tcBorders>
              <w:top w:val="single" w:sz="8" w:space="0" w:color="5B9BD5"/>
              <w:left w:val="single" w:sz="8" w:space="0" w:color="5B9BD5"/>
              <w:bottom w:val="single" w:sz="8" w:space="0" w:color="5B9BD5"/>
              <w:right w:val="single" w:sz="8" w:space="0" w:color="5B9BD5"/>
            </w:tcBorders>
            <w:vAlign w:val="center"/>
          </w:tcPr>
          <w:p w14:paraId="58F96D16" w14:textId="633B1BE7" w:rsidR="009E2F1E" w:rsidRPr="002203B6" w:rsidRDefault="00AE7CFE" w:rsidP="009E2F1E">
            <w:pPr>
              <w:spacing w:after="0" w:line="240" w:lineRule="auto"/>
              <w:jc w:val="center"/>
              <w:rPr>
                <w:color w:val="000000"/>
                <w:sz w:val="22"/>
              </w:rPr>
            </w:pPr>
            <w:r>
              <w:rPr>
                <w:color w:val="000000"/>
                <w:sz w:val="22"/>
              </w:rPr>
              <w:t>54</w:t>
            </w:r>
          </w:p>
        </w:tc>
        <w:tc>
          <w:tcPr>
            <w:tcW w:w="766" w:type="pct"/>
            <w:tcBorders>
              <w:top w:val="single" w:sz="8" w:space="0" w:color="5B9BD5"/>
              <w:left w:val="single" w:sz="8" w:space="0" w:color="5B9BD5"/>
              <w:bottom w:val="single" w:sz="8" w:space="0" w:color="5B9BD5"/>
              <w:right w:val="single" w:sz="8" w:space="0" w:color="9CC2E5"/>
            </w:tcBorders>
            <w:shd w:val="clear" w:color="auto" w:fill="auto"/>
            <w:vAlign w:val="center"/>
          </w:tcPr>
          <w:p w14:paraId="46FA0DEB" w14:textId="446C681A" w:rsidR="009E2F1E" w:rsidRPr="002203B6" w:rsidRDefault="009E2F1E" w:rsidP="009E2F1E">
            <w:pPr>
              <w:spacing w:after="0" w:line="240" w:lineRule="auto"/>
              <w:jc w:val="center"/>
              <w:rPr>
                <w:color w:val="000000"/>
                <w:sz w:val="22"/>
              </w:rPr>
            </w:pPr>
            <w:r w:rsidRPr="002203B6">
              <w:rPr>
                <w:color w:val="000000"/>
                <w:sz w:val="22"/>
              </w:rPr>
              <w:t>50</w:t>
            </w:r>
          </w:p>
        </w:tc>
      </w:tr>
      <w:tr w:rsidR="009E2F1E" w:rsidRPr="002203B6" w14:paraId="7360E498"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5F02E4C7" w14:textId="77777777" w:rsidR="009E2F1E" w:rsidRPr="002203B6" w:rsidRDefault="009E2F1E" w:rsidP="009E2F1E">
            <w:pPr>
              <w:spacing w:after="0" w:line="240" w:lineRule="auto"/>
              <w:rPr>
                <w:b/>
                <w:color w:val="000000"/>
                <w:sz w:val="22"/>
              </w:rPr>
            </w:pPr>
            <w:r w:rsidRPr="002203B6">
              <w:rPr>
                <w:b/>
                <w:color w:val="000000"/>
                <w:sz w:val="22"/>
              </w:rPr>
              <w:t>Nombre d'audiences criminelles tenues</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0D0F8920" w14:textId="77777777" w:rsidR="009E2F1E" w:rsidRPr="002203B6" w:rsidRDefault="009E2F1E" w:rsidP="009E2F1E">
            <w:pPr>
              <w:spacing w:after="0" w:line="240" w:lineRule="auto"/>
              <w:jc w:val="center"/>
              <w:rPr>
                <w:color w:val="000000"/>
                <w:sz w:val="22"/>
              </w:rPr>
            </w:pPr>
            <w:r w:rsidRPr="002203B6">
              <w:rPr>
                <w:color w:val="000000"/>
                <w:sz w:val="22"/>
              </w:rPr>
              <w:t>25</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2B75B06E" w14:textId="7B509184" w:rsidR="009E2F1E" w:rsidRPr="002203B6" w:rsidRDefault="009E2F1E" w:rsidP="009E2F1E">
            <w:pPr>
              <w:spacing w:after="0" w:line="240" w:lineRule="auto"/>
              <w:jc w:val="center"/>
              <w:rPr>
                <w:color w:val="000000"/>
                <w:sz w:val="22"/>
              </w:rPr>
            </w:pPr>
            <w:r w:rsidRPr="002203B6">
              <w:rPr>
                <w:color w:val="000000"/>
                <w:sz w:val="22"/>
              </w:rPr>
              <w:t>12</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280C5A82" w14:textId="4439668A" w:rsidR="009E2F1E" w:rsidRPr="002203B6" w:rsidRDefault="009E2F1E" w:rsidP="009E2F1E">
            <w:pPr>
              <w:spacing w:after="0" w:line="240" w:lineRule="auto"/>
              <w:jc w:val="center"/>
              <w:rPr>
                <w:color w:val="000000"/>
                <w:sz w:val="22"/>
              </w:rPr>
            </w:pPr>
            <w:r w:rsidRPr="002203B6">
              <w:rPr>
                <w:color w:val="000000"/>
                <w:sz w:val="22"/>
              </w:rPr>
              <w:t>8</w:t>
            </w:r>
          </w:p>
        </w:tc>
      </w:tr>
      <w:tr w:rsidR="009E2F1E" w:rsidRPr="002203B6" w14:paraId="5196D17D"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672E8CBC" w14:textId="77777777" w:rsidR="009E2F1E" w:rsidRPr="002203B6" w:rsidRDefault="009E2F1E" w:rsidP="009E2F1E">
            <w:pPr>
              <w:spacing w:after="0" w:line="240" w:lineRule="auto"/>
              <w:rPr>
                <w:b/>
                <w:color w:val="000000"/>
                <w:sz w:val="22"/>
              </w:rPr>
            </w:pPr>
            <w:r w:rsidRPr="002203B6">
              <w:rPr>
                <w:b/>
                <w:color w:val="000000"/>
                <w:sz w:val="22"/>
              </w:rPr>
              <w:t>Nombre de sessions du pôle anti-</w:t>
            </w:r>
            <w:proofErr w:type="spellStart"/>
            <w:r w:rsidRPr="002203B6">
              <w:rPr>
                <w:b/>
                <w:color w:val="000000"/>
                <w:sz w:val="22"/>
              </w:rPr>
              <w:t>terro</w:t>
            </w:r>
            <w:proofErr w:type="spellEnd"/>
            <w:r w:rsidRPr="002203B6">
              <w:rPr>
                <w:b/>
                <w:color w:val="000000"/>
                <w:sz w:val="22"/>
              </w:rPr>
              <w:t xml:space="preserve"> tenues</w:t>
            </w:r>
          </w:p>
        </w:tc>
        <w:tc>
          <w:tcPr>
            <w:tcW w:w="766" w:type="pct"/>
            <w:tcBorders>
              <w:top w:val="single" w:sz="8" w:space="0" w:color="5B9BD5"/>
              <w:left w:val="nil"/>
              <w:bottom w:val="single" w:sz="8" w:space="0" w:color="5B9BD5"/>
              <w:right w:val="single" w:sz="8" w:space="0" w:color="5B9BD5"/>
            </w:tcBorders>
            <w:shd w:val="clear" w:color="auto" w:fill="auto"/>
            <w:vAlign w:val="center"/>
          </w:tcPr>
          <w:p w14:paraId="7FD9E953" w14:textId="77777777" w:rsidR="009E2F1E" w:rsidRPr="002203B6" w:rsidRDefault="009E2F1E" w:rsidP="009E2F1E">
            <w:pPr>
              <w:spacing w:after="0" w:line="240" w:lineRule="auto"/>
              <w:jc w:val="center"/>
              <w:rPr>
                <w:color w:val="000000"/>
                <w:sz w:val="22"/>
              </w:rPr>
            </w:pPr>
            <w:r w:rsidRPr="002203B6">
              <w:rPr>
                <w:color w:val="000000"/>
                <w:sz w:val="22"/>
              </w:rPr>
              <w:t>0</w:t>
            </w:r>
          </w:p>
        </w:tc>
        <w:tc>
          <w:tcPr>
            <w:tcW w:w="766" w:type="pct"/>
            <w:tcBorders>
              <w:top w:val="single" w:sz="8" w:space="0" w:color="5B9BD5"/>
              <w:left w:val="single" w:sz="8" w:space="0" w:color="5B9BD5"/>
              <w:bottom w:val="single" w:sz="8" w:space="0" w:color="5B9BD5"/>
              <w:right w:val="single" w:sz="8" w:space="0" w:color="5B9BD5"/>
            </w:tcBorders>
            <w:vAlign w:val="center"/>
          </w:tcPr>
          <w:p w14:paraId="1F0B3AB4" w14:textId="5CEB5F80" w:rsidR="009E2F1E" w:rsidRPr="002203B6" w:rsidRDefault="009E2F1E" w:rsidP="009E2F1E">
            <w:pPr>
              <w:spacing w:after="0" w:line="240" w:lineRule="auto"/>
              <w:jc w:val="center"/>
              <w:rPr>
                <w:color w:val="000000"/>
                <w:sz w:val="22"/>
              </w:rPr>
            </w:pPr>
            <w:r w:rsidRPr="002203B6">
              <w:rPr>
                <w:color w:val="000000"/>
                <w:sz w:val="22"/>
              </w:rPr>
              <w:t>3</w:t>
            </w:r>
          </w:p>
        </w:tc>
        <w:tc>
          <w:tcPr>
            <w:tcW w:w="766" w:type="pct"/>
            <w:tcBorders>
              <w:top w:val="single" w:sz="8" w:space="0" w:color="5B9BD5"/>
              <w:left w:val="single" w:sz="8" w:space="0" w:color="5B9BD5"/>
              <w:bottom w:val="single" w:sz="8" w:space="0" w:color="5B9BD5"/>
              <w:right w:val="single" w:sz="8" w:space="0" w:color="9CC2E5"/>
            </w:tcBorders>
            <w:shd w:val="clear" w:color="auto" w:fill="auto"/>
            <w:vAlign w:val="center"/>
          </w:tcPr>
          <w:p w14:paraId="65D91DF8" w14:textId="7C088048" w:rsidR="009E2F1E" w:rsidRPr="002203B6" w:rsidRDefault="009E2F1E" w:rsidP="009E2F1E">
            <w:pPr>
              <w:spacing w:after="0" w:line="240" w:lineRule="auto"/>
              <w:jc w:val="center"/>
              <w:rPr>
                <w:color w:val="000000"/>
                <w:sz w:val="22"/>
              </w:rPr>
            </w:pPr>
            <w:r w:rsidRPr="002203B6">
              <w:rPr>
                <w:color w:val="000000"/>
                <w:sz w:val="22"/>
              </w:rPr>
              <w:t>2</w:t>
            </w:r>
          </w:p>
        </w:tc>
      </w:tr>
      <w:tr w:rsidR="009E2F1E" w:rsidRPr="002203B6" w14:paraId="210D1136"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21EF997B" w14:textId="77777777" w:rsidR="009E2F1E" w:rsidRPr="002203B6" w:rsidRDefault="009E2F1E" w:rsidP="009E2F1E">
            <w:pPr>
              <w:spacing w:after="0" w:line="240" w:lineRule="auto"/>
              <w:rPr>
                <w:b/>
                <w:color w:val="000000"/>
                <w:sz w:val="22"/>
              </w:rPr>
            </w:pPr>
            <w:r w:rsidRPr="002203B6">
              <w:rPr>
                <w:b/>
                <w:color w:val="000000"/>
                <w:sz w:val="22"/>
              </w:rPr>
              <w:t xml:space="preserve">Nombre de dossiers jugés par les pôles ECOFI </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7FDFBAD4" w14:textId="77777777" w:rsidR="009E2F1E" w:rsidRPr="002203B6" w:rsidRDefault="009E2F1E" w:rsidP="009E2F1E">
            <w:pPr>
              <w:spacing w:after="0" w:line="240" w:lineRule="auto"/>
              <w:jc w:val="center"/>
              <w:rPr>
                <w:color w:val="000000"/>
                <w:sz w:val="22"/>
              </w:rPr>
            </w:pPr>
            <w:r w:rsidRPr="002203B6">
              <w:rPr>
                <w:color w:val="000000"/>
                <w:sz w:val="22"/>
              </w:rPr>
              <w:t>80</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4CE74F21" w14:textId="4CBB96BA" w:rsidR="009E2F1E" w:rsidRPr="002203B6" w:rsidRDefault="009E2F1E" w:rsidP="009E2F1E">
            <w:pPr>
              <w:spacing w:after="0" w:line="240" w:lineRule="auto"/>
              <w:jc w:val="center"/>
              <w:rPr>
                <w:color w:val="000000"/>
                <w:sz w:val="22"/>
              </w:rPr>
            </w:pPr>
            <w:r w:rsidRPr="002203B6">
              <w:rPr>
                <w:color w:val="000000"/>
                <w:sz w:val="22"/>
              </w:rPr>
              <w:t>87</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450F4B3B" w14:textId="21BF9600" w:rsidR="009E2F1E" w:rsidRPr="002203B6" w:rsidRDefault="009E2F1E" w:rsidP="009E2F1E">
            <w:pPr>
              <w:spacing w:after="0" w:line="240" w:lineRule="auto"/>
              <w:jc w:val="center"/>
              <w:rPr>
                <w:color w:val="000000"/>
                <w:sz w:val="22"/>
              </w:rPr>
            </w:pPr>
            <w:r w:rsidRPr="002203B6">
              <w:rPr>
                <w:color w:val="000000"/>
                <w:sz w:val="22"/>
              </w:rPr>
              <w:t>75</w:t>
            </w:r>
          </w:p>
        </w:tc>
      </w:tr>
      <w:tr w:rsidR="009E2F1E" w:rsidRPr="002203B6" w14:paraId="72A6F831"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0D59F94C" w14:textId="77777777" w:rsidR="009E2F1E" w:rsidRPr="002203B6" w:rsidRDefault="009E2F1E" w:rsidP="009E2F1E">
            <w:pPr>
              <w:spacing w:after="0" w:line="240" w:lineRule="auto"/>
              <w:rPr>
                <w:b/>
                <w:color w:val="000000"/>
                <w:sz w:val="22"/>
              </w:rPr>
            </w:pPr>
            <w:r w:rsidRPr="002203B6">
              <w:rPr>
                <w:b/>
                <w:color w:val="000000"/>
                <w:sz w:val="22"/>
              </w:rPr>
              <w:t>Nombre d’arrêts rendus</w:t>
            </w:r>
          </w:p>
        </w:tc>
        <w:tc>
          <w:tcPr>
            <w:tcW w:w="766" w:type="pct"/>
            <w:tcBorders>
              <w:top w:val="single" w:sz="8" w:space="0" w:color="5B9BD5"/>
              <w:left w:val="nil"/>
              <w:bottom w:val="single" w:sz="8" w:space="0" w:color="5B9BD5"/>
              <w:right w:val="single" w:sz="8" w:space="0" w:color="5B9BD5"/>
            </w:tcBorders>
            <w:shd w:val="clear" w:color="auto" w:fill="auto"/>
            <w:vAlign w:val="center"/>
          </w:tcPr>
          <w:p w14:paraId="4FBD8052" w14:textId="77777777" w:rsidR="009E2F1E" w:rsidRPr="002203B6" w:rsidRDefault="009E2F1E" w:rsidP="009E2F1E">
            <w:pPr>
              <w:spacing w:after="0" w:line="240" w:lineRule="auto"/>
              <w:jc w:val="center"/>
              <w:rPr>
                <w:color w:val="000000"/>
                <w:sz w:val="22"/>
              </w:rPr>
            </w:pPr>
            <w:r w:rsidRPr="002203B6">
              <w:rPr>
                <w:color w:val="000000"/>
                <w:sz w:val="22"/>
              </w:rPr>
              <w:t>762 (2021)</w:t>
            </w:r>
          </w:p>
        </w:tc>
        <w:tc>
          <w:tcPr>
            <w:tcW w:w="766" w:type="pct"/>
            <w:tcBorders>
              <w:top w:val="single" w:sz="8" w:space="0" w:color="5B9BD5"/>
              <w:left w:val="single" w:sz="8" w:space="0" w:color="5B9BD5"/>
              <w:bottom w:val="single" w:sz="8" w:space="0" w:color="5B9BD5"/>
              <w:right w:val="single" w:sz="8" w:space="0" w:color="5B9BD5"/>
            </w:tcBorders>
            <w:vAlign w:val="center"/>
          </w:tcPr>
          <w:p w14:paraId="2CE35A9F" w14:textId="5392469E" w:rsidR="009E2F1E" w:rsidRPr="002203B6" w:rsidRDefault="009E2F1E" w:rsidP="009E2F1E">
            <w:pPr>
              <w:spacing w:after="0" w:line="240" w:lineRule="auto"/>
              <w:jc w:val="center"/>
              <w:rPr>
                <w:color w:val="000000"/>
                <w:sz w:val="22"/>
              </w:rPr>
            </w:pPr>
            <w:r w:rsidRPr="002203B6">
              <w:rPr>
                <w:color w:val="000000"/>
                <w:sz w:val="22"/>
              </w:rPr>
              <w:t>711</w:t>
            </w:r>
          </w:p>
        </w:tc>
        <w:tc>
          <w:tcPr>
            <w:tcW w:w="766" w:type="pct"/>
            <w:tcBorders>
              <w:top w:val="single" w:sz="8" w:space="0" w:color="5B9BD5"/>
              <w:left w:val="single" w:sz="8" w:space="0" w:color="5B9BD5"/>
              <w:bottom w:val="single" w:sz="8" w:space="0" w:color="5B9BD5"/>
              <w:right w:val="single" w:sz="8" w:space="0" w:color="9CC2E5"/>
            </w:tcBorders>
            <w:shd w:val="clear" w:color="auto" w:fill="auto"/>
            <w:vAlign w:val="center"/>
          </w:tcPr>
          <w:p w14:paraId="33F0ADF8" w14:textId="310DB23A" w:rsidR="009E2F1E" w:rsidRPr="002203B6" w:rsidRDefault="009E2F1E" w:rsidP="009E2F1E">
            <w:pPr>
              <w:spacing w:after="0" w:line="240" w:lineRule="auto"/>
              <w:jc w:val="center"/>
              <w:rPr>
                <w:color w:val="000000"/>
                <w:sz w:val="22"/>
              </w:rPr>
            </w:pPr>
            <w:r w:rsidRPr="002203B6">
              <w:rPr>
                <w:color w:val="000000"/>
                <w:sz w:val="22"/>
              </w:rPr>
              <w:t>600</w:t>
            </w:r>
          </w:p>
        </w:tc>
      </w:tr>
      <w:tr w:rsidR="009E2F1E" w:rsidRPr="002203B6" w14:paraId="75B82067"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0A8C71BB" w14:textId="77777777" w:rsidR="009E2F1E" w:rsidRPr="002203B6" w:rsidRDefault="009E2F1E" w:rsidP="009E2F1E">
            <w:pPr>
              <w:spacing w:after="0" w:line="240" w:lineRule="auto"/>
              <w:rPr>
                <w:b/>
                <w:color w:val="000000"/>
                <w:sz w:val="22"/>
              </w:rPr>
            </w:pPr>
            <w:r w:rsidRPr="002203B6">
              <w:rPr>
                <w:b/>
                <w:color w:val="000000"/>
                <w:sz w:val="22"/>
              </w:rPr>
              <w:t>Proportion de comptes jugés</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48F3C536" w14:textId="77777777" w:rsidR="009E2F1E" w:rsidRPr="002203B6" w:rsidRDefault="009E2F1E" w:rsidP="009E2F1E">
            <w:pPr>
              <w:spacing w:after="0" w:line="240" w:lineRule="auto"/>
              <w:jc w:val="center"/>
              <w:rPr>
                <w:color w:val="000000"/>
                <w:sz w:val="22"/>
              </w:rPr>
            </w:pPr>
            <w:r w:rsidRPr="002203B6">
              <w:rPr>
                <w:color w:val="000000"/>
                <w:sz w:val="22"/>
              </w:rPr>
              <w:t>-</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22E558FD" w14:textId="2DAC0E91" w:rsidR="009E2F1E" w:rsidRPr="002203B6" w:rsidRDefault="009E2F1E" w:rsidP="009E2F1E">
            <w:pPr>
              <w:spacing w:after="0" w:line="240" w:lineRule="auto"/>
              <w:jc w:val="center"/>
              <w:rPr>
                <w:color w:val="000000"/>
                <w:sz w:val="22"/>
              </w:rPr>
            </w:pPr>
            <w:r w:rsidRPr="002203B6">
              <w:rPr>
                <w:color w:val="000000"/>
                <w:sz w:val="22"/>
              </w:rPr>
              <w:t> 86,46</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4AE17DE3" w14:textId="139555B7" w:rsidR="009E2F1E" w:rsidRPr="002203B6" w:rsidRDefault="009E2F1E" w:rsidP="009E2F1E">
            <w:pPr>
              <w:spacing w:after="0" w:line="240" w:lineRule="auto"/>
              <w:jc w:val="center"/>
              <w:rPr>
                <w:color w:val="000000"/>
                <w:sz w:val="22"/>
              </w:rPr>
            </w:pPr>
            <w:r w:rsidRPr="002203B6">
              <w:rPr>
                <w:color w:val="000000"/>
                <w:sz w:val="22"/>
              </w:rPr>
              <w:t>100%</w:t>
            </w:r>
          </w:p>
        </w:tc>
      </w:tr>
      <w:tr w:rsidR="009E2F1E" w:rsidRPr="002203B6" w14:paraId="2DC217F9"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33C01385" w14:textId="77777777" w:rsidR="009E2F1E" w:rsidRPr="002203B6" w:rsidRDefault="009E2F1E" w:rsidP="009E2F1E">
            <w:pPr>
              <w:spacing w:after="0" w:line="240" w:lineRule="auto"/>
              <w:rPr>
                <w:b/>
                <w:color w:val="000000"/>
                <w:sz w:val="22"/>
              </w:rPr>
            </w:pPr>
            <w:r w:rsidRPr="002203B6">
              <w:rPr>
                <w:b/>
                <w:color w:val="000000"/>
                <w:sz w:val="22"/>
              </w:rPr>
              <w:t>Nombre de textes élaborés</w:t>
            </w:r>
          </w:p>
        </w:tc>
        <w:tc>
          <w:tcPr>
            <w:tcW w:w="766" w:type="pct"/>
            <w:tcBorders>
              <w:top w:val="single" w:sz="8" w:space="0" w:color="5B9BD5"/>
              <w:left w:val="nil"/>
              <w:bottom w:val="single" w:sz="8" w:space="0" w:color="5B9BD5"/>
              <w:right w:val="single" w:sz="8" w:space="0" w:color="5B9BD5"/>
            </w:tcBorders>
            <w:shd w:val="clear" w:color="auto" w:fill="auto"/>
            <w:vAlign w:val="center"/>
          </w:tcPr>
          <w:p w14:paraId="6AB991C8" w14:textId="77777777" w:rsidR="009E2F1E" w:rsidRPr="002203B6" w:rsidRDefault="009E2F1E" w:rsidP="009E2F1E">
            <w:pPr>
              <w:spacing w:after="0" w:line="240" w:lineRule="auto"/>
              <w:jc w:val="center"/>
              <w:rPr>
                <w:color w:val="000000"/>
                <w:sz w:val="22"/>
              </w:rPr>
            </w:pPr>
            <w:r w:rsidRPr="002203B6">
              <w:rPr>
                <w:color w:val="000000"/>
                <w:sz w:val="22"/>
              </w:rPr>
              <w:t>6</w:t>
            </w:r>
          </w:p>
        </w:tc>
        <w:tc>
          <w:tcPr>
            <w:tcW w:w="766" w:type="pct"/>
            <w:tcBorders>
              <w:top w:val="single" w:sz="8" w:space="0" w:color="5B9BD5"/>
              <w:left w:val="single" w:sz="8" w:space="0" w:color="5B9BD5"/>
              <w:bottom w:val="single" w:sz="8" w:space="0" w:color="5B9BD5"/>
              <w:right w:val="single" w:sz="8" w:space="0" w:color="5B9BD5"/>
            </w:tcBorders>
            <w:vAlign w:val="center"/>
          </w:tcPr>
          <w:p w14:paraId="60C83DC6" w14:textId="3CB78B1F" w:rsidR="009E2F1E" w:rsidRPr="002203B6" w:rsidRDefault="009E2F1E" w:rsidP="009E2F1E">
            <w:pPr>
              <w:spacing w:after="0" w:line="240" w:lineRule="auto"/>
              <w:jc w:val="center"/>
              <w:rPr>
                <w:color w:val="000000"/>
                <w:sz w:val="22"/>
              </w:rPr>
            </w:pPr>
            <w:r w:rsidRPr="002203B6">
              <w:rPr>
                <w:color w:val="000000"/>
                <w:sz w:val="22"/>
              </w:rPr>
              <w:t>8</w:t>
            </w:r>
          </w:p>
        </w:tc>
        <w:tc>
          <w:tcPr>
            <w:tcW w:w="766" w:type="pct"/>
            <w:tcBorders>
              <w:top w:val="single" w:sz="8" w:space="0" w:color="5B9BD5"/>
              <w:left w:val="single" w:sz="8" w:space="0" w:color="5B9BD5"/>
              <w:bottom w:val="single" w:sz="8" w:space="0" w:color="5B9BD5"/>
              <w:right w:val="single" w:sz="8" w:space="0" w:color="9CC2E5"/>
            </w:tcBorders>
            <w:shd w:val="clear" w:color="auto" w:fill="auto"/>
            <w:vAlign w:val="center"/>
          </w:tcPr>
          <w:p w14:paraId="6C1A95E5" w14:textId="7967FCC6" w:rsidR="009E2F1E" w:rsidRPr="002203B6" w:rsidRDefault="009E2F1E" w:rsidP="009E2F1E">
            <w:pPr>
              <w:spacing w:after="0" w:line="240" w:lineRule="auto"/>
              <w:jc w:val="center"/>
              <w:rPr>
                <w:color w:val="000000"/>
                <w:sz w:val="22"/>
              </w:rPr>
            </w:pPr>
            <w:r w:rsidRPr="002203B6">
              <w:rPr>
                <w:color w:val="000000"/>
                <w:sz w:val="22"/>
              </w:rPr>
              <w:t>2</w:t>
            </w:r>
          </w:p>
        </w:tc>
      </w:tr>
      <w:tr w:rsidR="009E2F1E" w:rsidRPr="002203B6" w14:paraId="6FAA0EBC"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0A1E7D95" w14:textId="77777777" w:rsidR="009E2F1E" w:rsidRPr="002203B6" w:rsidRDefault="009E2F1E" w:rsidP="009E2F1E">
            <w:pPr>
              <w:spacing w:after="0" w:line="240" w:lineRule="auto"/>
              <w:rPr>
                <w:b/>
                <w:color w:val="000000"/>
                <w:sz w:val="22"/>
              </w:rPr>
            </w:pPr>
            <w:r w:rsidRPr="002203B6">
              <w:rPr>
                <w:b/>
                <w:color w:val="000000"/>
                <w:sz w:val="22"/>
              </w:rPr>
              <w:t>Nombre de textes adoptés</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4EC4739A" w14:textId="77777777" w:rsidR="009E2F1E" w:rsidRPr="002203B6" w:rsidRDefault="009E2F1E" w:rsidP="009E2F1E">
            <w:pPr>
              <w:spacing w:after="0" w:line="240" w:lineRule="auto"/>
              <w:jc w:val="center"/>
              <w:rPr>
                <w:color w:val="000000"/>
                <w:sz w:val="22"/>
              </w:rPr>
            </w:pPr>
            <w:r w:rsidRPr="002203B6">
              <w:rPr>
                <w:color w:val="000000"/>
                <w:sz w:val="22"/>
              </w:rPr>
              <w:t>1</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1E67CF92" w14:textId="6860F1CF" w:rsidR="009E2F1E" w:rsidRPr="002203B6" w:rsidRDefault="009E2F1E" w:rsidP="009E2F1E">
            <w:pPr>
              <w:spacing w:after="0" w:line="240" w:lineRule="auto"/>
              <w:jc w:val="center"/>
              <w:rPr>
                <w:color w:val="000000"/>
                <w:sz w:val="22"/>
              </w:rPr>
            </w:pPr>
            <w:r w:rsidRPr="002203B6">
              <w:rPr>
                <w:color w:val="000000"/>
                <w:sz w:val="22"/>
              </w:rPr>
              <w:t>4</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6193B6CE" w14:textId="6B667B1D" w:rsidR="009E2F1E" w:rsidRPr="002203B6" w:rsidRDefault="009E2F1E" w:rsidP="009E2F1E">
            <w:pPr>
              <w:spacing w:after="0" w:line="240" w:lineRule="auto"/>
              <w:jc w:val="center"/>
              <w:rPr>
                <w:color w:val="000000"/>
                <w:sz w:val="22"/>
              </w:rPr>
            </w:pPr>
            <w:r w:rsidRPr="002203B6">
              <w:rPr>
                <w:color w:val="000000"/>
                <w:sz w:val="22"/>
              </w:rPr>
              <w:t>2</w:t>
            </w:r>
          </w:p>
        </w:tc>
      </w:tr>
      <w:tr w:rsidR="009E2F1E" w:rsidRPr="002203B6" w14:paraId="734B9605"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6A044100" w14:textId="77777777" w:rsidR="009E2F1E" w:rsidRPr="002203B6" w:rsidRDefault="009E2F1E" w:rsidP="009E2F1E">
            <w:pPr>
              <w:spacing w:after="0" w:line="240" w:lineRule="auto"/>
              <w:rPr>
                <w:b/>
                <w:color w:val="000000"/>
                <w:sz w:val="22"/>
              </w:rPr>
            </w:pPr>
            <w:r w:rsidRPr="002203B6">
              <w:rPr>
                <w:b/>
                <w:color w:val="000000"/>
                <w:sz w:val="22"/>
              </w:rPr>
              <w:t>Nombre d'acteurs formés</w:t>
            </w:r>
          </w:p>
        </w:tc>
        <w:tc>
          <w:tcPr>
            <w:tcW w:w="766" w:type="pct"/>
            <w:tcBorders>
              <w:top w:val="single" w:sz="8" w:space="0" w:color="5B9BD5"/>
              <w:left w:val="nil"/>
              <w:bottom w:val="single" w:sz="8" w:space="0" w:color="5B9BD5"/>
              <w:right w:val="single" w:sz="8" w:space="0" w:color="5B9BD5"/>
            </w:tcBorders>
            <w:shd w:val="clear" w:color="auto" w:fill="auto"/>
            <w:vAlign w:val="center"/>
          </w:tcPr>
          <w:p w14:paraId="403E7CD5" w14:textId="77777777" w:rsidR="009E2F1E" w:rsidRPr="002203B6" w:rsidRDefault="009E2F1E" w:rsidP="009E2F1E">
            <w:pPr>
              <w:spacing w:after="0" w:line="240" w:lineRule="auto"/>
              <w:jc w:val="center"/>
              <w:rPr>
                <w:color w:val="000000"/>
                <w:sz w:val="22"/>
              </w:rPr>
            </w:pPr>
            <w:r w:rsidRPr="002203B6">
              <w:rPr>
                <w:color w:val="000000"/>
                <w:sz w:val="22"/>
              </w:rPr>
              <w:t>142</w:t>
            </w:r>
          </w:p>
        </w:tc>
        <w:tc>
          <w:tcPr>
            <w:tcW w:w="766" w:type="pct"/>
            <w:tcBorders>
              <w:top w:val="single" w:sz="8" w:space="0" w:color="5B9BD5"/>
              <w:left w:val="single" w:sz="8" w:space="0" w:color="5B9BD5"/>
              <w:bottom w:val="single" w:sz="8" w:space="0" w:color="5B9BD5"/>
              <w:right w:val="single" w:sz="8" w:space="0" w:color="5B9BD5"/>
            </w:tcBorders>
            <w:vAlign w:val="center"/>
          </w:tcPr>
          <w:p w14:paraId="0C89E9CD" w14:textId="6A299253" w:rsidR="009E2F1E" w:rsidRPr="002203B6" w:rsidRDefault="009E2F1E" w:rsidP="009E2F1E">
            <w:pPr>
              <w:spacing w:after="0" w:line="240" w:lineRule="auto"/>
              <w:jc w:val="center"/>
              <w:rPr>
                <w:color w:val="000000"/>
                <w:sz w:val="22"/>
              </w:rPr>
            </w:pPr>
            <w:r w:rsidRPr="002203B6">
              <w:rPr>
                <w:color w:val="000000"/>
                <w:sz w:val="22"/>
              </w:rPr>
              <w:t>290</w:t>
            </w:r>
          </w:p>
        </w:tc>
        <w:tc>
          <w:tcPr>
            <w:tcW w:w="766" w:type="pct"/>
            <w:tcBorders>
              <w:top w:val="single" w:sz="8" w:space="0" w:color="5B9BD5"/>
              <w:left w:val="single" w:sz="8" w:space="0" w:color="5B9BD5"/>
              <w:bottom w:val="single" w:sz="8" w:space="0" w:color="5B9BD5"/>
              <w:right w:val="single" w:sz="8" w:space="0" w:color="9CC2E5"/>
            </w:tcBorders>
            <w:shd w:val="clear" w:color="auto" w:fill="auto"/>
            <w:vAlign w:val="center"/>
          </w:tcPr>
          <w:p w14:paraId="3847DD6F" w14:textId="412B391B" w:rsidR="009E2F1E" w:rsidRPr="002203B6" w:rsidRDefault="009E2F1E" w:rsidP="009E2F1E">
            <w:pPr>
              <w:spacing w:after="0" w:line="240" w:lineRule="auto"/>
              <w:jc w:val="center"/>
              <w:rPr>
                <w:color w:val="000000"/>
                <w:sz w:val="22"/>
              </w:rPr>
            </w:pPr>
            <w:r w:rsidRPr="002203B6">
              <w:rPr>
                <w:color w:val="000000"/>
                <w:sz w:val="22"/>
              </w:rPr>
              <w:t>140</w:t>
            </w:r>
          </w:p>
        </w:tc>
      </w:tr>
      <w:tr w:rsidR="009E2F1E" w:rsidRPr="002203B6" w14:paraId="03AC09AC"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35C722BF" w14:textId="77777777" w:rsidR="009E2F1E" w:rsidRPr="002203B6" w:rsidRDefault="009E2F1E" w:rsidP="009E2F1E">
            <w:pPr>
              <w:spacing w:after="0" w:line="240" w:lineRule="auto"/>
              <w:rPr>
                <w:b/>
                <w:color w:val="000000"/>
                <w:sz w:val="22"/>
              </w:rPr>
            </w:pPr>
            <w:r w:rsidRPr="002203B6">
              <w:rPr>
                <w:b/>
                <w:color w:val="000000"/>
                <w:sz w:val="22"/>
              </w:rPr>
              <w:t>Nombre d'acteurs formés</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338CC6A4" w14:textId="77777777" w:rsidR="009E2F1E" w:rsidRPr="002203B6" w:rsidRDefault="009E2F1E" w:rsidP="009E2F1E">
            <w:pPr>
              <w:spacing w:after="0" w:line="240" w:lineRule="auto"/>
              <w:jc w:val="center"/>
              <w:rPr>
                <w:color w:val="000000"/>
                <w:sz w:val="22"/>
              </w:rPr>
            </w:pPr>
            <w:r w:rsidRPr="002203B6">
              <w:rPr>
                <w:color w:val="000000"/>
                <w:sz w:val="22"/>
              </w:rPr>
              <w:t>330</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6DC9B911" w14:textId="57DF6B38" w:rsidR="009E2F1E" w:rsidRPr="002203B6" w:rsidRDefault="009E2F1E" w:rsidP="009E2F1E">
            <w:pPr>
              <w:spacing w:after="0" w:line="240" w:lineRule="auto"/>
              <w:jc w:val="center"/>
              <w:rPr>
                <w:color w:val="000000"/>
                <w:sz w:val="22"/>
              </w:rPr>
            </w:pPr>
            <w:r w:rsidRPr="002203B6">
              <w:rPr>
                <w:color w:val="000000"/>
                <w:sz w:val="22"/>
              </w:rPr>
              <w:t>557</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3AAD3F78" w14:textId="0B7CD8CD" w:rsidR="009E2F1E" w:rsidRPr="002203B6" w:rsidRDefault="009E2F1E" w:rsidP="009E2F1E">
            <w:pPr>
              <w:spacing w:after="0" w:line="240" w:lineRule="auto"/>
              <w:jc w:val="center"/>
              <w:rPr>
                <w:color w:val="000000"/>
                <w:sz w:val="22"/>
              </w:rPr>
            </w:pPr>
            <w:r w:rsidRPr="002203B6">
              <w:rPr>
                <w:color w:val="000000"/>
                <w:sz w:val="22"/>
              </w:rPr>
              <w:t>284</w:t>
            </w:r>
          </w:p>
        </w:tc>
      </w:tr>
      <w:tr w:rsidR="009E2F1E" w:rsidRPr="002203B6" w14:paraId="009491A7"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79FBC10E" w14:textId="77777777" w:rsidR="009E2F1E" w:rsidRPr="002203B6" w:rsidRDefault="009E2F1E" w:rsidP="009E2F1E">
            <w:pPr>
              <w:spacing w:after="0" w:line="240" w:lineRule="auto"/>
              <w:rPr>
                <w:b/>
                <w:color w:val="000000"/>
                <w:sz w:val="22"/>
              </w:rPr>
            </w:pPr>
            <w:r w:rsidRPr="002203B6">
              <w:rPr>
                <w:b/>
                <w:color w:val="000000"/>
                <w:sz w:val="22"/>
              </w:rPr>
              <w:t>Nombre de lieux de détention et de centres pour mineurs visités</w:t>
            </w:r>
          </w:p>
        </w:tc>
        <w:tc>
          <w:tcPr>
            <w:tcW w:w="766" w:type="pct"/>
            <w:tcBorders>
              <w:top w:val="single" w:sz="8" w:space="0" w:color="5B9BD5"/>
              <w:left w:val="nil"/>
              <w:bottom w:val="single" w:sz="8" w:space="0" w:color="5B9BD5"/>
              <w:right w:val="single" w:sz="8" w:space="0" w:color="5B9BD5"/>
            </w:tcBorders>
            <w:shd w:val="clear" w:color="auto" w:fill="auto"/>
            <w:vAlign w:val="center"/>
          </w:tcPr>
          <w:p w14:paraId="4A2A316B" w14:textId="77777777" w:rsidR="009E2F1E" w:rsidRPr="002203B6" w:rsidRDefault="009E2F1E" w:rsidP="009E2F1E">
            <w:pPr>
              <w:spacing w:after="0" w:line="240" w:lineRule="auto"/>
              <w:jc w:val="center"/>
              <w:rPr>
                <w:color w:val="000000"/>
                <w:sz w:val="22"/>
              </w:rPr>
            </w:pPr>
            <w:r w:rsidRPr="002203B6">
              <w:rPr>
                <w:color w:val="000000"/>
                <w:sz w:val="22"/>
              </w:rPr>
              <w:t>40</w:t>
            </w:r>
          </w:p>
        </w:tc>
        <w:tc>
          <w:tcPr>
            <w:tcW w:w="766" w:type="pct"/>
            <w:tcBorders>
              <w:top w:val="single" w:sz="8" w:space="0" w:color="5B9BD5"/>
              <w:left w:val="single" w:sz="8" w:space="0" w:color="5B9BD5"/>
              <w:bottom w:val="single" w:sz="8" w:space="0" w:color="5B9BD5"/>
              <w:right w:val="single" w:sz="8" w:space="0" w:color="5B9BD5"/>
            </w:tcBorders>
            <w:vAlign w:val="center"/>
          </w:tcPr>
          <w:p w14:paraId="62812606" w14:textId="312120DB" w:rsidR="009E2F1E" w:rsidRPr="002203B6" w:rsidRDefault="009E2F1E" w:rsidP="009E2F1E">
            <w:pPr>
              <w:spacing w:after="0" w:line="240" w:lineRule="auto"/>
              <w:jc w:val="center"/>
              <w:rPr>
                <w:color w:val="000000"/>
                <w:sz w:val="22"/>
              </w:rPr>
            </w:pPr>
            <w:r w:rsidRPr="002203B6">
              <w:rPr>
                <w:color w:val="000000"/>
                <w:sz w:val="22"/>
              </w:rPr>
              <w:t>40</w:t>
            </w:r>
          </w:p>
        </w:tc>
        <w:tc>
          <w:tcPr>
            <w:tcW w:w="766" w:type="pct"/>
            <w:tcBorders>
              <w:top w:val="single" w:sz="8" w:space="0" w:color="5B9BD5"/>
              <w:left w:val="single" w:sz="8" w:space="0" w:color="5B9BD5"/>
              <w:bottom w:val="single" w:sz="8" w:space="0" w:color="5B9BD5"/>
              <w:right w:val="single" w:sz="8" w:space="0" w:color="9CC2E5"/>
            </w:tcBorders>
            <w:shd w:val="clear" w:color="auto" w:fill="auto"/>
            <w:vAlign w:val="center"/>
          </w:tcPr>
          <w:p w14:paraId="4FB6AF1C" w14:textId="45F78032" w:rsidR="009E2F1E" w:rsidRPr="002203B6" w:rsidRDefault="009E2F1E" w:rsidP="009E2F1E">
            <w:pPr>
              <w:spacing w:after="0" w:line="240" w:lineRule="auto"/>
              <w:jc w:val="center"/>
              <w:rPr>
                <w:color w:val="000000"/>
                <w:sz w:val="22"/>
              </w:rPr>
            </w:pPr>
            <w:r w:rsidRPr="002203B6">
              <w:rPr>
                <w:color w:val="000000"/>
                <w:sz w:val="22"/>
              </w:rPr>
              <w:t>30</w:t>
            </w:r>
          </w:p>
        </w:tc>
      </w:tr>
      <w:tr w:rsidR="009E2F1E" w:rsidRPr="002203B6" w14:paraId="54BDA339"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DEEAF6"/>
            <w:vAlign w:val="center"/>
          </w:tcPr>
          <w:p w14:paraId="5EA45888" w14:textId="77777777" w:rsidR="009E2F1E" w:rsidRPr="002203B6" w:rsidRDefault="009E2F1E" w:rsidP="009E2F1E">
            <w:pPr>
              <w:spacing w:after="0" w:line="240" w:lineRule="auto"/>
              <w:rPr>
                <w:b/>
                <w:color w:val="000000"/>
                <w:sz w:val="22"/>
              </w:rPr>
            </w:pPr>
            <w:r w:rsidRPr="002203B6">
              <w:rPr>
                <w:b/>
                <w:color w:val="000000"/>
                <w:sz w:val="22"/>
              </w:rPr>
              <w:t>Nombre d’enfants bénéficiaires de mesures de protection judiciaire</w:t>
            </w:r>
          </w:p>
        </w:tc>
        <w:tc>
          <w:tcPr>
            <w:tcW w:w="766" w:type="pct"/>
            <w:tcBorders>
              <w:top w:val="single" w:sz="8" w:space="0" w:color="5B9BD5"/>
              <w:left w:val="nil"/>
              <w:bottom w:val="single" w:sz="8" w:space="0" w:color="5B9BD5"/>
              <w:right w:val="single" w:sz="8" w:space="0" w:color="5B9BD5"/>
            </w:tcBorders>
            <w:shd w:val="clear" w:color="auto" w:fill="DEEAF6"/>
            <w:vAlign w:val="center"/>
          </w:tcPr>
          <w:p w14:paraId="61E54155" w14:textId="77777777" w:rsidR="009E2F1E" w:rsidRPr="002203B6" w:rsidRDefault="009E2F1E" w:rsidP="009E2F1E">
            <w:pPr>
              <w:spacing w:after="0" w:line="240" w:lineRule="auto"/>
              <w:jc w:val="center"/>
              <w:rPr>
                <w:color w:val="000000"/>
                <w:sz w:val="22"/>
              </w:rPr>
            </w:pPr>
            <w:r w:rsidRPr="002203B6">
              <w:rPr>
                <w:color w:val="000000"/>
                <w:sz w:val="22"/>
              </w:rPr>
              <w:t> -</w:t>
            </w:r>
          </w:p>
        </w:tc>
        <w:tc>
          <w:tcPr>
            <w:tcW w:w="766" w:type="pct"/>
            <w:tcBorders>
              <w:top w:val="single" w:sz="8" w:space="0" w:color="5B9BD5"/>
              <w:left w:val="single" w:sz="8" w:space="0" w:color="5B9BD5"/>
              <w:bottom w:val="single" w:sz="8" w:space="0" w:color="5B9BD5"/>
              <w:right w:val="single" w:sz="8" w:space="0" w:color="5B9BD5"/>
            </w:tcBorders>
            <w:shd w:val="clear" w:color="auto" w:fill="DEEAF6"/>
            <w:vAlign w:val="center"/>
          </w:tcPr>
          <w:p w14:paraId="06628C13" w14:textId="5EF63F68" w:rsidR="009E2F1E" w:rsidRPr="002203B6" w:rsidRDefault="009E2F1E" w:rsidP="009E2F1E">
            <w:pPr>
              <w:spacing w:after="0" w:line="240" w:lineRule="auto"/>
              <w:jc w:val="center"/>
              <w:rPr>
                <w:color w:val="000000"/>
                <w:sz w:val="22"/>
              </w:rPr>
            </w:pPr>
            <w:r w:rsidRPr="002203B6">
              <w:rPr>
                <w:color w:val="000000"/>
                <w:sz w:val="22"/>
              </w:rPr>
              <w:t>150</w:t>
            </w:r>
          </w:p>
        </w:tc>
        <w:tc>
          <w:tcPr>
            <w:tcW w:w="766" w:type="pct"/>
            <w:tcBorders>
              <w:top w:val="single" w:sz="8" w:space="0" w:color="5B9BD5"/>
              <w:left w:val="single" w:sz="8" w:space="0" w:color="5B9BD5"/>
              <w:bottom w:val="single" w:sz="8" w:space="0" w:color="5B9BD5"/>
              <w:right w:val="single" w:sz="8" w:space="0" w:color="9CC2E5"/>
            </w:tcBorders>
            <w:shd w:val="clear" w:color="auto" w:fill="DEEAF6"/>
            <w:vAlign w:val="center"/>
          </w:tcPr>
          <w:p w14:paraId="33083CB6" w14:textId="21B2F4C0" w:rsidR="009E2F1E" w:rsidRPr="002203B6" w:rsidRDefault="009E2F1E" w:rsidP="009E2F1E">
            <w:pPr>
              <w:spacing w:after="0" w:line="240" w:lineRule="auto"/>
              <w:jc w:val="center"/>
              <w:rPr>
                <w:color w:val="000000"/>
                <w:sz w:val="22"/>
              </w:rPr>
            </w:pPr>
            <w:r w:rsidRPr="002203B6">
              <w:rPr>
                <w:color w:val="000000"/>
                <w:sz w:val="22"/>
              </w:rPr>
              <w:t> 100</w:t>
            </w:r>
          </w:p>
        </w:tc>
      </w:tr>
      <w:tr w:rsidR="009E2F1E" w:rsidRPr="002203B6" w14:paraId="14EB425A" w14:textId="77777777" w:rsidTr="009A288B">
        <w:trPr>
          <w:trHeight w:val="20"/>
        </w:trPr>
        <w:tc>
          <w:tcPr>
            <w:tcW w:w="2703" w:type="pct"/>
            <w:tcBorders>
              <w:top w:val="nil"/>
              <w:left w:val="single" w:sz="8" w:space="0" w:color="9CC2E5"/>
              <w:bottom w:val="single" w:sz="8" w:space="0" w:color="9CC2E5"/>
              <w:right w:val="single" w:sz="8" w:space="0" w:color="9CC2E5"/>
            </w:tcBorders>
            <w:shd w:val="clear" w:color="auto" w:fill="auto"/>
            <w:vAlign w:val="center"/>
          </w:tcPr>
          <w:p w14:paraId="0A2B9688" w14:textId="3437473B" w:rsidR="009E2F1E" w:rsidRPr="002203B6" w:rsidRDefault="009E2F1E" w:rsidP="009E2F1E">
            <w:pPr>
              <w:spacing w:after="0" w:line="240" w:lineRule="auto"/>
              <w:rPr>
                <w:b/>
                <w:color w:val="000000"/>
                <w:sz w:val="22"/>
              </w:rPr>
            </w:pPr>
            <w:r w:rsidRPr="002203B6">
              <w:rPr>
                <w:b/>
                <w:color w:val="000000"/>
                <w:sz w:val="22"/>
              </w:rPr>
              <w:t>Nombre de participation</w:t>
            </w:r>
            <w:r w:rsidR="00526031">
              <w:rPr>
                <w:b/>
                <w:color w:val="000000"/>
                <w:sz w:val="22"/>
              </w:rPr>
              <w:t>s</w:t>
            </w:r>
            <w:r w:rsidRPr="002203B6">
              <w:rPr>
                <w:b/>
                <w:color w:val="000000"/>
                <w:sz w:val="22"/>
              </w:rPr>
              <w:t xml:space="preserve"> aux instances statutaires de l'OHADA</w:t>
            </w:r>
          </w:p>
        </w:tc>
        <w:tc>
          <w:tcPr>
            <w:tcW w:w="766" w:type="pct"/>
            <w:tcBorders>
              <w:top w:val="single" w:sz="8" w:space="0" w:color="5B9BD5"/>
              <w:left w:val="nil"/>
              <w:bottom w:val="single" w:sz="8" w:space="0" w:color="9CC2E5"/>
              <w:right w:val="single" w:sz="8" w:space="0" w:color="5B9BD5"/>
            </w:tcBorders>
            <w:shd w:val="clear" w:color="auto" w:fill="auto"/>
            <w:vAlign w:val="center"/>
          </w:tcPr>
          <w:p w14:paraId="453A8432" w14:textId="77777777" w:rsidR="009E2F1E" w:rsidRPr="002203B6" w:rsidRDefault="009E2F1E" w:rsidP="009E2F1E">
            <w:pPr>
              <w:spacing w:after="0" w:line="240" w:lineRule="auto"/>
              <w:jc w:val="center"/>
              <w:rPr>
                <w:color w:val="000000"/>
                <w:sz w:val="22"/>
              </w:rPr>
            </w:pPr>
            <w:r w:rsidRPr="002203B6">
              <w:rPr>
                <w:color w:val="000000"/>
                <w:sz w:val="22"/>
              </w:rPr>
              <w:t>2</w:t>
            </w:r>
          </w:p>
        </w:tc>
        <w:tc>
          <w:tcPr>
            <w:tcW w:w="766" w:type="pct"/>
            <w:tcBorders>
              <w:top w:val="single" w:sz="8" w:space="0" w:color="5B9BD5"/>
              <w:left w:val="single" w:sz="8" w:space="0" w:color="5B9BD5"/>
              <w:bottom w:val="single" w:sz="8" w:space="0" w:color="9CC2E5"/>
              <w:right w:val="single" w:sz="8" w:space="0" w:color="5B9BD5"/>
            </w:tcBorders>
            <w:vAlign w:val="center"/>
          </w:tcPr>
          <w:p w14:paraId="788154AE" w14:textId="27EB6E6C" w:rsidR="009E2F1E" w:rsidRPr="002203B6" w:rsidRDefault="009E2F1E" w:rsidP="009E2F1E">
            <w:pPr>
              <w:spacing w:after="0" w:line="240" w:lineRule="auto"/>
              <w:jc w:val="center"/>
              <w:rPr>
                <w:color w:val="000000"/>
                <w:sz w:val="22"/>
              </w:rPr>
            </w:pPr>
            <w:r w:rsidRPr="002203B6">
              <w:rPr>
                <w:color w:val="000000"/>
                <w:sz w:val="22"/>
              </w:rPr>
              <w:t>2</w:t>
            </w:r>
          </w:p>
        </w:tc>
        <w:tc>
          <w:tcPr>
            <w:tcW w:w="766" w:type="pct"/>
            <w:tcBorders>
              <w:top w:val="single" w:sz="8" w:space="0" w:color="5B9BD5"/>
              <w:left w:val="single" w:sz="8" w:space="0" w:color="5B9BD5"/>
              <w:bottom w:val="single" w:sz="8" w:space="0" w:color="9CC2E5"/>
              <w:right w:val="single" w:sz="8" w:space="0" w:color="9CC2E5"/>
            </w:tcBorders>
            <w:shd w:val="clear" w:color="auto" w:fill="auto"/>
            <w:vAlign w:val="center"/>
          </w:tcPr>
          <w:p w14:paraId="70EE531E" w14:textId="429C5667" w:rsidR="009E2F1E" w:rsidRPr="002203B6" w:rsidRDefault="009E2F1E" w:rsidP="009E2F1E">
            <w:pPr>
              <w:spacing w:after="0" w:line="240" w:lineRule="auto"/>
              <w:jc w:val="center"/>
              <w:rPr>
                <w:color w:val="000000"/>
                <w:sz w:val="22"/>
              </w:rPr>
            </w:pPr>
            <w:r w:rsidRPr="002203B6">
              <w:rPr>
                <w:color w:val="000000"/>
                <w:sz w:val="22"/>
              </w:rPr>
              <w:t>2</w:t>
            </w:r>
          </w:p>
        </w:tc>
      </w:tr>
    </w:tbl>
    <w:p w14:paraId="205D22C2" w14:textId="66973B75" w:rsidR="00BF3C92" w:rsidRPr="007766C3" w:rsidRDefault="00BF3C92" w:rsidP="00BF3C92">
      <w:pPr>
        <w:rPr>
          <w:sz w:val="20"/>
          <w:szCs w:val="20"/>
        </w:rPr>
      </w:pPr>
      <w:r w:rsidRPr="007766C3">
        <w:rPr>
          <w:b/>
          <w:bCs/>
          <w:sz w:val="20"/>
          <w:szCs w:val="20"/>
          <w:u w:val="single"/>
        </w:rPr>
        <w:t>Source</w:t>
      </w:r>
      <w:r w:rsidRPr="007766C3">
        <w:rPr>
          <w:sz w:val="20"/>
          <w:szCs w:val="20"/>
        </w:rPr>
        <w:t xml:space="preserve"> : rapport </w:t>
      </w:r>
      <w:r w:rsidR="00EE1BF3">
        <w:rPr>
          <w:sz w:val="20"/>
          <w:szCs w:val="20"/>
        </w:rPr>
        <w:t xml:space="preserve">annuel de performance </w:t>
      </w:r>
      <w:r w:rsidRPr="007766C3">
        <w:rPr>
          <w:sz w:val="20"/>
          <w:szCs w:val="20"/>
        </w:rPr>
        <w:t>2023</w:t>
      </w:r>
      <w:r w:rsidR="00EE1BF3">
        <w:rPr>
          <w:sz w:val="20"/>
          <w:szCs w:val="20"/>
        </w:rPr>
        <w:t xml:space="preserve"> </w:t>
      </w:r>
      <w:r w:rsidRPr="007766C3">
        <w:rPr>
          <w:sz w:val="20"/>
          <w:szCs w:val="20"/>
        </w:rPr>
        <w:t>du CSD-JDH, février 2024</w:t>
      </w:r>
    </w:p>
    <w:p w14:paraId="300B2F77" w14:textId="56E5C38E" w:rsidR="00BF3C92" w:rsidRPr="00D60259" w:rsidRDefault="00BF3C92" w:rsidP="00F175A7">
      <w:pPr>
        <w:numPr>
          <w:ilvl w:val="0"/>
          <w:numId w:val="8"/>
        </w:numPr>
        <w:shd w:val="clear" w:color="auto" w:fill="FFFFFF"/>
        <w:spacing w:before="120" w:after="120" w:line="240" w:lineRule="auto"/>
        <w:ind w:left="0"/>
        <w:rPr>
          <w:rFonts w:eastAsia="Calibri"/>
          <w:szCs w:val="24"/>
        </w:rPr>
      </w:pPr>
      <w:r w:rsidRPr="00D60259">
        <w:rPr>
          <w:rFonts w:eastAsia="Calibri"/>
          <w:szCs w:val="24"/>
        </w:rPr>
        <w:t xml:space="preserve">Le </w:t>
      </w:r>
      <w:r w:rsidR="00526031">
        <w:rPr>
          <w:rFonts w:eastAsia="Calibri"/>
          <w:szCs w:val="24"/>
        </w:rPr>
        <w:t>t</w:t>
      </w:r>
      <w:r w:rsidRPr="00D60259">
        <w:rPr>
          <w:rFonts w:eastAsia="Calibri"/>
          <w:szCs w:val="24"/>
        </w:rPr>
        <w:t>aux d’exécution financière de l’action est de 69,94%, car sur une prévision de 716</w:t>
      </w:r>
      <w:r w:rsidR="00526031">
        <w:rPr>
          <w:rFonts w:eastAsia="Calibri"/>
          <w:szCs w:val="24"/>
        </w:rPr>
        <w:t> </w:t>
      </w:r>
      <w:r w:rsidRPr="00D60259">
        <w:rPr>
          <w:rFonts w:eastAsia="Calibri"/>
          <w:szCs w:val="24"/>
        </w:rPr>
        <w:t>257</w:t>
      </w:r>
      <w:r w:rsidR="00526031" w:rsidRPr="00056445">
        <w:rPr>
          <w:rFonts w:eastAsia="Calibri"/>
          <w:szCs w:val="24"/>
        </w:rPr>
        <w:t>°</w:t>
      </w:r>
      <w:r w:rsidRPr="00D60259">
        <w:rPr>
          <w:rFonts w:eastAsia="Calibri"/>
          <w:szCs w:val="24"/>
        </w:rPr>
        <w:t>000 FCFA, un montant de 500</w:t>
      </w:r>
      <w:r w:rsidR="00526031">
        <w:rPr>
          <w:rFonts w:eastAsia="Calibri"/>
          <w:szCs w:val="24"/>
        </w:rPr>
        <w:t> </w:t>
      </w:r>
      <w:r w:rsidRPr="00D60259">
        <w:rPr>
          <w:rFonts w:eastAsia="Calibri"/>
          <w:szCs w:val="24"/>
        </w:rPr>
        <w:t>968</w:t>
      </w:r>
      <w:r w:rsidR="00526031" w:rsidRPr="00056445">
        <w:rPr>
          <w:rFonts w:eastAsia="Calibri"/>
          <w:szCs w:val="24"/>
        </w:rPr>
        <w:t>°</w:t>
      </w:r>
      <w:r w:rsidRPr="00D60259">
        <w:rPr>
          <w:rFonts w:eastAsia="Calibri"/>
          <w:szCs w:val="24"/>
        </w:rPr>
        <w:t>255 FCFA a été consommé. Ce taux peut être expliqué entre autres par les difficultés de collecte des informations financières auprès de certaines structures et aussi par la difficulté d’obtenir les coûts réels liés aux jugements des dossiers dits emblématiques.</w:t>
      </w:r>
    </w:p>
    <w:p w14:paraId="4ED933F4" w14:textId="77777777" w:rsidR="00BF3C92" w:rsidRPr="008279B8" w:rsidRDefault="00BF3C92" w:rsidP="00D60259">
      <w:pPr>
        <w:shd w:val="clear" w:color="auto" w:fill="FFFFFF"/>
        <w:spacing w:before="120" w:after="120" w:line="240" w:lineRule="auto"/>
        <w:rPr>
          <w:rFonts w:eastAsia="Calibri"/>
          <w:szCs w:val="24"/>
        </w:rPr>
      </w:pPr>
    </w:p>
    <w:p w14:paraId="13CBBDA6" w14:textId="478BFB6C" w:rsidR="00F74746" w:rsidRPr="00F74746" w:rsidRDefault="00454163" w:rsidP="00F74746">
      <w:pPr>
        <w:pStyle w:val="PAT3"/>
      </w:pPr>
      <w:bookmarkStart w:id="184" w:name="_Toc163141249"/>
      <w:r w:rsidRPr="008D2129">
        <w:lastRenderedPageBreak/>
        <w:t>Contribution des collectivités territ</w:t>
      </w:r>
      <w:r w:rsidR="00FA742A">
        <w:t xml:space="preserve">oriales à l’atteinte du </w:t>
      </w:r>
      <w:r w:rsidR="00526031">
        <w:t>P</w:t>
      </w:r>
      <w:r w:rsidR="00FA742A">
        <w:t>ilier 4</w:t>
      </w:r>
      <w:bookmarkEnd w:id="184"/>
    </w:p>
    <w:p w14:paraId="749E7D77" w14:textId="77777777" w:rsidR="00454163" w:rsidRDefault="00454163" w:rsidP="00454163">
      <w:pPr>
        <w:numPr>
          <w:ilvl w:val="0"/>
          <w:numId w:val="8"/>
        </w:numPr>
        <w:shd w:val="clear" w:color="auto" w:fill="FFFFFF"/>
        <w:spacing w:before="120" w:after="120" w:line="240" w:lineRule="auto"/>
        <w:ind w:left="0"/>
      </w:pPr>
      <w:r w:rsidRPr="00D765A4">
        <w:t>Pour œuvrer à la réconciliation nationale et à la cohésion sociale, les collectivit</w:t>
      </w:r>
      <w:r>
        <w:t>és territoriales ont entrepris</w:t>
      </w:r>
      <w:r w:rsidRPr="00D765A4">
        <w:t xml:space="preserve"> une vingtaine d’initiatives de dialogue interreligieux et interculturel. </w:t>
      </w:r>
    </w:p>
    <w:p w14:paraId="7F4030DE" w14:textId="56121147" w:rsidR="00454163" w:rsidRPr="009A288B" w:rsidRDefault="00454163" w:rsidP="00454163">
      <w:pPr>
        <w:numPr>
          <w:ilvl w:val="0"/>
          <w:numId w:val="8"/>
        </w:numPr>
        <w:shd w:val="clear" w:color="auto" w:fill="FFFFFF"/>
        <w:spacing w:before="120" w:after="120" w:line="240" w:lineRule="auto"/>
        <w:ind w:left="0"/>
        <w:rPr>
          <w:rFonts w:eastAsia="Calibri"/>
        </w:rPr>
      </w:pPr>
      <w:r w:rsidRPr="00D765A4">
        <w:t>Elles ont également organisé des conférences sur la responsabilisation des jeunes et des femmes d</w:t>
      </w:r>
      <w:r>
        <w:t xml:space="preserve">ans la construction de la paix </w:t>
      </w:r>
      <w:r w:rsidRPr="00D765A4">
        <w:t>en vue de prévenir et de gérer les conflits communautaires et intercommunautaires</w:t>
      </w:r>
      <w:r w:rsidR="00FA742A">
        <w:t>.</w:t>
      </w:r>
    </w:p>
    <w:p w14:paraId="0E2DAE4F" w14:textId="77777777" w:rsidR="005C2D94" w:rsidRPr="009A288B" w:rsidRDefault="005C2D94" w:rsidP="009A288B">
      <w:pPr>
        <w:shd w:val="clear" w:color="auto" w:fill="FFFFFF"/>
        <w:spacing w:before="120" w:after="120" w:line="240" w:lineRule="auto"/>
        <w:rPr>
          <w:rFonts w:eastAsia="Calibri"/>
        </w:rPr>
      </w:pPr>
    </w:p>
    <w:p w14:paraId="2A4FF3CA" w14:textId="14EC3A1C" w:rsidR="00010F7D" w:rsidRDefault="00010F7D" w:rsidP="00010F7D">
      <w:pPr>
        <w:numPr>
          <w:ilvl w:val="0"/>
          <w:numId w:val="8"/>
        </w:numPr>
        <w:shd w:val="clear" w:color="auto" w:fill="FFFFFF"/>
        <w:spacing w:before="120" w:after="120" w:line="240" w:lineRule="auto"/>
        <w:ind w:left="0"/>
        <w:rPr>
          <w:rFonts w:eastAsia="Calibri"/>
          <w:szCs w:val="24"/>
        </w:rPr>
      </w:pPr>
      <w:r>
        <w:rPr>
          <w:rFonts w:eastAsia="Calibri"/>
          <w:szCs w:val="24"/>
        </w:rPr>
        <w:t xml:space="preserve">Au total, comme illustré dans le tableau ci-dessous, le </w:t>
      </w:r>
      <w:r w:rsidR="0051757E">
        <w:rPr>
          <w:rFonts w:eastAsia="Calibri"/>
          <w:szCs w:val="24"/>
        </w:rPr>
        <w:t xml:space="preserve">taux </w:t>
      </w:r>
      <w:r>
        <w:rPr>
          <w:rFonts w:eastAsia="Calibri"/>
          <w:szCs w:val="24"/>
        </w:rPr>
        <w:t xml:space="preserve">d’exécution physique </w:t>
      </w:r>
      <w:r w:rsidR="0051757E">
        <w:rPr>
          <w:rFonts w:eastAsia="Calibri"/>
          <w:szCs w:val="24"/>
        </w:rPr>
        <w:t xml:space="preserve">des PA-SD régionaux </w:t>
      </w:r>
      <w:r>
        <w:rPr>
          <w:rFonts w:eastAsia="Calibri"/>
          <w:szCs w:val="24"/>
        </w:rPr>
        <w:t>est de 63,6%</w:t>
      </w:r>
      <w:r w:rsidR="0051757E">
        <w:rPr>
          <w:rFonts w:eastAsia="Calibri"/>
          <w:szCs w:val="24"/>
        </w:rPr>
        <w:t xml:space="preserve"> en moyenne</w:t>
      </w:r>
      <w:r>
        <w:rPr>
          <w:rFonts w:eastAsia="Calibri"/>
          <w:szCs w:val="24"/>
        </w:rPr>
        <w:t xml:space="preserve">. </w:t>
      </w:r>
      <w:r w:rsidR="0051757E">
        <w:rPr>
          <w:rFonts w:eastAsia="Calibri"/>
          <w:szCs w:val="24"/>
        </w:rPr>
        <w:t>Les plus faibles taux sont enregistrés dans les régions du Centre-Sud (33,0%), du Sahel (47,8%), du Centre-Ouest (51,2%), du</w:t>
      </w:r>
      <w:r>
        <w:rPr>
          <w:rFonts w:eastAsia="Calibri"/>
          <w:szCs w:val="24"/>
        </w:rPr>
        <w:t xml:space="preserve"> Centre-Nord (56,2%) et </w:t>
      </w:r>
      <w:r w:rsidR="0051757E">
        <w:rPr>
          <w:rFonts w:eastAsia="Calibri"/>
          <w:szCs w:val="24"/>
        </w:rPr>
        <w:t xml:space="preserve">de </w:t>
      </w:r>
      <w:r>
        <w:rPr>
          <w:rFonts w:eastAsia="Calibri"/>
          <w:szCs w:val="24"/>
        </w:rPr>
        <w:t xml:space="preserve">la Boucle du Mouhoun (63,0%) </w:t>
      </w:r>
      <w:r w:rsidR="0051757E">
        <w:rPr>
          <w:rFonts w:eastAsia="Calibri"/>
          <w:szCs w:val="24"/>
        </w:rPr>
        <w:t xml:space="preserve">avec </w:t>
      </w:r>
      <w:r>
        <w:rPr>
          <w:rFonts w:eastAsia="Calibri"/>
          <w:szCs w:val="24"/>
        </w:rPr>
        <w:t xml:space="preserve">des </w:t>
      </w:r>
      <w:r w:rsidR="0051757E">
        <w:rPr>
          <w:rFonts w:eastAsia="Calibri"/>
          <w:szCs w:val="24"/>
        </w:rPr>
        <w:t xml:space="preserve">niveaux </w:t>
      </w:r>
      <w:r>
        <w:rPr>
          <w:rFonts w:eastAsia="Calibri"/>
          <w:szCs w:val="24"/>
        </w:rPr>
        <w:t xml:space="preserve">inférieurs </w:t>
      </w:r>
      <w:r w:rsidR="0051757E">
        <w:rPr>
          <w:rFonts w:eastAsia="Calibri"/>
          <w:szCs w:val="24"/>
        </w:rPr>
        <w:t>au</w:t>
      </w:r>
      <w:r>
        <w:rPr>
          <w:rFonts w:eastAsia="Calibri"/>
          <w:szCs w:val="24"/>
        </w:rPr>
        <w:t xml:space="preserve"> taux moyen. Les régions des Cascades avec 85,4% et du Sud-Ouest avec 83,5% affichent les niveaux </w:t>
      </w:r>
      <w:r w:rsidR="00CF2A7D">
        <w:rPr>
          <w:rFonts w:eastAsia="Calibri"/>
          <w:szCs w:val="24"/>
        </w:rPr>
        <w:t xml:space="preserve">d’exécution </w:t>
      </w:r>
      <w:r>
        <w:rPr>
          <w:rFonts w:eastAsia="Calibri"/>
          <w:szCs w:val="24"/>
        </w:rPr>
        <w:t>les plus élevés</w:t>
      </w:r>
      <w:r w:rsidR="00CF2A7D">
        <w:rPr>
          <w:rFonts w:eastAsia="Calibri"/>
          <w:szCs w:val="24"/>
        </w:rPr>
        <w:t xml:space="preserve"> du PA-SD</w:t>
      </w:r>
      <w:r>
        <w:rPr>
          <w:rFonts w:eastAsia="Calibri"/>
          <w:szCs w:val="24"/>
        </w:rPr>
        <w:t>.</w:t>
      </w:r>
    </w:p>
    <w:p w14:paraId="584859EF" w14:textId="1ED2C49F" w:rsidR="00010F7D" w:rsidRPr="0042784A" w:rsidRDefault="004F629C" w:rsidP="0051757E">
      <w:pPr>
        <w:pStyle w:val="Lgende"/>
        <w:rPr>
          <w:rFonts w:eastAsia="Times New Roman" w:cs="Times New Roman"/>
          <w:iCs w:val="0"/>
          <w:color w:val="auto"/>
          <w:sz w:val="22"/>
        </w:rPr>
      </w:pPr>
      <w:bookmarkStart w:id="185" w:name="_Toc164503677"/>
      <w:r w:rsidRPr="009A288B">
        <w:rPr>
          <w:b/>
          <w:i w:val="0"/>
          <w:color w:val="auto"/>
          <w:sz w:val="24"/>
          <w:szCs w:val="24"/>
          <w:u w:val="single"/>
        </w:rPr>
        <w:t xml:space="preserve">Tableau </w:t>
      </w:r>
      <w:r w:rsidRPr="009A288B">
        <w:rPr>
          <w:b/>
          <w:i w:val="0"/>
          <w:color w:val="auto"/>
          <w:sz w:val="24"/>
          <w:szCs w:val="24"/>
          <w:u w:val="single"/>
        </w:rPr>
        <w:fldChar w:fldCharType="begin"/>
      </w:r>
      <w:r w:rsidRPr="009A288B">
        <w:rPr>
          <w:b/>
          <w:i w:val="0"/>
          <w:color w:val="auto"/>
          <w:sz w:val="24"/>
          <w:szCs w:val="24"/>
          <w:u w:val="single"/>
        </w:rPr>
        <w:instrText xml:space="preserve"> SEQ Tableau \* ARABIC </w:instrText>
      </w:r>
      <w:r w:rsidRPr="009A288B">
        <w:rPr>
          <w:b/>
          <w:i w:val="0"/>
          <w:color w:val="auto"/>
          <w:sz w:val="24"/>
          <w:szCs w:val="24"/>
          <w:u w:val="single"/>
        </w:rPr>
        <w:fldChar w:fldCharType="separate"/>
      </w:r>
      <w:r w:rsidR="007C2E4E">
        <w:rPr>
          <w:b/>
          <w:i w:val="0"/>
          <w:noProof/>
          <w:color w:val="auto"/>
          <w:sz w:val="24"/>
          <w:szCs w:val="24"/>
          <w:u w:val="single"/>
        </w:rPr>
        <w:t>90</w:t>
      </w:r>
      <w:r w:rsidRPr="009A288B">
        <w:rPr>
          <w:b/>
          <w:i w:val="0"/>
          <w:color w:val="auto"/>
          <w:sz w:val="24"/>
          <w:szCs w:val="24"/>
          <w:u w:val="single"/>
        </w:rPr>
        <w:fldChar w:fldCharType="end"/>
      </w:r>
      <w:r w:rsidRPr="009A288B">
        <w:rPr>
          <w:b/>
          <w:i w:val="0"/>
          <w:color w:val="auto"/>
          <w:sz w:val="24"/>
          <w:szCs w:val="24"/>
          <w:u w:val="single"/>
        </w:rPr>
        <w:t>:</w:t>
      </w:r>
      <w:r w:rsidRPr="009A288B">
        <w:rPr>
          <w:i w:val="0"/>
          <w:color w:val="auto"/>
          <w:sz w:val="24"/>
          <w:szCs w:val="24"/>
        </w:rPr>
        <w:t xml:space="preserve"> </w:t>
      </w:r>
      <w:r>
        <w:rPr>
          <w:i w:val="0"/>
          <w:color w:val="auto"/>
          <w:sz w:val="24"/>
          <w:szCs w:val="24"/>
        </w:rPr>
        <w:t>s</w:t>
      </w:r>
      <w:r w:rsidRPr="009A288B">
        <w:rPr>
          <w:i w:val="0"/>
          <w:color w:val="auto"/>
          <w:sz w:val="24"/>
          <w:szCs w:val="24"/>
        </w:rPr>
        <w:t>ituation des exécutions physique</w:t>
      </w:r>
      <w:r w:rsidR="00400326">
        <w:rPr>
          <w:i w:val="0"/>
          <w:color w:val="auto"/>
          <w:sz w:val="24"/>
          <w:szCs w:val="24"/>
        </w:rPr>
        <w:t>s</w:t>
      </w:r>
      <w:r w:rsidRPr="009A288B">
        <w:rPr>
          <w:i w:val="0"/>
          <w:color w:val="auto"/>
          <w:sz w:val="24"/>
          <w:szCs w:val="24"/>
        </w:rPr>
        <w:t xml:space="preserve"> </w:t>
      </w:r>
      <w:r w:rsidR="0051757E">
        <w:rPr>
          <w:i w:val="0"/>
          <w:color w:val="auto"/>
          <w:sz w:val="24"/>
          <w:szCs w:val="24"/>
        </w:rPr>
        <w:t>des PA-SD régionaux</w:t>
      </w:r>
      <w:r w:rsidRPr="009A288B">
        <w:rPr>
          <w:i w:val="0"/>
          <w:color w:val="auto"/>
          <w:sz w:val="24"/>
          <w:szCs w:val="24"/>
        </w:rPr>
        <w:t xml:space="preserve"> en 2023</w:t>
      </w:r>
      <w:bookmarkEnd w:id="185"/>
    </w:p>
    <w:tbl>
      <w:tblPr>
        <w:tblStyle w:val="TableauGrille4-Accentuation117"/>
        <w:tblW w:w="5000" w:type="pct"/>
        <w:tblLook w:val="04A0" w:firstRow="1" w:lastRow="0" w:firstColumn="1" w:lastColumn="0" w:noHBand="0" w:noVBand="1"/>
      </w:tblPr>
      <w:tblGrid>
        <w:gridCol w:w="5240"/>
        <w:gridCol w:w="3776"/>
      </w:tblGrid>
      <w:tr w:rsidR="00010F7D" w:rsidRPr="00F175A7" w14:paraId="6F8B6175" w14:textId="77777777" w:rsidTr="009A2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6AAEFF96" w14:textId="77777777" w:rsidR="00010F7D" w:rsidRPr="00F175A7" w:rsidRDefault="00010F7D" w:rsidP="009A288B">
            <w:pPr>
              <w:spacing w:after="0" w:line="240" w:lineRule="auto"/>
              <w:ind w:firstLine="0"/>
              <w:rPr>
                <w:rFonts w:eastAsia="Times New Roman" w:cs="Times New Roman"/>
                <w:szCs w:val="20"/>
              </w:rPr>
            </w:pPr>
            <w:r>
              <w:rPr>
                <w:rFonts w:eastAsia="Times New Roman" w:cs="Times New Roman"/>
                <w:szCs w:val="20"/>
              </w:rPr>
              <w:t>CRD</w:t>
            </w:r>
          </w:p>
        </w:tc>
        <w:tc>
          <w:tcPr>
            <w:tcW w:w="2094" w:type="pct"/>
          </w:tcPr>
          <w:p w14:paraId="56900E8F" w14:textId="77777777" w:rsidR="00010F7D" w:rsidRPr="00635ACE" w:rsidRDefault="00010F7D" w:rsidP="009A288B">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635ACE">
              <w:rPr>
                <w:rFonts w:eastAsia="Times New Roman" w:cs="Times New Roman"/>
                <w:szCs w:val="20"/>
              </w:rPr>
              <w:t>Taux d'exécution physique (%)</w:t>
            </w:r>
          </w:p>
        </w:tc>
      </w:tr>
      <w:tr w:rsidR="00010F7D" w:rsidRPr="00F175A7" w14:paraId="4C481A5A" w14:textId="77777777" w:rsidTr="009A2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5126B9B8"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Boucle du Mouhoun</w:t>
            </w:r>
          </w:p>
        </w:tc>
        <w:tc>
          <w:tcPr>
            <w:tcW w:w="2094" w:type="pct"/>
          </w:tcPr>
          <w:p w14:paraId="55AF9731"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63,0</w:t>
            </w:r>
          </w:p>
        </w:tc>
      </w:tr>
      <w:tr w:rsidR="00010F7D" w:rsidRPr="00F175A7" w14:paraId="142EEFEA" w14:textId="77777777" w:rsidTr="00010F7D">
        <w:tc>
          <w:tcPr>
            <w:cnfStyle w:val="001000000000" w:firstRow="0" w:lastRow="0" w:firstColumn="1" w:lastColumn="0" w:oddVBand="0" w:evenVBand="0" w:oddHBand="0" w:evenHBand="0" w:firstRowFirstColumn="0" w:firstRowLastColumn="0" w:lastRowFirstColumn="0" w:lastRowLastColumn="0"/>
            <w:tcW w:w="2906" w:type="pct"/>
          </w:tcPr>
          <w:p w14:paraId="0527C996"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Cascades</w:t>
            </w:r>
          </w:p>
        </w:tc>
        <w:tc>
          <w:tcPr>
            <w:tcW w:w="2094" w:type="pct"/>
          </w:tcPr>
          <w:p w14:paraId="626D3FA1"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85,4</w:t>
            </w:r>
          </w:p>
        </w:tc>
      </w:tr>
      <w:tr w:rsidR="00010F7D" w:rsidRPr="00F175A7" w14:paraId="662AE086"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67B6911D"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Centre</w:t>
            </w:r>
          </w:p>
        </w:tc>
        <w:tc>
          <w:tcPr>
            <w:tcW w:w="2094" w:type="pct"/>
          </w:tcPr>
          <w:p w14:paraId="61E9ECB6"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72,1</w:t>
            </w:r>
          </w:p>
        </w:tc>
      </w:tr>
      <w:tr w:rsidR="00010F7D" w:rsidRPr="00F175A7" w14:paraId="60F90BC1" w14:textId="77777777" w:rsidTr="00010F7D">
        <w:tc>
          <w:tcPr>
            <w:cnfStyle w:val="001000000000" w:firstRow="0" w:lastRow="0" w:firstColumn="1" w:lastColumn="0" w:oddVBand="0" w:evenVBand="0" w:oddHBand="0" w:evenHBand="0" w:firstRowFirstColumn="0" w:firstRowLastColumn="0" w:lastRowFirstColumn="0" w:lastRowLastColumn="0"/>
            <w:tcW w:w="2906" w:type="pct"/>
          </w:tcPr>
          <w:p w14:paraId="15F46FCA"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Centre-Est</w:t>
            </w:r>
          </w:p>
        </w:tc>
        <w:tc>
          <w:tcPr>
            <w:tcW w:w="2094" w:type="pct"/>
          </w:tcPr>
          <w:p w14:paraId="5D715C91"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67,7</w:t>
            </w:r>
          </w:p>
        </w:tc>
      </w:tr>
      <w:tr w:rsidR="00010F7D" w:rsidRPr="00F175A7" w14:paraId="4EF45C98"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4D44C63A"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Centre-Nord</w:t>
            </w:r>
          </w:p>
        </w:tc>
        <w:tc>
          <w:tcPr>
            <w:tcW w:w="2094" w:type="pct"/>
          </w:tcPr>
          <w:p w14:paraId="6275741D"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56,2</w:t>
            </w:r>
          </w:p>
        </w:tc>
      </w:tr>
      <w:tr w:rsidR="00010F7D" w:rsidRPr="00F175A7" w14:paraId="074BEC4F" w14:textId="77777777" w:rsidTr="00010F7D">
        <w:tc>
          <w:tcPr>
            <w:cnfStyle w:val="001000000000" w:firstRow="0" w:lastRow="0" w:firstColumn="1" w:lastColumn="0" w:oddVBand="0" w:evenVBand="0" w:oddHBand="0" w:evenHBand="0" w:firstRowFirstColumn="0" w:firstRowLastColumn="0" w:lastRowFirstColumn="0" w:lastRowLastColumn="0"/>
            <w:tcW w:w="2906" w:type="pct"/>
          </w:tcPr>
          <w:p w14:paraId="0F9107D1"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Centre-Ouest</w:t>
            </w:r>
          </w:p>
        </w:tc>
        <w:tc>
          <w:tcPr>
            <w:tcW w:w="2094" w:type="pct"/>
          </w:tcPr>
          <w:p w14:paraId="49E5932C"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51,2</w:t>
            </w:r>
          </w:p>
        </w:tc>
      </w:tr>
      <w:tr w:rsidR="00010F7D" w:rsidRPr="00F175A7" w14:paraId="2F77C471"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06B546B4"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Centre-Sud</w:t>
            </w:r>
          </w:p>
        </w:tc>
        <w:tc>
          <w:tcPr>
            <w:tcW w:w="2094" w:type="pct"/>
          </w:tcPr>
          <w:p w14:paraId="73661D1D"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33,0</w:t>
            </w:r>
          </w:p>
        </w:tc>
      </w:tr>
      <w:tr w:rsidR="00010F7D" w:rsidRPr="00F175A7" w14:paraId="4D18CD02" w14:textId="77777777" w:rsidTr="00010F7D">
        <w:tc>
          <w:tcPr>
            <w:cnfStyle w:val="001000000000" w:firstRow="0" w:lastRow="0" w:firstColumn="1" w:lastColumn="0" w:oddVBand="0" w:evenVBand="0" w:oddHBand="0" w:evenHBand="0" w:firstRowFirstColumn="0" w:firstRowLastColumn="0" w:lastRowFirstColumn="0" w:lastRowLastColumn="0"/>
            <w:tcW w:w="2906" w:type="pct"/>
          </w:tcPr>
          <w:p w14:paraId="20B7F3E7"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Est</w:t>
            </w:r>
          </w:p>
        </w:tc>
        <w:tc>
          <w:tcPr>
            <w:tcW w:w="2094" w:type="pct"/>
          </w:tcPr>
          <w:p w14:paraId="4C149805"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66,0</w:t>
            </w:r>
          </w:p>
        </w:tc>
      </w:tr>
      <w:tr w:rsidR="00010F7D" w:rsidRPr="00F175A7" w14:paraId="1C712750"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4B7DB3B9"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Haut-Bassins</w:t>
            </w:r>
          </w:p>
        </w:tc>
        <w:tc>
          <w:tcPr>
            <w:tcW w:w="2094" w:type="pct"/>
          </w:tcPr>
          <w:p w14:paraId="30648C8F"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69,0</w:t>
            </w:r>
          </w:p>
        </w:tc>
      </w:tr>
      <w:tr w:rsidR="00010F7D" w:rsidRPr="00F175A7" w14:paraId="5AD97813" w14:textId="77777777" w:rsidTr="00010F7D">
        <w:tc>
          <w:tcPr>
            <w:cnfStyle w:val="001000000000" w:firstRow="0" w:lastRow="0" w:firstColumn="1" w:lastColumn="0" w:oddVBand="0" w:evenVBand="0" w:oddHBand="0" w:evenHBand="0" w:firstRowFirstColumn="0" w:firstRowLastColumn="0" w:lastRowFirstColumn="0" w:lastRowLastColumn="0"/>
            <w:tcW w:w="2906" w:type="pct"/>
          </w:tcPr>
          <w:p w14:paraId="3BFDE7FA"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Nord</w:t>
            </w:r>
          </w:p>
        </w:tc>
        <w:tc>
          <w:tcPr>
            <w:tcW w:w="2094" w:type="pct"/>
          </w:tcPr>
          <w:p w14:paraId="16B93957"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66,0</w:t>
            </w:r>
          </w:p>
        </w:tc>
      </w:tr>
      <w:tr w:rsidR="00010F7D" w:rsidRPr="00F175A7" w14:paraId="08B4EE3C"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pct"/>
          </w:tcPr>
          <w:p w14:paraId="63E056F4"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Plateau-Central</w:t>
            </w:r>
          </w:p>
        </w:tc>
        <w:tc>
          <w:tcPr>
            <w:tcW w:w="2094" w:type="pct"/>
          </w:tcPr>
          <w:p w14:paraId="3074B79E"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65,6</w:t>
            </w:r>
          </w:p>
        </w:tc>
      </w:tr>
      <w:tr w:rsidR="00010F7D" w:rsidRPr="00F175A7" w14:paraId="2F2548A7" w14:textId="77777777" w:rsidTr="009A288B">
        <w:trPr>
          <w:trHeight w:val="329"/>
        </w:trPr>
        <w:tc>
          <w:tcPr>
            <w:cnfStyle w:val="001000000000" w:firstRow="0" w:lastRow="0" w:firstColumn="1" w:lastColumn="0" w:oddVBand="0" w:evenVBand="0" w:oddHBand="0" w:evenHBand="0" w:firstRowFirstColumn="0" w:firstRowLastColumn="0" w:lastRowFirstColumn="0" w:lastRowLastColumn="0"/>
            <w:tcW w:w="2906" w:type="pct"/>
          </w:tcPr>
          <w:p w14:paraId="2024325D"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Sahel</w:t>
            </w:r>
          </w:p>
        </w:tc>
        <w:tc>
          <w:tcPr>
            <w:tcW w:w="2094" w:type="pct"/>
          </w:tcPr>
          <w:p w14:paraId="27ACE6F7"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47,8</w:t>
            </w:r>
          </w:p>
        </w:tc>
      </w:tr>
      <w:tr w:rsidR="00010F7D" w:rsidRPr="00F175A7" w14:paraId="7E5E66F6" w14:textId="77777777" w:rsidTr="009A288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906" w:type="pct"/>
          </w:tcPr>
          <w:p w14:paraId="44610DFA" w14:textId="77777777" w:rsidR="00010F7D" w:rsidRPr="00635ACE" w:rsidRDefault="00010F7D" w:rsidP="009A288B">
            <w:pPr>
              <w:spacing w:after="0" w:line="240" w:lineRule="auto"/>
              <w:ind w:firstLine="0"/>
              <w:jc w:val="left"/>
              <w:rPr>
                <w:rFonts w:cs="Calibri"/>
                <w:color w:val="000000"/>
                <w:sz w:val="20"/>
                <w:szCs w:val="20"/>
              </w:rPr>
            </w:pPr>
            <w:r w:rsidRPr="00635ACE">
              <w:rPr>
                <w:rFonts w:cs="Calibri"/>
                <w:bCs w:val="0"/>
                <w:color w:val="000000"/>
                <w:sz w:val="20"/>
                <w:szCs w:val="20"/>
              </w:rPr>
              <w:t>Sud-Ouest</w:t>
            </w:r>
          </w:p>
        </w:tc>
        <w:tc>
          <w:tcPr>
            <w:tcW w:w="2094" w:type="pct"/>
          </w:tcPr>
          <w:p w14:paraId="5A620B75" w14:textId="77777777" w:rsidR="00010F7D" w:rsidRPr="00635ACE" w:rsidRDefault="00010F7D" w:rsidP="009A28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83,5</w:t>
            </w:r>
          </w:p>
        </w:tc>
      </w:tr>
      <w:tr w:rsidR="00010F7D" w:rsidRPr="00F175A7" w14:paraId="5CF84165" w14:textId="77777777" w:rsidTr="009A288B">
        <w:trPr>
          <w:trHeight w:val="215"/>
        </w:trPr>
        <w:tc>
          <w:tcPr>
            <w:cnfStyle w:val="001000000000" w:firstRow="0" w:lastRow="0" w:firstColumn="1" w:lastColumn="0" w:oddVBand="0" w:evenVBand="0" w:oddHBand="0" w:evenHBand="0" w:firstRowFirstColumn="0" w:firstRowLastColumn="0" w:lastRowFirstColumn="0" w:lastRowLastColumn="0"/>
            <w:tcW w:w="2906" w:type="pct"/>
          </w:tcPr>
          <w:p w14:paraId="06A0D4F2" w14:textId="77777777" w:rsidR="00010F7D" w:rsidRPr="00635ACE" w:rsidRDefault="00010F7D" w:rsidP="009A288B">
            <w:pPr>
              <w:spacing w:after="0" w:line="240" w:lineRule="auto"/>
              <w:ind w:firstLine="0"/>
              <w:rPr>
                <w:rFonts w:cs="Calibri"/>
                <w:color w:val="000000"/>
                <w:szCs w:val="20"/>
              </w:rPr>
            </w:pPr>
            <w:r w:rsidRPr="00635ACE">
              <w:rPr>
                <w:rFonts w:cs="Calibri"/>
                <w:bCs w:val="0"/>
                <w:color w:val="000000"/>
                <w:szCs w:val="20"/>
              </w:rPr>
              <w:t>Total</w:t>
            </w:r>
          </w:p>
        </w:tc>
        <w:tc>
          <w:tcPr>
            <w:tcW w:w="2094" w:type="pct"/>
          </w:tcPr>
          <w:p w14:paraId="6315F8D7" w14:textId="77777777" w:rsidR="00010F7D" w:rsidRPr="00635ACE" w:rsidRDefault="00010F7D" w:rsidP="009A28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rPr>
            </w:pPr>
            <w:r w:rsidRPr="00635ACE">
              <w:rPr>
                <w:rFonts w:cs="Calibri"/>
                <w:b/>
                <w:bCs/>
                <w:color w:val="000000"/>
              </w:rPr>
              <w:t>63,6</w:t>
            </w:r>
          </w:p>
        </w:tc>
      </w:tr>
    </w:tbl>
    <w:p w14:paraId="3AF1B21C" w14:textId="77777777" w:rsidR="00010F7D" w:rsidRPr="008D20C6" w:rsidRDefault="00010F7D" w:rsidP="00010F7D">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Pr="008D20C6">
        <w:rPr>
          <w:rFonts w:eastAsia="Times New Roman" w:cs="Times New Roman"/>
          <w:sz w:val="20"/>
          <w:szCs w:val="20"/>
        </w:rPr>
        <w:t xml:space="preserve"> : </w:t>
      </w:r>
      <w:r>
        <w:rPr>
          <w:rFonts w:eastAsia="Times New Roman" w:cs="Times New Roman"/>
          <w:sz w:val="20"/>
          <w:szCs w:val="20"/>
        </w:rPr>
        <w:t>conçu à partir des 13</w:t>
      </w:r>
      <w:r w:rsidRPr="008D20C6">
        <w:rPr>
          <w:rFonts w:eastAsia="Times New Roman" w:cs="Times New Roman"/>
          <w:sz w:val="20"/>
          <w:szCs w:val="20"/>
        </w:rPr>
        <w:t xml:space="preserve"> rapports </w:t>
      </w:r>
      <w:r>
        <w:rPr>
          <w:rFonts w:eastAsia="Times New Roman" w:cs="Times New Roman"/>
          <w:sz w:val="20"/>
          <w:szCs w:val="20"/>
        </w:rPr>
        <w:t xml:space="preserve">régionaux </w:t>
      </w:r>
      <w:r w:rsidRPr="008D20C6">
        <w:rPr>
          <w:rFonts w:eastAsia="Times New Roman" w:cs="Times New Roman"/>
          <w:sz w:val="20"/>
          <w:szCs w:val="20"/>
        </w:rPr>
        <w:t>de performance 2023, SEN</w:t>
      </w:r>
      <w:r>
        <w:rPr>
          <w:rFonts w:eastAsia="Times New Roman" w:cs="Times New Roman"/>
          <w:sz w:val="20"/>
          <w:szCs w:val="20"/>
        </w:rPr>
        <w:t>-</w:t>
      </w:r>
      <w:r w:rsidRPr="008D20C6">
        <w:rPr>
          <w:rFonts w:eastAsia="Times New Roman" w:cs="Times New Roman"/>
          <w:sz w:val="20"/>
          <w:szCs w:val="20"/>
        </w:rPr>
        <w:t>PND</w:t>
      </w:r>
    </w:p>
    <w:p w14:paraId="4E4A5449" w14:textId="3D447D27" w:rsidR="005C2D94" w:rsidRDefault="005C2D94">
      <w:pPr>
        <w:spacing w:after="0" w:line="240" w:lineRule="auto"/>
        <w:jc w:val="left"/>
        <w:rPr>
          <w:rFonts w:eastAsia="Calibri"/>
        </w:rPr>
      </w:pPr>
      <w:r>
        <w:rPr>
          <w:rFonts w:eastAsia="Calibri"/>
        </w:rPr>
        <w:br w:type="page"/>
      </w:r>
    </w:p>
    <w:p w14:paraId="3B2BC174" w14:textId="47A6E7DB" w:rsidR="00A77724" w:rsidRDefault="00A77724" w:rsidP="008139E1">
      <w:pPr>
        <w:shd w:val="clear" w:color="auto" w:fill="FFFFFF"/>
        <w:spacing w:before="120" w:after="120" w:line="240" w:lineRule="auto"/>
        <w:rPr>
          <w:rFonts w:eastAsia="Calibri"/>
          <w:szCs w:val="24"/>
        </w:rPr>
      </w:pPr>
    </w:p>
    <w:p w14:paraId="4B0A8CE9" w14:textId="1458163B" w:rsidR="00A77724" w:rsidRPr="008D2129" w:rsidRDefault="00454163" w:rsidP="008139E1">
      <w:pPr>
        <w:pStyle w:val="PAT3"/>
      </w:pPr>
      <w:bookmarkStart w:id="186" w:name="_Toc163141250"/>
      <w:r w:rsidRPr="008D2129">
        <w:t>Synthèse de la conduite du processus de réconciliation nationale et de la cohésion sociale</w:t>
      </w:r>
      <w:bookmarkEnd w:id="186"/>
      <w:r w:rsidRPr="008D2129">
        <w:t xml:space="preserve"> </w:t>
      </w:r>
    </w:p>
    <w:p w14:paraId="4388E20F" w14:textId="536E12E5" w:rsidR="00454163" w:rsidRDefault="00454163" w:rsidP="00454163">
      <w:pPr>
        <w:numPr>
          <w:ilvl w:val="0"/>
          <w:numId w:val="8"/>
        </w:numPr>
        <w:shd w:val="clear" w:color="auto" w:fill="FFFFFF"/>
        <w:spacing w:before="120" w:after="120" w:line="240" w:lineRule="auto"/>
        <w:ind w:left="0"/>
        <w:rPr>
          <w:rFonts w:eastAsia="Calibri"/>
          <w:szCs w:val="24"/>
        </w:rPr>
      </w:pPr>
      <w:r w:rsidRPr="00C75041">
        <w:rPr>
          <w:rFonts w:eastAsia="Calibri"/>
          <w:szCs w:val="24"/>
        </w:rPr>
        <w:t xml:space="preserve">Le bilan de l’exécution physique des actions du </w:t>
      </w:r>
      <w:r w:rsidR="00526031">
        <w:rPr>
          <w:rFonts w:eastAsia="Calibri"/>
          <w:szCs w:val="24"/>
        </w:rPr>
        <w:t>P</w:t>
      </w:r>
      <w:r w:rsidRPr="00C75041">
        <w:rPr>
          <w:rFonts w:eastAsia="Calibri"/>
          <w:szCs w:val="24"/>
        </w:rPr>
        <w:t xml:space="preserve">ilier 4 au </w:t>
      </w:r>
      <w:r w:rsidRPr="00345EBE">
        <w:rPr>
          <w:rFonts w:eastAsia="Calibri"/>
          <w:szCs w:val="24"/>
        </w:rPr>
        <w:t xml:space="preserve">31 décembre </w:t>
      </w:r>
      <w:r w:rsidRPr="00C75041">
        <w:rPr>
          <w:rFonts w:eastAsia="Calibri"/>
          <w:szCs w:val="24"/>
        </w:rPr>
        <w:t xml:space="preserve">2023 se chiffre à </w:t>
      </w:r>
      <w:r w:rsidRPr="00345EBE">
        <w:rPr>
          <w:rFonts w:eastAsia="Calibri"/>
          <w:szCs w:val="24"/>
        </w:rPr>
        <w:t>90</w:t>
      </w:r>
      <w:r w:rsidRPr="00C75041">
        <w:rPr>
          <w:rFonts w:eastAsia="Calibri"/>
          <w:szCs w:val="24"/>
        </w:rPr>
        <w:t>,</w:t>
      </w:r>
      <w:r w:rsidRPr="00345EBE">
        <w:rPr>
          <w:rFonts w:eastAsia="Calibri"/>
          <w:szCs w:val="24"/>
        </w:rPr>
        <w:t>97</w:t>
      </w:r>
      <w:r w:rsidRPr="00C75041">
        <w:rPr>
          <w:rFonts w:eastAsia="Calibri"/>
          <w:szCs w:val="24"/>
        </w:rPr>
        <w:t xml:space="preserve">% pour une exécution financière de </w:t>
      </w:r>
      <w:r w:rsidRPr="00345EBE">
        <w:rPr>
          <w:rFonts w:eastAsia="Calibri"/>
          <w:szCs w:val="24"/>
        </w:rPr>
        <w:t>57</w:t>
      </w:r>
      <w:r w:rsidRPr="00C75041">
        <w:rPr>
          <w:rFonts w:eastAsia="Calibri"/>
          <w:szCs w:val="24"/>
        </w:rPr>
        <w:t>,</w:t>
      </w:r>
      <w:r w:rsidRPr="00345EBE">
        <w:rPr>
          <w:rFonts w:eastAsia="Calibri"/>
          <w:szCs w:val="24"/>
        </w:rPr>
        <w:t>99</w:t>
      </w:r>
      <w:r w:rsidRPr="00C75041">
        <w:rPr>
          <w:rFonts w:eastAsia="Calibri"/>
          <w:szCs w:val="24"/>
        </w:rPr>
        <w:t>%. Les principaux acquis par objectif stratégique de ce pilier se résument comme suit.</w:t>
      </w:r>
    </w:p>
    <w:p w14:paraId="5D08919E" w14:textId="77777777" w:rsidR="00243DF3" w:rsidRPr="00F74746" w:rsidRDefault="00243DF3" w:rsidP="00243DF3">
      <w:pPr>
        <w:numPr>
          <w:ilvl w:val="0"/>
          <w:numId w:val="8"/>
        </w:numPr>
        <w:shd w:val="clear" w:color="auto" w:fill="FFFFFF"/>
        <w:spacing w:before="120" w:after="120" w:line="240" w:lineRule="auto"/>
        <w:ind w:left="0"/>
        <w:rPr>
          <w:rFonts w:eastAsia="Calibri"/>
          <w:szCs w:val="24"/>
        </w:rPr>
      </w:pPr>
      <w:r w:rsidRPr="00F74746">
        <w:rPr>
          <w:rFonts w:eastAsia="Calibri"/>
          <w:szCs w:val="24"/>
        </w:rPr>
        <w:t>Concernant l’objectif 1.3,</w:t>
      </w:r>
      <w:r>
        <w:rPr>
          <w:rFonts w:eastAsia="Calibri"/>
          <w:szCs w:val="24"/>
        </w:rPr>
        <w:t xml:space="preserve"> renforcer la cohésion sociale et la paix,</w:t>
      </w:r>
      <w:r w:rsidRPr="00F74746">
        <w:rPr>
          <w:rFonts w:eastAsia="Calibri"/>
          <w:szCs w:val="24"/>
        </w:rPr>
        <w:t xml:space="preserve"> on note des acquis </w:t>
      </w:r>
      <w:r>
        <w:rPr>
          <w:rFonts w:eastAsia="Calibri"/>
          <w:szCs w:val="24"/>
        </w:rPr>
        <w:t>a</w:t>
      </w:r>
      <w:r w:rsidRPr="00F74746">
        <w:rPr>
          <w:rFonts w:eastAsia="Calibri"/>
          <w:szCs w:val="24"/>
        </w:rPr>
        <w:t>u niveau de la systématisation de la répression contre les discours haineux et la stigmatisation des communautés (04005),</w:t>
      </w:r>
      <w:r>
        <w:rPr>
          <w:rFonts w:eastAsia="Calibri"/>
          <w:szCs w:val="24"/>
        </w:rPr>
        <w:t xml:space="preserve"> avec la </w:t>
      </w:r>
      <w:r w:rsidRPr="00F74746">
        <w:rPr>
          <w:rFonts w:eastAsia="Calibri"/>
          <w:szCs w:val="24"/>
        </w:rPr>
        <w:t>poursuite en justice de tous les cas identifiés</w:t>
      </w:r>
      <w:r>
        <w:rPr>
          <w:rFonts w:eastAsia="Calibri"/>
          <w:szCs w:val="24"/>
        </w:rPr>
        <w:t>, la formation de 1 492 membres de l’ONAPREGECC</w:t>
      </w:r>
      <w:r w:rsidRPr="00F74746">
        <w:rPr>
          <w:rFonts w:eastAsia="Calibri"/>
          <w:szCs w:val="24"/>
        </w:rPr>
        <w:t xml:space="preserve">. </w:t>
      </w:r>
      <w:r>
        <w:rPr>
          <w:rFonts w:eastAsia="Calibri"/>
          <w:szCs w:val="24"/>
        </w:rPr>
        <w:t>Le</w:t>
      </w:r>
      <w:r w:rsidRPr="00F74746">
        <w:rPr>
          <w:rFonts w:eastAsia="Calibri"/>
          <w:szCs w:val="24"/>
        </w:rPr>
        <w:t xml:space="preserve"> renforcement de la citoyenneté et </w:t>
      </w:r>
      <w:r>
        <w:rPr>
          <w:rFonts w:eastAsia="Calibri"/>
          <w:szCs w:val="24"/>
        </w:rPr>
        <w:t xml:space="preserve">de </w:t>
      </w:r>
      <w:r w:rsidRPr="00F74746">
        <w:rPr>
          <w:rFonts w:eastAsia="Calibri"/>
          <w:szCs w:val="24"/>
        </w:rPr>
        <w:t xml:space="preserve">l'insertion socio-économique des jeunes et </w:t>
      </w:r>
      <w:proofErr w:type="gramStart"/>
      <w:r w:rsidRPr="00F74746">
        <w:rPr>
          <w:rFonts w:eastAsia="Calibri"/>
          <w:szCs w:val="24"/>
        </w:rPr>
        <w:t>des femmes exposés</w:t>
      </w:r>
      <w:proofErr w:type="gramEnd"/>
      <w:r w:rsidRPr="00F74746">
        <w:rPr>
          <w:rFonts w:eastAsia="Calibri"/>
          <w:szCs w:val="24"/>
        </w:rPr>
        <w:t xml:space="preserve"> au risque de basculement dans l'extrémisme violent dans les zones à fort défi sécuritaire a</w:t>
      </w:r>
      <w:r>
        <w:rPr>
          <w:rFonts w:eastAsia="Calibri"/>
          <w:szCs w:val="24"/>
        </w:rPr>
        <w:t xml:space="preserve"> aussi été une action où les acquis en termes de</w:t>
      </w:r>
      <w:r w:rsidRPr="00F74746">
        <w:rPr>
          <w:rFonts w:eastAsia="Calibri"/>
          <w:szCs w:val="24"/>
        </w:rPr>
        <w:t xml:space="preserve"> formation à l'engagement citoyen </w:t>
      </w:r>
      <w:r>
        <w:rPr>
          <w:rFonts w:eastAsia="Calibri"/>
          <w:szCs w:val="24"/>
        </w:rPr>
        <w:t>des</w:t>
      </w:r>
      <w:r w:rsidRPr="00F74746">
        <w:rPr>
          <w:rFonts w:eastAsia="Calibri"/>
          <w:szCs w:val="24"/>
        </w:rPr>
        <w:t xml:space="preserve"> jeunes, </w:t>
      </w:r>
      <w:r>
        <w:rPr>
          <w:rFonts w:eastAsia="Calibri"/>
          <w:szCs w:val="24"/>
        </w:rPr>
        <w:t xml:space="preserve">de </w:t>
      </w:r>
      <w:r w:rsidRPr="00F74746">
        <w:rPr>
          <w:rFonts w:eastAsia="Calibri"/>
          <w:szCs w:val="24"/>
        </w:rPr>
        <w:t>sensibilis</w:t>
      </w:r>
      <w:r>
        <w:rPr>
          <w:rFonts w:eastAsia="Calibri"/>
          <w:szCs w:val="24"/>
        </w:rPr>
        <w:t xml:space="preserve">ation </w:t>
      </w:r>
      <w:r w:rsidRPr="00F74746">
        <w:rPr>
          <w:rFonts w:eastAsia="Calibri"/>
          <w:szCs w:val="24"/>
        </w:rPr>
        <w:t>à la vie associative de responsables des mouvements et associations des jeunes au civisme</w:t>
      </w:r>
      <w:r>
        <w:rPr>
          <w:rFonts w:eastAsia="Calibri"/>
          <w:szCs w:val="24"/>
        </w:rPr>
        <w:t xml:space="preserve"> et</w:t>
      </w:r>
      <w:r w:rsidRPr="00F74746">
        <w:rPr>
          <w:rFonts w:eastAsia="Calibri"/>
          <w:szCs w:val="24"/>
        </w:rPr>
        <w:t xml:space="preserve"> </w:t>
      </w:r>
      <w:r>
        <w:rPr>
          <w:rFonts w:eastAsia="Calibri"/>
          <w:szCs w:val="24"/>
        </w:rPr>
        <w:t xml:space="preserve">à </w:t>
      </w:r>
      <w:r w:rsidRPr="00F74746">
        <w:rPr>
          <w:rFonts w:eastAsia="Calibri"/>
          <w:szCs w:val="24"/>
        </w:rPr>
        <w:t>la culture de la paix</w:t>
      </w:r>
      <w:r>
        <w:rPr>
          <w:rFonts w:eastAsia="Calibri"/>
          <w:szCs w:val="24"/>
        </w:rPr>
        <w:t xml:space="preserve"> ont été importants. Les acquis de cette action se mesurent également à l’aune du </w:t>
      </w:r>
      <w:r w:rsidRPr="00F74746">
        <w:rPr>
          <w:rFonts w:eastAsia="Calibri"/>
          <w:szCs w:val="24"/>
        </w:rPr>
        <w:t xml:space="preserve">recrutement et </w:t>
      </w:r>
      <w:r>
        <w:rPr>
          <w:rFonts w:eastAsia="Calibri"/>
          <w:szCs w:val="24"/>
        </w:rPr>
        <w:t>du placement de plus de 44</w:t>
      </w:r>
      <w:r w:rsidRPr="00F74746">
        <w:rPr>
          <w:rFonts w:eastAsia="Calibri"/>
          <w:szCs w:val="24"/>
        </w:rPr>
        <w:t> </w:t>
      </w:r>
      <w:r>
        <w:rPr>
          <w:rFonts w:eastAsia="Calibri"/>
          <w:szCs w:val="24"/>
        </w:rPr>
        <w:t>08</w:t>
      </w:r>
      <w:r w:rsidRPr="00F74746">
        <w:rPr>
          <w:rFonts w:eastAsia="Calibri"/>
          <w:szCs w:val="24"/>
        </w:rPr>
        <w:t>8</w:t>
      </w:r>
      <w:r>
        <w:rPr>
          <w:rFonts w:eastAsia="Calibri"/>
          <w:szCs w:val="24"/>
        </w:rPr>
        <w:t xml:space="preserve"> jeunes</w:t>
      </w:r>
      <w:r w:rsidRPr="00F74746">
        <w:rPr>
          <w:rFonts w:eastAsia="Calibri"/>
          <w:szCs w:val="24"/>
        </w:rPr>
        <w:t xml:space="preserve"> volontaires dans des chantiers de développement</w:t>
      </w:r>
      <w:r>
        <w:rPr>
          <w:rFonts w:eastAsia="Calibri"/>
          <w:szCs w:val="24"/>
        </w:rPr>
        <w:t>.</w:t>
      </w:r>
      <w:r w:rsidRPr="00F74746">
        <w:rPr>
          <w:rFonts w:eastAsia="Calibri"/>
          <w:szCs w:val="24"/>
        </w:rPr>
        <w:t xml:space="preserve"> </w:t>
      </w:r>
    </w:p>
    <w:p w14:paraId="2CC73E81" w14:textId="77777777" w:rsidR="00243DF3" w:rsidRDefault="00243DF3" w:rsidP="00243DF3">
      <w:pPr>
        <w:numPr>
          <w:ilvl w:val="0"/>
          <w:numId w:val="8"/>
        </w:numPr>
        <w:shd w:val="clear" w:color="auto" w:fill="FFFFFF"/>
        <w:spacing w:before="120" w:after="120" w:line="240" w:lineRule="auto"/>
        <w:ind w:left="0"/>
        <w:rPr>
          <w:rFonts w:eastAsia="Calibri"/>
          <w:szCs w:val="24"/>
        </w:rPr>
      </w:pPr>
      <w:r w:rsidRPr="00300B82">
        <w:rPr>
          <w:rFonts w:eastAsia="Calibri"/>
          <w:szCs w:val="24"/>
        </w:rPr>
        <w:t xml:space="preserve">Au titre de l’objectif 2.1, promouvoir la démocratie et la bonne gouvernance politique, les principaux acquis </w:t>
      </w:r>
      <w:r>
        <w:rPr>
          <w:rFonts w:eastAsia="Calibri"/>
          <w:szCs w:val="24"/>
        </w:rPr>
        <w:t xml:space="preserve">concernent le </w:t>
      </w:r>
      <w:r w:rsidRPr="00300B82">
        <w:rPr>
          <w:rFonts w:eastAsia="Calibri"/>
          <w:szCs w:val="24"/>
        </w:rPr>
        <w:t>traitement des dossiers pendants en justice (</w:t>
      </w:r>
      <w:r>
        <w:rPr>
          <w:rFonts w:eastAsia="Calibri"/>
          <w:szCs w:val="24"/>
        </w:rPr>
        <w:t xml:space="preserve">action </w:t>
      </w:r>
      <w:r w:rsidRPr="00300B82">
        <w:rPr>
          <w:rFonts w:eastAsia="Calibri"/>
          <w:szCs w:val="24"/>
        </w:rPr>
        <w:t>04008). A ce niveau, ce sont 336 dossiers pendants en justice dont 04 dit</w:t>
      </w:r>
      <w:r>
        <w:rPr>
          <w:rFonts w:eastAsia="Calibri"/>
          <w:szCs w:val="24"/>
        </w:rPr>
        <w:t>s</w:t>
      </w:r>
      <w:r w:rsidRPr="00300B82">
        <w:rPr>
          <w:rFonts w:eastAsia="Calibri"/>
          <w:szCs w:val="24"/>
        </w:rPr>
        <w:t xml:space="preserve"> emblématiques </w:t>
      </w:r>
      <w:r>
        <w:rPr>
          <w:rFonts w:eastAsia="Calibri"/>
          <w:szCs w:val="24"/>
        </w:rPr>
        <w:t xml:space="preserve">qui </w:t>
      </w:r>
      <w:r w:rsidRPr="00300B82">
        <w:rPr>
          <w:rFonts w:eastAsia="Calibri"/>
          <w:szCs w:val="24"/>
        </w:rPr>
        <w:t>ont été jugés</w:t>
      </w:r>
      <w:r>
        <w:rPr>
          <w:rFonts w:eastAsia="Calibri"/>
          <w:szCs w:val="24"/>
        </w:rPr>
        <w:t xml:space="preserve">. </w:t>
      </w:r>
      <w:r w:rsidRPr="00300B82">
        <w:rPr>
          <w:rFonts w:eastAsia="Calibri"/>
          <w:szCs w:val="24"/>
        </w:rPr>
        <w:t>Les dossiers jugés comprennent</w:t>
      </w:r>
      <w:r>
        <w:rPr>
          <w:rFonts w:eastAsia="Calibri"/>
          <w:szCs w:val="24"/>
        </w:rPr>
        <w:t xml:space="preserve"> 61</w:t>
      </w:r>
      <w:r w:rsidRPr="00300B82">
        <w:rPr>
          <w:rFonts w:eastAsia="Calibri"/>
          <w:szCs w:val="24"/>
        </w:rPr>
        <w:t xml:space="preserve"> dossiers du pôle judiciaire anti-terroris</w:t>
      </w:r>
      <w:r>
        <w:rPr>
          <w:rFonts w:eastAsia="Calibri"/>
          <w:szCs w:val="24"/>
        </w:rPr>
        <w:t>me</w:t>
      </w:r>
      <w:r w:rsidRPr="00300B82">
        <w:rPr>
          <w:rFonts w:eastAsia="Calibri"/>
          <w:szCs w:val="24"/>
        </w:rPr>
        <w:t xml:space="preserve"> et </w:t>
      </w:r>
      <w:r>
        <w:rPr>
          <w:rFonts w:eastAsia="Calibri"/>
          <w:szCs w:val="24"/>
        </w:rPr>
        <w:t>87</w:t>
      </w:r>
      <w:r w:rsidRPr="00300B82">
        <w:rPr>
          <w:rFonts w:eastAsia="Calibri"/>
          <w:szCs w:val="24"/>
        </w:rPr>
        <w:t xml:space="preserve"> dossiers du pôle ECOFI</w:t>
      </w:r>
      <w:r>
        <w:rPr>
          <w:rFonts w:eastAsia="Calibri"/>
          <w:szCs w:val="24"/>
        </w:rPr>
        <w:t>.</w:t>
      </w:r>
    </w:p>
    <w:p w14:paraId="72B5A81D" w14:textId="0EC25EF3" w:rsidR="00243DF3" w:rsidRDefault="00243DF3" w:rsidP="00243DF3">
      <w:pPr>
        <w:numPr>
          <w:ilvl w:val="0"/>
          <w:numId w:val="8"/>
        </w:numPr>
        <w:shd w:val="clear" w:color="auto" w:fill="FFFFFF"/>
        <w:spacing w:before="120" w:after="120" w:line="240" w:lineRule="auto"/>
        <w:ind w:left="0"/>
        <w:rPr>
          <w:rFonts w:eastAsia="Calibri"/>
          <w:szCs w:val="24"/>
        </w:rPr>
      </w:pPr>
      <w:r>
        <w:rPr>
          <w:rFonts w:eastAsia="Calibri"/>
          <w:szCs w:val="24"/>
        </w:rPr>
        <w:t xml:space="preserve">En termes de réformes accomplies, on note l’élaboration des avant-projets de lois modifiant respectivement, la procédure pénale, l’organisation judiciaire, l’administration du travail d’intérêt général, le rôle et l’organisation de la Cour des comptes, le code des personnes et de la famille. Outre, ces avant-projets de lois, les décrets </w:t>
      </w:r>
      <w:r w:rsidRPr="00300B82">
        <w:rPr>
          <w:rFonts w:eastAsia="Calibri"/>
          <w:szCs w:val="24"/>
        </w:rPr>
        <w:t xml:space="preserve">portant création </w:t>
      </w:r>
      <w:r>
        <w:rPr>
          <w:rFonts w:eastAsia="Calibri"/>
          <w:szCs w:val="24"/>
        </w:rPr>
        <w:t xml:space="preserve">et statuts </w:t>
      </w:r>
      <w:r w:rsidRPr="00300B82">
        <w:rPr>
          <w:rFonts w:eastAsia="Calibri"/>
          <w:szCs w:val="24"/>
        </w:rPr>
        <w:t>d</w:t>
      </w:r>
      <w:r>
        <w:rPr>
          <w:rFonts w:eastAsia="Calibri"/>
          <w:szCs w:val="24"/>
        </w:rPr>
        <w:t>e l’A</w:t>
      </w:r>
      <w:r w:rsidRPr="00300B82">
        <w:rPr>
          <w:rFonts w:eastAsia="Calibri"/>
          <w:szCs w:val="24"/>
        </w:rPr>
        <w:t>gence nationale de gestion et de recouvrement des avoirs saisis ou confisqués</w:t>
      </w:r>
      <w:r w:rsidRPr="00AD248B">
        <w:rPr>
          <w:rFonts w:eastAsia="Calibri"/>
          <w:szCs w:val="24"/>
        </w:rPr>
        <w:t xml:space="preserve"> </w:t>
      </w:r>
      <w:r>
        <w:rPr>
          <w:rFonts w:eastAsia="Calibri"/>
          <w:szCs w:val="24"/>
        </w:rPr>
        <w:t>(</w:t>
      </w:r>
      <w:r w:rsidRPr="00300B82">
        <w:rPr>
          <w:rFonts w:eastAsia="Calibri"/>
          <w:szCs w:val="24"/>
        </w:rPr>
        <w:t>ANAGRASC</w:t>
      </w:r>
      <w:r>
        <w:rPr>
          <w:rFonts w:eastAsia="Calibri"/>
          <w:szCs w:val="24"/>
        </w:rPr>
        <w:t>) ont été adoptés</w:t>
      </w:r>
      <w:r w:rsidRPr="00300B82">
        <w:rPr>
          <w:rFonts w:eastAsia="Calibri"/>
          <w:szCs w:val="24"/>
        </w:rPr>
        <w:t>,</w:t>
      </w:r>
      <w:r>
        <w:rPr>
          <w:rFonts w:eastAsia="Calibri"/>
          <w:szCs w:val="24"/>
        </w:rPr>
        <w:t xml:space="preserve"> de même que le décret instituant le casier judiciaire central et </w:t>
      </w:r>
      <w:r w:rsidRPr="00300B82">
        <w:rPr>
          <w:rFonts w:eastAsia="Calibri"/>
          <w:szCs w:val="24"/>
        </w:rPr>
        <w:t>celui appro</w:t>
      </w:r>
      <w:r>
        <w:rPr>
          <w:rFonts w:eastAsia="Calibri"/>
          <w:szCs w:val="24"/>
        </w:rPr>
        <w:t>u</w:t>
      </w:r>
      <w:r w:rsidRPr="00300B82">
        <w:rPr>
          <w:rFonts w:eastAsia="Calibri"/>
          <w:szCs w:val="24"/>
        </w:rPr>
        <w:t>va</w:t>
      </w:r>
      <w:r>
        <w:rPr>
          <w:rFonts w:eastAsia="Calibri"/>
          <w:szCs w:val="24"/>
        </w:rPr>
        <w:t>n</w:t>
      </w:r>
      <w:r w:rsidRPr="00300B82">
        <w:rPr>
          <w:rFonts w:eastAsia="Calibri"/>
          <w:szCs w:val="24"/>
        </w:rPr>
        <w:t>t</w:t>
      </w:r>
      <w:r>
        <w:rPr>
          <w:rFonts w:eastAsia="Calibri"/>
          <w:szCs w:val="24"/>
        </w:rPr>
        <w:t xml:space="preserve"> l</w:t>
      </w:r>
      <w:r w:rsidRPr="00300B82">
        <w:rPr>
          <w:rFonts w:eastAsia="Calibri"/>
          <w:szCs w:val="24"/>
        </w:rPr>
        <w:t xml:space="preserve">es statuts de </w:t>
      </w:r>
      <w:r>
        <w:rPr>
          <w:rFonts w:eastAsia="Calibri"/>
          <w:szCs w:val="24"/>
        </w:rPr>
        <w:t>particuliers du Fonds d’assistance judiciaire</w:t>
      </w:r>
      <w:r w:rsidRPr="00300B82">
        <w:rPr>
          <w:rFonts w:eastAsia="Calibri"/>
          <w:szCs w:val="24"/>
        </w:rPr>
        <w:t xml:space="preserve">. </w:t>
      </w:r>
    </w:p>
    <w:p w14:paraId="51C1378A" w14:textId="06311279" w:rsidR="00311277" w:rsidRDefault="00311277" w:rsidP="00243DF3">
      <w:pPr>
        <w:numPr>
          <w:ilvl w:val="0"/>
          <w:numId w:val="8"/>
        </w:numPr>
        <w:shd w:val="clear" w:color="auto" w:fill="FFFFFF"/>
        <w:spacing w:before="120" w:after="120" w:line="240" w:lineRule="auto"/>
        <w:ind w:left="0"/>
        <w:rPr>
          <w:rFonts w:eastAsia="Calibri"/>
          <w:szCs w:val="24"/>
        </w:rPr>
      </w:pPr>
      <w:r w:rsidRPr="00AD161C">
        <w:rPr>
          <w:rFonts w:eastAsia="Calibri"/>
          <w:szCs w:val="24"/>
        </w:rPr>
        <w:t>Enfin, le renforcement des capacités des acteurs judiciaires a été conséquent et a concerné la formation de magistrats et non-magistrats sur des thématiques diverses et variées et qui sont entre autres : la technique de cassation, la gestion du contentieux administratif, l’archivage, la mobilisation de la médecine légale, de la police technique et scientifique, l’utilisation du logiciel d’exécution des peines</w:t>
      </w:r>
      <w:r>
        <w:rPr>
          <w:rFonts w:eastAsia="Calibri"/>
          <w:szCs w:val="24"/>
        </w:rPr>
        <w:t>.</w:t>
      </w:r>
    </w:p>
    <w:p w14:paraId="2F15E385" w14:textId="3642458A" w:rsidR="00443BFE" w:rsidRPr="008D2129" w:rsidRDefault="00311277" w:rsidP="008139E1">
      <w:pPr>
        <w:shd w:val="clear" w:color="auto" w:fill="FFFFFF"/>
        <w:spacing w:before="120" w:after="120" w:line="240" w:lineRule="auto"/>
        <w:rPr>
          <w:rFonts w:eastAsia="Calibri"/>
          <w:szCs w:val="24"/>
        </w:rPr>
      </w:pPr>
      <w:r w:rsidRPr="00A63721">
        <w:rPr>
          <w:rFonts w:eastAsia="Calibri"/>
          <w:szCs w:val="24"/>
        </w:rPr>
        <w:t>En revanche, les progrès sont moins fastes dans la mise en œuvre de l’action relative au processus de la réconciliation nationale (04008)</w:t>
      </w:r>
      <w:r w:rsidRPr="0051757E">
        <w:rPr>
          <w:rFonts w:eastAsia="Calibri"/>
          <w:szCs w:val="24"/>
        </w:rPr>
        <w:t xml:space="preserve"> avec la non-réalisation des livrables en lien avec la formation des acteurs aux formes de justice, le désarmement et réintégration des ex-combattants des groupes armés terroristes dans leur communauté, l’indemnisation des victimes des crises socio-politiques ainsi que la vulgarisation e</w:t>
      </w:r>
      <w:r w:rsidRPr="00400326">
        <w:rPr>
          <w:rFonts w:eastAsia="Calibri"/>
          <w:szCs w:val="24"/>
        </w:rPr>
        <w:t>t la mise en œuvre des outils sur les valeurs endogènes et traditionnelles du pacte de vivre-ensemble.</w:t>
      </w:r>
      <w:r w:rsidR="006D7703" w:rsidRPr="008D2129">
        <w:rPr>
          <w:rFonts w:eastAsia="Calibri"/>
          <w:szCs w:val="24"/>
        </w:rPr>
        <w:br w:type="page"/>
      </w:r>
    </w:p>
    <w:p w14:paraId="2119E645" w14:textId="17C5F246" w:rsidR="00244BE3" w:rsidRPr="008D2129" w:rsidRDefault="006108A4" w:rsidP="006108A4">
      <w:pPr>
        <w:pStyle w:val="PAT1"/>
      </w:pPr>
      <w:bookmarkStart w:id="187" w:name="_Toc71110314"/>
      <w:bookmarkStart w:id="188" w:name="_Toc71110510"/>
      <w:bookmarkStart w:id="189" w:name="_Toc163141251"/>
      <w:bookmarkStart w:id="190" w:name="_Toc164692890"/>
      <w:r w:rsidRPr="008D2129">
        <w:lastRenderedPageBreak/>
        <w:t xml:space="preserve">Dispositions de mise en œuvre, du suivi et d’évaluation </w:t>
      </w:r>
      <w:bookmarkEnd w:id="187"/>
      <w:bookmarkEnd w:id="188"/>
      <w:r w:rsidRPr="008D2129">
        <w:t xml:space="preserve">de la politique nationale de développement </w:t>
      </w:r>
      <w:r w:rsidR="0044798E">
        <w:t xml:space="preserve">en </w:t>
      </w:r>
      <w:r w:rsidR="00103F47" w:rsidRPr="008D2129">
        <w:t>2023</w:t>
      </w:r>
      <w:bookmarkEnd w:id="189"/>
      <w:bookmarkEnd w:id="190"/>
    </w:p>
    <w:p w14:paraId="7794C3E8" w14:textId="3BBF89E9" w:rsidR="00174ACA" w:rsidRPr="002203B6" w:rsidRDefault="006108A4" w:rsidP="002203B6">
      <w:pPr>
        <w:pStyle w:val="PAT2"/>
      </w:pPr>
      <w:bookmarkStart w:id="191" w:name="_Toc512701102"/>
      <w:bookmarkStart w:id="192" w:name="_Toc8587419"/>
      <w:bookmarkStart w:id="193" w:name="_Toc8587531"/>
      <w:bookmarkStart w:id="194" w:name="_Toc71110315"/>
      <w:bookmarkStart w:id="195" w:name="_Toc71110511"/>
      <w:bookmarkStart w:id="196" w:name="_Toc163141252"/>
      <w:bookmarkStart w:id="197" w:name="_Toc164692891"/>
      <w:r w:rsidRPr="008D2129">
        <w:t>Fonctionnement des organes et instance du dispositif</w:t>
      </w:r>
      <w:bookmarkEnd w:id="191"/>
      <w:bookmarkEnd w:id="192"/>
      <w:bookmarkEnd w:id="193"/>
      <w:bookmarkEnd w:id="194"/>
      <w:bookmarkEnd w:id="195"/>
      <w:bookmarkEnd w:id="196"/>
      <w:bookmarkEnd w:id="197"/>
    </w:p>
    <w:p w14:paraId="34A185EB" w14:textId="77777777" w:rsidR="00174ACA" w:rsidRPr="00174ACA" w:rsidRDefault="00174ACA" w:rsidP="00F175A7">
      <w:pPr>
        <w:numPr>
          <w:ilvl w:val="0"/>
          <w:numId w:val="8"/>
        </w:numPr>
        <w:shd w:val="clear" w:color="auto" w:fill="FFFFFF"/>
        <w:spacing w:before="120" w:after="120" w:line="240" w:lineRule="auto"/>
        <w:ind w:left="0"/>
        <w:rPr>
          <w:rFonts w:eastAsia="Calibri"/>
          <w:szCs w:val="24"/>
        </w:rPr>
      </w:pPr>
      <w:r w:rsidRPr="00174ACA">
        <w:rPr>
          <w:rFonts w:eastAsia="Calibri"/>
          <w:szCs w:val="24"/>
        </w:rPr>
        <w:t>Tous les quatorze Cadres sectoriels de dialogue (CSD) ainsi que les treize Cadres régionaux de dialogue (CRD) se sont réunis lors de la revue annuelle des rapports sectoriels et régionaux de performance 2023 de la Politique nationale de développement.</w:t>
      </w:r>
    </w:p>
    <w:p w14:paraId="339B51E0" w14:textId="77777777" w:rsidR="00174ACA" w:rsidRPr="00174ACA" w:rsidRDefault="00174ACA" w:rsidP="00F175A7">
      <w:pPr>
        <w:numPr>
          <w:ilvl w:val="0"/>
          <w:numId w:val="8"/>
        </w:numPr>
        <w:shd w:val="clear" w:color="auto" w:fill="FFFFFF"/>
        <w:spacing w:before="120" w:after="120" w:line="240" w:lineRule="auto"/>
        <w:ind w:left="0"/>
        <w:rPr>
          <w:rFonts w:eastAsia="Calibri"/>
          <w:szCs w:val="24"/>
        </w:rPr>
      </w:pPr>
      <w:r w:rsidRPr="00174ACA">
        <w:rPr>
          <w:rFonts w:eastAsia="Calibri"/>
          <w:szCs w:val="24"/>
        </w:rPr>
        <w:t>Dans le cadre de la préparation de ces revues sectorielles et régionales, les secrétariats techniques ont organisé des collectes d’informations auprès des structures de mise en œuvre des actions. Ces informations ont servi de base à l’élaboration des vingt-sept rapports sectoriels et régionaux de performance annuels 2023.</w:t>
      </w:r>
    </w:p>
    <w:p w14:paraId="68A0DF7B" w14:textId="77777777" w:rsidR="00174ACA" w:rsidRPr="00174ACA" w:rsidRDefault="00174ACA" w:rsidP="00F175A7">
      <w:pPr>
        <w:numPr>
          <w:ilvl w:val="0"/>
          <w:numId w:val="8"/>
        </w:numPr>
        <w:shd w:val="clear" w:color="auto" w:fill="FFFFFF"/>
        <w:spacing w:before="120" w:after="120" w:line="240" w:lineRule="auto"/>
        <w:ind w:left="0"/>
        <w:rPr>
          <w:rFonts w:eastAsia="Calibri"/>
          <w:szCs w:val="24"/>
        </w:rPr>
      </w:pPr>
      <w:r w:rsidRPr="00174ACA">
        <w:rPr>
          <w:rFonts w:eastAsia="Calibri"/>
          <w:szCs w:val="24"/>
        </w:rPr>
        <w:t>Dans l’ensemble, les sessions des revues annuelles au niveau des 14 secteurs de planification se sont déroulées sous la présidence effective des ministres-présidents et/ou vice-présidents de ces cadres de dialogue. Le tableau ci-dessous présente l’état de fonctionnement des cadres sectoriels de dialogue en 2023. Les groupes thématiques ont bien fonctionné dans l’ensemble à l'exception de ceux des CSD Défense et sécurité, Justice-droits humains et Santé.</w:t>
      </w:r>
    </w:p>
    <w:p w14:paraId="7EAA5B1B" w14:textId="77777777" w:rsidR="00174ACA" w:rsidRPr="00174ACA" w:rsidRDefault="00174ACA" w:rsidP="00F175A7">
      <w:pPr>
        <w:numPr>
          <w:ilvl w:val="0"/>
          <w:numId w:val="8"/>
        </w:numPr>
        <w:shd w:val="clear" w:color="auto" w:fill="FFFFFF"/>
        <w:spacing w:before="120" w:after="120" w:line="240" w:lineRule="auto"/>
        <w:ind w:left="0"/>
        <w:rPr>
          <w:rFonts w:eastAsia="Calibri"/>
          <w:szCs w:val="24"/>
        </w:rPr>
      </w:pPr>
      <w:r w:rsidRPr="00174ACA">
        <w:rPr>
          <w:rFonts w:eastAsia="Calibri"/>
          <w:szCs w:val="24"/>
        </w:rPr>
        <w:t>S’agissant de la participation des OSC, des PTF et du secteur privé aux sessions des revues annuelles, on note une bonne représentation de ces institutions et organisations lors de la tenue de la revue annuelle des CSD.</w:t>
      </w:r>
    </w:p>
    <w:p w14:paraId="137BD07F" w14:textId="61E4B870" w:rsidR="008008C3" w:rsidRDefault="00174ACA" w:rsidP="00F175A7">
      <w:pPr>
        <w:numPr>
          <w:ilvl w:val="0"/>
          <w:numId w:val="8"/>
        </w:numPr>
        <w:shd w:val="clear" w:color="auto" w:fill="FFFFFF"/>
        <w:spacing w:before="120" w:after="120" w:line="240" w:lineRule="auto"/>
        <w:ind w:left="0"/>
        <w:rPr>
          <w:rFonts w:eastAsia="Calibri"/>
          <w:szCs w:val="24"/>
        </w:rPr>
      </w:pPr>
      <w:r w:rsidRPr="00174ACA">
        <w:rPr>
          <w:rFonts w:eastAsia="Calibri"/>
          <w:szCs w:val="24"/>
        </w:rPr>
        <w:t>Les principales difficultés rencontrées dans le fonctionnement des CSD restent la tenue irrégulière des réunions des groupes thématiques, la non-disponibilité de certaines informations statistiques due au retard enregistré dans la collecte des données sur le terrain et les délais relativement courts impartis à l’élaboration des documents et la tenue des revues.</w:t>
      </w:r>
    </w:p>
    <w:p w14:paraId="1E848C10" w14:textId="77777777" w:rsidR="008008C3" w:rsidRDefault="008008C3">
      <w:pPr>
        <w:spacing w:after="0" w:line="240" w:lineRule="auto"/>
        <w:jc w:val="left"/>
        <w:rPr>
          <w:rFonts w:eastAsia="Calibri"/>
          <w:szCs w:val="24"/>
        </w:rPr>
      </w:pPr>
      <w:r>
        <w:rPr>
          <w:rFonts w:eastAsia="Calibri"/>
          <w:szCs w:val="24"/>
        </w:rPr>
        <w:br w:type="page"/>
      </w:r>
    </w:p>
    <w:p w14:paraId="0FFA4F23" w14:textId="59CD711A" w:rsidR="00174ACA" w:rsidRPr="0042784A" w:rsidRDefault="004F629C" w:rsidP="0051757E">
      <w:pPr>
        <w:pStyle w:val="Lgende"/>
        <w:rPr>
          <w:color w:val="auto"/>
          <w:sz w:val="22"/>
        </w:rPr>
      </w:pPr>
      <w:bookmarkStart w:id="198" w:name="_Toc164503678"/>
      <w:r w:rsidRPr="009A288B">
        <w:rPr>
          <w:b/>
          <w:i w:val="0"/>
          <w:color w:val="auto"/>
          <w:sz w:val="22"/>
          <w:szCs w:val="22"/>
          <w:u w:val="single"/>
        </w:rPr>
        <w:lastRenderedPageBreak/>
        <w:t xml:space="preserve">Tableau </w:t>
      </w:r>
      <w:r w:rsidRPr="009A288B">
        <w:rPr>
          <w:b/>
          <w:i w:val="0"/>
          <w:color w:val="auto"/>
          <w:sz w:val="22"/>
          <w:szCs w:val="22"/>
          <w:u w:val="single"/>
        </w:rPr>
        <w:fldChar w:fldCharType="begin"/>
      </w:r>
      <w:r w:rsidRPr="009A288B">
        <w:rPr>
          <w:b/>
          <w:i w:val="0"/>
          <w:color w:val="auto"/>
          <w:sz w:val="22"/>
          <w:szCs w:val="22"/>
          <w:u w:val="single"/>
        </w:rPr>
        <w:instrText xml:space="preserve"> SEQ Tableau \* ARABIC </w:instrText>
      </w:r>
      <w:r w:rsidRPr="009A288B">
        <w:rPr>
          <w:b/>
          <w:i w:val="0"/>
          <w:color w:val="auto"/>
          <w:sz w:val="22"/>
          <w:szCs w:val="22"/>
          <w:u w:val="single"/>
        </w:rPr>
        <w:fldChar w:fldCharType="separate"/>
      </w:r>
      <w:r w:rsidR="007C2E4E">
        <w:rPr>
          <w:b/>
          <w:i w:val="0"/>
          <w:noProof/>
          <w:color w:val="auto"/>
          <w:sz w:val="22"/>
          <w:szCs w:val="22"/>
          <w:u w:val="single"/>
        </w:rPr>
        <w:t>91</w:t>
      </w:r>
      <w:r w:rsidRPr="009A288B">
        <w:rPr>
          <w:b/>
          <w:i w:val="0"/>
          <w:color w:val="auto"/>
          <w:sz w:val="22"/>
          <w:szCs w:val="22"/>
          <w:u w:val="single"/>
        </w:rPr>
        <w:fldChar w:fldCharType="end"/>
      </w:r>
      <w:r w:rsidRPr="009A288B">
        <w:rPr>
          <w:i w:val="0"/>
          <w:color w:val="auto"/>
          <w:sz w:val="24"/>
          <w:szCs w:val="24"/>
        </w:rPr>
        <w:t>: état du fonctionnement des CSD en 2023</w:t>
      </w:r>
      <w:bookmarkEnd w:id="198"/>
      <w:r w:rsidRPr="009A288B">
        <w:rPr>
          <w:color w:val="auto"/>
        </w:rPr>
        <w:t xml:space="preserve"> </w:t>
      </w:r>
    </w:p>
    <w:tbl>
      <w:tblPr>
        <w:tblStyle w:val="TableauGrille4-Accentuation119"/>
        <w:tblW w:w="0" w:type="auto"/>
        <w:tblLook w:val="04A0" w:firstRow="1" w:lastRow="0" w:firstColumn="1" w:lastColumn="0" w:noHBand="0" w:noVBand="1"/>
      </w:tblPr>
      <w:tblGrid>
        <w:gridCol w:w="2605"/>
        <w:gridCol w:w="1710"/>
        <w:gridCol w:w="1209"/>
        <w:gridCol w:w="893"/>
        <w:gridCol w:w="892"/>
        <w:gridCol w:w="885"/>
        <w:gridCol w:w="822"/>
      </w:tblGrid>
      <w:tr w:rsidR="00174ACA" w:rsidRPr="00F175A7" w14:paraId="767C9B10" w14:textId="77777777" w:rsidTr="00E528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10BAB1A2" w14:textId="77777777" w:rsidR="00174ACA" w:rsidRPr="00F175A7" w:rsidRDefault="00174ACA" w:rsidP="00F175A7">
            <w:pPr>
              <w:widowControl w:val="0"/>
              <w:spacing w:after="0" w:line="240" w:lineRule="auto"/>
              <w:rPr>
                <w:color w:val="44546A"/>
                <w:sz w:val="21"/>
                <w:szCs w:val="21"/>
              </w:rPr>
            </w:pPr>
            <w:r w:rsidRPr="00F175A7">
              <w:rPr>
                <w:sz w:val="21"/>
                <w:szCs w:val="21"/>
              </w:rPr>
              <w:t>CSD</w:t>
            </w:r>
          </w:p>
        </w:tc>
        <w:tc>
          <w:tcPr>
            <w:tcW w:w="1710" w:type="dxa"/>
            <w:vAlign w:val="center"/>
          </w:tcPr>
          <w:p w14:paraId="653D4501" w14:textId="77777777" w:rsidR="00174ACA" w:rsidRPr="00F175A7"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sz w:val="21"/>
                <w:szCs w:val="21"/>
              </w:rPr>
            </w:pPr>
            <w:r w:rsidRPr="00F175A7">
              <w:rPr>
                <w:sz w:val="21"/>
                <w:szCs w:val="21"/>
              </w:rPr>
              <w:t>Date revue</w:t>
            </w:r>
          </w:p>
        </w:tc>
        <w:tc>
          <w:tcPr>
            <w:tcW w:w="1209" w:type="dxa"/>
            <w:vAlign w:val="center"/>
          </w:tcPr>
          <w:p w14:paraId="7A8D1731" w14:textId="77777777" w:rsidR="00174ACA" w:rsidRPr="00F175A7" w:rsidRDefault="00174ACA" w:rsidP="00F175A7">
            <w:pPr>
              <w:widowControl w:val="0"/>
              <w:spacing w:after="0" w:line="240" w:lineRule="auto"/>
              <w:ind w:firstLine="0"/>
              <w:cnfStyle w:val="100000000000" w:firstRow="1" w:lastRow="0" w:firstColumn="0" w:lastColumn="0" w:oddVBand="0" w:evenVBand="0" w:oddHBand="0" w:evenHBand="0" w:firstRowFirstColumn="0" w:firstRowLastColumn="0" w:lastRowFirstColumn="0" w:lastRowLastColumn="0"/>
              <w:rPr>
                <w:color w:val="44546A"/>
                <w:sz w:val="21"/>
                <w:szCs w:val="21"/>
              </w:rPr>
            </w:pPr>
            <w:r w:rsidRPr="00F175A7">
              <w:rPr>
                <w:sz w:val="21"/>
                <w:szCs w:val="21"/>
              </w:rPr>
              <w:t>Présidence des travaux</w:t>
            </w:r>
          </w:p>
        </w:tc>
        <w:tc>
          <w:tcPr>
            <w:tcW w:w="893" w:type="dxa"/>
            <w:vAlign w:val="center"/>
          </w:tcPr>
          <w:p w14:paraId="11BFBF38" w14:textId="77777777" w:rsidR="00174ACA" w:rsidRPr="00F175A7"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sz w:val="21"/>
                <w:szCs w:val="21"/>
              </w:rPr>
            </w:pPr>
            <w:r w:rsidRPr="00F175A7">
              <w:rPr>
                <w:sz w:val="21"/>
                <w:szCs w:val="21"/>
              </w:rPr>
              <w:t>OSC</w:t>
            </w:r>
          </w:p>
        </w:tc>
        <w:tc>
          <w:tcPr>
            <w:tcW w:w="892" w:type="dxa"/>
            <w:vAlign w:val="center"/>
          </w:tcPr>
          <w:p w14:paraId="04178A1C" w14:textId="77777777" w:rsidR="00174ACA" w:rsidRPr="00F175A7"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sz w:val="21"/>
                <w:szCs w:val="21"/>
              </w:rPr>
            </w:pPr>
            <w:r w:rsidRPr="00F175A7">
              <w:rPr>
                <w:sz w:val="21"/>
                <w:szCs w:val="21"/>
              </w:rPr>
              <w:t>PTF</w:t>
            </w:r>
          </w:p>
        </w:tc>
        <w:tc>
          <w:tcPr>
            <w:tcW w:w="885" w:type="dxa"/>
            <w:vAlign w:val="center"/>
          </w:tcPr>
          <w:p w14:paraId="161A0195" w14:textId="77777777" w:rsidR="00174ACA" w:rsidRPr="00F175A7"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sz w:val="21"/>
                <w:szCs w:val="21"/>
              </w:rPr>
            </w:pPr>
            <w:r w:rsidRPr="00F175A7">
              <w:rPr>
                <w:sz w:val="21"/>
                <w:szCs w:val="21"/>
              </w:rPr>
              <w:t>SP</w:t>
            </w:r>
          </w:p>
        </w:tc>
        <w:tc>
          <w:tcPr>
            <w:tcW w:w="822" w:type="dxa"/>
            <w:vAlign w:val="center"/>
          </w:tcPr>
          <w:p w14:paraId="7EBB6773" w14:textId="77777777" w:rsidR="00174ACA" w:rsidRPr="00F175A7"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sz w:val="21"/>
                <w:szCs w:val="21"/>
              </w:rPr>
            </w:pPr>
            <w:r w:rsidRPr="00F175A7">
              <w:rPr>
                <w:sz w:val="21"/>
                <w:szCs w:val="21"/>
              </w:rPr>
              <w:t>GT</w:t>
            </w:r>
          </w:p>
        </w:tc>
      </w:tr>
      <w:tr w:rsidR="00174ACA" w:rsidRPr="00F175A7" w14:paraId="6AF89694"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555B16C" w14:textId="77777777" w:rsidR="00174ACA" w:rsidRPr="00F175A7" w:rsidRDefault="00174ACA" w:rsidP="00F175A7">
            <w:pPr>
              <w:widowControl w:val="0"/>
              <w:spacing w:after="0" w:line="240" w:lineRule="auto"/>
              <w:jc w:val="left"/>
              <w:rPr>
                <w:sz w:val="21"/>
                <w:szCs w:val="21"/>
              </w:rPr>
            </w:pPr>
            <w:r w:rsidRPr="00F175A7">
              <w:rPr>
                <w:sz w:val="21"/>
                <w:szCs w:val="21"/>
              </w:rPr>
              <w:t>Gouvernance économique</w:t>
            </w:r>
          </w:p>
        </w:tc>
        <w:tc>
          <w:tcPr>
            <w:tcW w:w="1710" w:type="dxa"/>
            <w:vAlign w:val="center"/>
          </w:tcPr>
          <w:p w14:paraId="63843268"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27 février 2024</w:t>
            </w:r>
          </w:p>
        </w:tc>
        <w:tc>
          <w:tcPr>
            <w:tcW w:w="1209" w:type="dxa"/>
            <w:vAlign w:val="center"/>
          </w:tcPr>
          <w:p w14:paraId="618EA622"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388844D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5EC5A174"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5ECFC591"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63DB312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6826D3D1"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DB59291" w14:textId="77777777" w:rsidR="00174ACA" w:rsidRPr="00F175A7" w:rsidRDefault="00174ACA" w:rsidP="00F175A7">
            <w:pPr>
              <w:widowControl w:val="0"/>
              <w:spacing w:after="0" w:line="240" w:lineRule="auto"/>
              <w:jc w:val="left"/>
              <w:rPr>
                <w:sz w:val="21"/>
                <w:szCs w:val="21"/>
              </w:rPr>
            </w:pPr>
            <w:r w:rsidRPr="00F175A7">
              <w:rPr>
                <w:sz w:val="21"/>
                <w:szCs w:val="21"/>
              </w:rPr>
              <w:t>Défense et sécurité</w:t>
            </w:r>
          </w:p>
        </w:tc>
        <w:tc>
          <w:tcPr>
            <w:tcW w:w="1710" w:type="dxa"/>
            <w:vAlign w:val="center"/>
          </w:tcPr>
          <w:p w14:paraId="19C4A69C"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29 février</w:t>
            </w:r>
          </w:p>
        </w:tc>
        <w:tc>
          <w:tcPr>
            <w:tcW w:w="1209" w:type="dxa"/>
            <w:vAlign w:val="center"/>
          </w:tcPr>
          <w:p w14:paraId="283871A9"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186D22B5"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2DD94A14"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 xml:space="preserve"> </w:t>
            </w:r>
          </w:p>
        </w:tc>
        <w:tc>
          <w:tcPr>
            <w:tcW w:w="885" w:type="dxa"/>
            <w:vAlign w:val="center"/>
          </w:tcPr>
          <w:p w14:paraId="03FBB05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22" w:type="dxa"/>
            <w:vAlign w:val="center"/>
          </w:tcPr>
          <w:p w14:paraId="69A7DF1A"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w:t>
            </w:r>
          </w:p>
        </w:tc>
      </w:tr>
      <w:tr w:rsidR="00174ACA" w:rsidRPr="00F175A7" w14:paraId="49A3992D"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3498DDEE" w14:textId="77777777" w:rsidR="00174ACA" w:rsidRPr="00F175A7" w:rsidRDefault="00174ACA" w:rsidP="00F175A7">
            <w:pPr>
              <w:widowControl w:val="0"/>
              <w:spacing w:after="0" w:line="240" w:lineRule="auto"/>
              <w:rPr>
                <w:sz w:val="21"/>
                <w:szCs w:val="21"/>
              </w:rPr>
            </w:pPr>
            <w:r w:rsidRPr="00F175A7">
              <w:rPr>
                <w:sz w:val="21"/>
                <w:szCs w:val="21"/>
              </w:rPr>
              <w:t>Gouvernance administrative et locale</w:t>
            </w:r>
          </w:p>
        </w:tc>
        <w:tc>
          <w:tcPr>
            <w:tcW w:w="1710" w:type="dxa"/>
            <w:vAlign w:val="center"/>
          </w:tcPr>
          <w:p w14:paraId="6786C79A"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29 février 2024</w:t>
            </w:r>
          </w:p>
        </w:tc>
        <w:tc>
          <w:tcPr>
            <w:tcW w:w="1209" w:type="dxa"/>
            <w:vAlign w:val="center"/>
          </w:tcPr>
          <w:p w14:paraId="38A45E79"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14C927A5"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040296B3"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725BF584"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4CE6B46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10DEB8FD"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438314F" w14:textId="77777777" w:rsidR="00174ACA" w:rsidRPr="00F175A7" w:rsidRDefault="00174ACA" w:rsidP="00F175A7">
            <w:pPr>
              <w:widowControl w:val="0"/>
              <w:spacing w:after="0" w:line="240" w:lineRule="auto"/>
              <w:rPr>
                <w:sz w:val="21"/>
                <w:szCs w:val="21"/>
              </w:rPr>
            </w:pPr>
            <w:r w:rsidRPr="00F175A7">
              <w:rPr>
                <w:sz w:val="21"/>
                <w:szCs w:val="21"/>
              </w:rPr>
              <w:t>Justice-droits humains</w:t>
            </w:r>
          </w:p>
        </w:tc>
        <w:tc>
          <w:tcPr>
            <w:tcW w:w="1710" w:type="dxa"/>
            <w:vAlign w:val="center"/>
          </w:tcPr>
          <w:p w14:paraId="1AC87500"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27 février 2024</w:t>
            </w:r>
          </w:p>
        </w:tc>
        <w:tc>
          <w:tcPr>
            <w:tcW w:w="1209" w:type="dxa"/>
            <w:vAlign w:val="center"/>
          </w:tcPr>
          <w:p w14:paraId="173D378D"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2288D8B1"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76EDC82D"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85" w:type="dxa"/>
            <w:vAlign w:val="center"/>
          </w:tcPr>
          <w:p w14:paraId="1B256A4D"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22" w:type="dxa"/>
            <w:vAlign w:val="center"/>
          </w:tcPr>
          <w:p w14:paraId="056BBA8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w:t>
            </w:r>
          </w:p>
        </w:tc>
      </w:tr>
      <w:tr w:rsidR="00174ACA" w:rsidRPr="00F175A7" w14:paraId="008E37D3"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B6B7862" w14:textId="77777777" w:rsidR="00174ACA" w:rsidRPr="00F175A7" w:rsidRDefault="00174ACA" w:rsidP="00F175A7">
            <w:pPr>
              <w:widowControl w:val="0"/>
              <w:spacing w:after="0" w:line="240" w:lineRule="auto"/>
              <w:rPr>
                <w:sz w:val="21"/>
                <w:szCs w:val="21"/>
              </w:rPr>
            </w:pPr>
            <w:r w:rsidRPr="00F175A7">
              <w:rPr>
                <w:sz w:val="21"/>
                <w:szCs w:val="21"/>
              </w:rPr>
              <w:t>Education et formation</w:t>
            </w:r>
          </w:p>
        </w:tc>
        <w:tc>
          <w:tcPr>
            <w:tcW w:w="1710" w:type="dxa"/>
            <w:vAlign w:val="center"/>
          </w:tcPr>
          <w:p w14:paraId="74F6237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27 février 2024</w:t>
            </w:r>
          </w:p>
        </w:tc>
        <w:tc>
          <w:tcPr>
            <w:tcW w:w="1209" w:type="dxa"/>
            <w:vAlign w:val="center"/>
          </w:tcPr>
          <w:p w14:paraId="21BB5A3C"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2B8166B9"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1E4E8028"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449733C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77AB454B"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27B2F852"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B004A94" w14:textId="77777777" w:rsidR="00174ACA" w:rsidRPr="00F175A7" w:rsidRDefault="00174ACA" w:rsidP="00F175A7">
            <w:pPr>
              <w:widowControl w:val="0"/>
              <w:spacing w:after="0" w:line="240" w:lineRule="auto"/>
              <w:rPr>
                <w:sz w:val="21"/>
                <w:szCs w:val="21"/>
              </w:rPr>
            </w:pPr>
            <w:r w:rsidRPr="00F175A7">
              <w:rPr>
                <w:sz w:val="21"/>
                <w:szCs w:val="21"/>
              </w:rPr>
              <w:t>Environnement, eau et assainissement</w:t>
            </w:r>
          </w:p>
        </w:tc>
        <w:tc>
          <w:tcPr>
            <w:tcW w:w="1710" w:type="dxa"/>
            <w:vAlign w:val="center"/>
          </w:tcPr>
          <w:p w14:paraId="053A0110"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26 février 2024</w:t>
            </w:r>
          </w:p>
        </w:tc>
        <w:tc>
          <w:tcPr>
            <w:tcW w:w="1209" w:type="dxa"/>
            <w:vAlign w:val="center"/>
          </w:tcPr>
          <w:p w14:paraId="1D47740B"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593B8A6F"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5C3AA641"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85" w:type="dxa"/>
            <w:vAlign w:val="center"/>
          </w:tcPr>
          <w:p w14:paraId="5108F4F6"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22" w:type="dxa"/>
            <w:vAlign w:val="center"/>
          </w:tcPr>
          <w:p w14:paraId="5FAA6A0A"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r>
      <w:tr w:rsidR="00174ACA" w:rsidRPr="00F175A7" w14:paraId="5F176ADC"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17ED30D7" w14:textId="77777777" w:rsidR="00174ACA" w:rsidRPr="00F175A7" w:rsidRDefault="00174ACA" w:rsidP="00F175A7">
            <w:pPr>
              <w:widowControl w:val="0"/>
              <w:spacing w:after="0" w:line="240" w:lineRule="auto"/>
              <w:rPr>
                <w:sz w:val="21"/>
                <w:szCs w:val="21"/>
              </w:rPr>
            </w:pPr>
            <w:r w:rsidRPr="00F175A7">
              <w:rPr>
                <w:sz w:val="21"/>
                <w:szCs w:val="21"/>
              </w:rPr>
              <w:t>Recherche et innovation</w:t>
            </w:r>
          </w:p>
        </w:tc>
        <w:tc>
          <w:tcPr>
            <w:tcW w:w="1710" w:type="dxa"/>
            <w:vAlign w:val="center"/>
          </w:tcPr>
          <w:p w14:paraId="017773CA"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23 février 2024</w:t>
            </w:r>
          </w:p>
        </w:tc>
        <w:tc>
          <w:tcPr>
            <w:tcW w:w="1209" w:type="dxa"/>
            <w:vAlign w:val="center"/>
          </w:tcPr>
          <w:p w14:paraId="5EA1AB07"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7B2B108B"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3E26AA78"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6C668EBD"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357EDE0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64D61B1E"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06B50FE" w14:textId="77777777" w:rsidR="00174ACA" w:rsidRPr="00F175A7" w:rsidRDefault="00174ACA" w:rsidP="00F175A7">
            <w:pPr>
              <w:widowControl w:val="0"/>
              <w:spacing w:after="0" w:line="240" w:lineRule="auto"/>
              <w:rPr>
                <w:sz w:val="21"/>
                <w:szCs w:val="21"/>
              </w:rPr>
            </w:pPr>
            <w:r w:rsidRPr="00F175A7">
              <w:rPr>
                <w:sz w:val="21"/>
                <w:szCs w:val="21"/>
              </w:rPr>
              <w:t>Santé</w:t>
            </w:r>
          </w:p>
        </w:tc>
        <w:tc>
          <w:tcPr>
            <w:tcW w:w="1710" w:type="dxa"/>
            <w:vAlign w:val="center"/>
          </w:tcPr>
          <w:p w14:paraId="500ED64C"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01 mars 2024</w:t>
            </w:r>
          </w:p>
        </w:tc>
        <w:tc>
          <w:tcPr>
            <w:tcW w:w="1209" w:type="dxa"/>
            <w:vAlign w:val="center"/>
          </w:tcPr>
          <w:p w14:paraId="643FFA06"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05679EE9"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7348053E"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85" w:type="dxa"/>
            <w:vAlign w:val="center"/>
          </w:tcPr>
          <w:p w14:paraId="2CFE08FF"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w:t>
            </w:r>
          </w:p>
        </w:tc>
        <w:tc>
          <w:tcPr>
            <w:tcW w:w="822" w:type="dxa"/>
            <w:vAlign w:val="center"/>
          </w:tcPr>
          <w:p w14:paraId="28ABE0A6"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w:t>
            </w:r>
          </w:p>
        </w:tc>
      </w:tr>
      <w:tr w:rsidR="00174ACA" w:rsidRPr="00F175A7" w14:paraId="4D551911"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04DB2D70" w14:textId="77777777" w:rsidR="00174ACA" w:rsidRPr="00F175A7" w:rsidRDefault="00174ACA" w:rsidP="00F175A7">
            <w:pPr>
              <w:widowControl w:val="0"/>
              <w:spacing w:after="0" w:line="240" w:lineRule="auto"/>
              <w:rPr>
                <w:sz w:val="21"/>
                <w:szCs w:val="21"/>
              </w:rPr>
            </w:pPr>
            <w:r w:rsidRPr="00F175A7">
              <w:rPr>
                <w:sz w:val="21"/>
                <w:szCs w:val="21"/>
              </w:rPr>
              <w:t>Travail, emploi et protection sociale</w:t>
            </w:r>
          </w:p>
        </w:tc>
        <w:tc>
          <w:tcPr>
            <w:tcW w:w="1710" w:type="dxa"/>
            <w:vAlign w:val="center"/>
          </w:tcPr>
          <w:p w14:paraId="676AC58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22 février 2024</w:t>
            </w:r>
          </w:p>
        </w:tc>
        <w:tc>
          <w:tcPr>
            <w:tcW w:w="1209" w:type="dxa"/>
            <w:vAlign w:val="center"/>
          </w:tcPr>
          <w:p w14:paraId="0627B8F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3CEF79B4"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4A1CBB0B"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4B4067D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00DD8572"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7E1564AB"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4AF72EC" w14:textId="77777777" w:rsidR="00174ACA" w:rsidRPr="00F175A7" w:rsidRDefault="00174ACA" w:rsidP="00F175A7">
            <w:pPr>
              <w:widowControl w:val="0"/>
              <w:spacing w:after="0" w:line="240" w:lineRule="auto"/>
              <w:rPr>
                <w:sz w:val="21"/>
                <w:szCs w:val="21"/>
              </w:rPr>
            </w:pPr>
            <w:r w:rsidRPr="00F175A7">
              <w:rPr>
                <w:sz w:val="21"/>
                <w:szCs w:val="21"/>
              </w:rPr>
              <w:t>Commerce et services marchands</w:t>
            </w:r>
          </w:p>
        </w:tc>
        <w:tc>
          <w:tcPr>
            <w:tcW w:w="1710" w:type="dxa"/>
            <w:vAlign w:val="center"/>
          </w:tcPr>
          <w:p w14:paraId="69D8B38E"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04 mars 2024</w:t>
            </w:r>
          </w:p>
        </w:tc>
        <w:tc>
          <w:tcPr>
            <w:tcW w:w="1209" w:type="dxa"/>
            <w:vAlign w:val="center"/>
          </w:tcPr>
          <w:p w14:paraId="396D3709"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2DE5360D"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4D576C2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0</w:t>
            </w:r>
          </w:p>
        </w:tc>
        <w:tc>
          <w:tcPr>
            <w:tcW w:w="885" w:type="dxa"/>
            <w:vAlign w:val="center"/>
          </w:tcPr>
          <w:p w14:paraId="2DDC4545"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22" w:type="dxa"/>
            <w:vAlign w:val="center"/>
          </w:tcPr>
          <w:p w14:paraId="765A37A3" w14:textId="10488744" w:rsidR="00174ACA" w:rsidRPr="00F175A7" w:rsidRDefault="00A77724"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r>
      <w:tr w:rsidR="00174ACA" w:rsidRPr="00F175A7" w14:paraId="0FCE42E8"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15C3E916" w14:textId="77777777" w:rsidR="00174ACA" w:rsidRPr="00F175A7" w:rsidRDefault="00174ACA" w:rsidP="00F175A7">
            <w:pPr>
              <w:widowControl w:val="0"/>
              <w:spacing w:after="0" w:line="240" w:lineRule="auto"/>
              <w:rPr>
                <w:sz w:val="21"/>
                <w:szCs w:val="21"/>
              </w:rPr>
            </w:pPr>
            <w:r w:rsidRPr="00F175A7">
              <w:rPr>
                <w:sz w:val="21"/>
                <w:szCs w:val="21"/>
              </w:rPr>
              <w:t>Culture, sport et loisirs</w:t>
            </w:r>
          </w:p>
        </w:tc>
        <w:tc>
          <w:tcPr>
            <w:tcW w:w="1710" w:type="dxa"/>
            <w:vAlign w:val="center"/>
          </w:tcPr>
          <w:p w14:paraId="17D1B94D"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22 février 2024</w:t>
            </w:r>
          </w:p>
        </w:tc>
        <w:tc>
          <w:tcPr>
            <w:tcW w:w="1209" w:type="dxa"/>
            <w:vAlign w:val="center"/>
          </w:tcPr>
          <w:p w14:paraId="63BE7D5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1DDA44B3"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598A4A5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2951BD4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3FD60017"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7C7CAB36"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6E97BDF" w14:textId="77777777" w:rsidR="00174ACA" w:rsidRPr="00F175A7" w:rsidRDefault="00174ACA" w:rsidP="00F175A7">
            <w:pPr>
              <w:widowControl w:val="0"/>
              <w:spacing w:after="0" w:line="240" w:lineRule="auto"/>
              <w:rPr>
                <w:sz w:val="21"/>
                <w:szCs w:val="21"/>
              </w:rPr>
            </w:pPr>
            <w:r w:rsidRPr="00F175A7">
              <w:rPr>
                <w:sz w:val="21"/>
                <w:szCs w:val="21"/>
              </w:rPr>
              <w:t>Infrastructures de transport, communication et habitat</w:t>
            </w:r>
          </w:p>
        </w:tc>
        <w:tc>
          <w:tcPr>
            <w:tcW w:w="1710" w:type="dxa"/>
            <w:vAlign w:val="center"/>
          </w:tcPr>
          <w:p w14:paraId="7641FFB0"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27 février 2024</w:t>
            </w:r>
          </w:p>
        </w:tc>
        <w:tc>
          <w:tcPr>
            <w:tcW w:w="1209" w:type="dxa"/>
            <w:vAlign w:val="center"/>
          </w:tcPr>
          <w:p w14:paraId="5CFAEF8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21C32FB6"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580A18A8"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85" w:type="dxa"/>
            <w:vAlign w:val="center"/>
          </w:tcPr>
          <w:p w14:paraId="1660C01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22" w:type="dxa"/>
            <w:vAlign w:val="center"/>
          </w:tcPr>
          <w:p w14:paraId="18B5409E" w14:textId="4979F639" w:rsidR="00174ACA" w:rsidRPr="00F175A7" w:rsidRDefault="00A77724"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r>
      <w:tr w:rsidR="00174ACA" w:rsidRPr="00F175A7" w14:paraId="4E059B62" w14:textId="77777777" w:rsidTr="00E528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5C13133" w14:textId="77777777" w:rsidR="00174ACA" w:rsidRPr="00F175A7" w:rsidRDefault="00174ACA" w:rsidP="00F175A7">
            <w:pPr>
              <w:widowControl w:val="0"/>
              <w:spacing w:after="0" w:line="240" w:lineRule="auto"/>
              <w:rPr>
                <w:sz w:val="21"/>
                <w:szCs w:val="21"/>
              </w:rPr>
            </w:pPr>
            <w:r w:rsidRPr="00F175A7">
              <w:rPr>
                <w:sz w:val="21"/>
                <w:szCs w:val="21"/>
              </w:rPr>
              <w:t>Production agro-</w:t>
            </w:r>
            <w:proofErr w:type="spellStart"/>
            <w:r w:rsidRPr="00F175A7">
              <w:rPr>
                <w:sz w:val="21"/>
                <w:szCs w:val="21"/>
              </w:rPr>
              <w:t>sylvo</w:t>
            </w:r>
            <w:proofErr w:type="spellEnd"/>
            <w:r w:rsidRPr="00F175A7">
              <w:rPr>
                <w:sz w:val="21"/>
                <w:szCs w:val="21"/>
              </w:rPr>
              <w:t>-pastorale</w:t>
            </w:r>
          </w:p>
        </w:tc>
        <w:tc>
          <w:tcPr>
            <w:tcW w:w="1710" w:type="dxa"/>
            <w:vAlign w:val="center"/>
          </w:tcPr>
          <w:p w14:paraId="6F8951A8"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27 février 2024</w:t>
            </w:r>
          </w:p>
        </w:tc>
        <w:tc>
          <w:tcPr>
            <w:tcW w:w="1209" w:type="dxa"/>
            <w:vAlign w:val="center"/>
          </w:tcPr>
          <w:p w14:paraId="020E9BF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3" w:type="dxa"/>
            <w:vAlign w:val="center"/>
          </w:tcPr>
          <w:p w14:paraId="0581DEA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92" w:type="dxa"/>
            <w:vAlign w:val="center"/>
          </w:tcPr>
          <w:p w14:paraId="62473536"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85" w:type="dxa"/>
            <w:vAlign w:val="center"/>
          </w:tcPr>
          <w:p w14:paraId="60D13E35"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c>
          <w:tcPr>
            <w:tcW w:w="822" w:type="dxa"/>
            <w:vAlign w:val="center"/>
          </w:tcPr>
          <w:p w14:paraId="564C73DC"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F175A7">
              <w:rPr>
                <w:sz w:val="21"/>
                <w:szCs w:val="21"/>
              </w:rPr>
              <w:t>1</w:t>
            </w:r>
          </w:p>
        </w:tc>
      </w:tr>
      <w:tr w:rsidR="00174ACA" w:rsidRPr="00F175A7" w14:paraId="45F2CA0F" w14:textId="77777777" w:rsidTr="00E52836">
        <w:trPr>
          <w:trHeight w:val="2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826DDFC" w14:textId="77777777" w:rsidR="00174ACA" w:rsidRPr="00F175A7" w:rsidRDefault="00174ACA" w:rsidP="00F175A7">
            <w:pPr>
              <w:widowControl w:val="0"/>
              <w:spacing w:after="0" w:line="240" w:lineRule="auto"/>
              <w:rPr>
                <w:sz w:val="21"/>
                <w:szCs w:val="21"/>
              </w:rPr>
            </w:pPr>
            <w:r w:rsidRPr="00F175A7">
              <w:rPr>
                <w:sz w:val="21"/>
                <w:szCs w:val="21"/>
              </w:rPr>
              <w:t>Transformations industrielles et artisanales</w:t>
            </w:r>
          </w:p>
        </w:tc>
        <w:tc>
          <w:tcPr>
            <w:tcW w:w="1710" w:type="dxa"/>
            <w:vAlign w:val="center"/>
          </w:tcPr>
          <w:p w14:paraId="161EEF28"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26 février 2024</w:t>
            </w:r>
          </w:p>
        </w:tc>
        <w:tc>
          <w:tcPr>
            <w:tcW w:w="1209" w:type="dxa"/>
            <w:vAlign w:val="center"/>
          </w:tcPr>
          <w:p w14:paraId="3BC9868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3" w:type="dxa"/>
            <w:vAlign w:val="center"/>
          </w:tcPr>
          <w:p w14:paraId="3D39ECD0"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92" w:type="dxa"/>
            <w:vAlign w:val="center"/>
          </w:tcPr>
          <w:p w14:paraId="723EBB41"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85" w:type="dxa"/>
            <w:vAlign w:val="center"/>
          </w:tcPr>
          <w:p w14:paraId="6BA2A8B1"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F175A7">
              <w:rPr>
                <w:sz w:val="21"/>
                <w:szCs w:val="21"/>
              </w:rPr>
              <w:t>1</w:t>
            </w:r>
          </w:p>
        </w:tc>
        <w:tc>
          <w:tcPr>
            <w:tcW w:w="822" w:type="dxa"/>
            <w:vAlign w:val="center"/>
          </w:tcPr>
          <w:p w14:paraId="5A2E86B6" w14:textId="66E7BD39" w:rsidR="00174ACA" w:rsidRPr="00F175A7" w:rsidRDefault="00A77724"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r>
    </w:tbl>
    <w:p w14:paraId="0E3E8867" w14:textId="13C7D1E2" w:rsidR="00174ACA" w:rsidRPr="00F175A7" w:rsidRDefault="00174ACA" w:rsidP="00174ACA">
      <w:pPr>
        <w:widowControl w:val="0"/>
        <w:spacing w:before="240" w:after="240" w:line="240" w:lineRule="auto"/>
        <w:rPr>
          <w:sz w:val="20"/>
          <w:szCs w:val="20"/>
        </w:rPr>
      </w:pPr>
      <w:r w:rsidRPr="00F175A7">
        <w:rPr>
          <w:b/>
          <w:sz w:val="20"/>
          <w:szCs w:val="20"/>
          <w:u w:val="single"/>
        </w:rPr>
        <w:t>Source</w:t>
      </w:r>
      <w:r w:rsidRPr="00F175A7">
        <w:rPr>
          <w:sz w:val="20"/>
          <w:szCs w:val="20"/>
        </w:rPr>
        <w:t xml:space="preserve"> : </w:t>
      </w:r>
      <w:r w:rsidR="00526031">
        <w:rPr>
          <w:sz w:val="20"/>
          <w:szCs w:val="20"/>
        </w:rPr>
        <w:t>c</w:t>
      </w:r>
      <w:r w:rsidRPr="00F175A7">
        <w:rPr>
          <w:sz w:val="20"/>
          <w:szCs w:val="20"/>
        </w:rPr>
        <w:t>onçu à partir des 14 rapports sectoriels de performance 2023, SEN</w:t>
      </w:r>
      <w:r w:rsidR="00526031">
        <w:rPr>
          <w:sz w:val="20"/>
          <w:szCs w:val="20"/>
        </w:rPr>
        <w:t>-</w:t>
      </w:r>
      <w:r w:rsidRPr="00F175A7">
        <w:rPr>
          <w:sz w:val="20"/>
          <w:szCs w:val="20"/>
        </w:rPr>
        <w:t>PND</w:t>
      </w:r>
    </w:p>
    <w:p w14:paraId="1003A0ED" w14:textId="5EE6B56E" w:rsidR="008008C3" w:rsidRDefault="00174ACA" w:rsidP="00174ACA">
      <w:pPr>
        <w:widowControl w:val="0"/>
        <w:spacing w:before="240" w:after="240" w:line="240" w:lineRule="auto"/>
        <w:rPr>
          <w:sz w:val="20"/>
          <w:szCs w:val="20"/>
        </w:rPr>
      </w:pPr>
      <w:r w:rsidRPr="00F175A7">
        <w:rPr>
          <w:sz w:val="20"/>
          <w:szCs w:val="20"/>
        </w:rPr>
        <w:t>NB : Présidence (1, si la session est présidée par un ministre, 0 sinon). OSC (1 en cas de participation des OSC à la session du CSD, 0 sinon). PTF (1 si les PTF sont représentés, 0 sinon). SP (1 en cas de participation du secteur privé, 0 sinon) GT (1 si les groupes thématiques fonctionnent, 0 sinon).</w:t>
      </w:r>
    </w:p>
    <w:p w14:paraId="203AE813" w14:textId="507C4E69" w:rsidR="005C2D94" w:rsidRPr="00B04936" w:rsidRDefault="005C2D94" w:rsidP="005C2D94">
      <w:pPr>
        <w:numPr>
          <w:ilvl w:val="0"/>
          <w:numId w:val="8"/>
        </w:numPr>
        <w:shd w:val="clear" w:color="auto" w:fill="FFFFFF"/>
        <w:spacing w:before="120" w:after="120" w:line="240" w:lineRule="auto"/>
        <w:ind w:left="0"/>
        <w:rPr>
          <w:rFonts w:eastAsia="Calibri"/>
          <w:szCs w:val="24"/>
        </w:rPr>
      </w:pPr>
      <w:r w:rsidRPr="00B04936">
        <w:rPr>
          <w:rFonts w:eastAsia="Calibri"/>
          <w:szCs w:val="24"/>
        </w:rPr>
        <w:t xml:space="preserve">Concernant les revues régionales, </w:t>
      </w:r>
      <w:r>
        <w:rPr>
          <w:rFonts w:eastAsia="Calibri"/>
          <w:szCs w:val="24"/>
        </w:rPr>
        <w:t xml:space="preserve">comme l’illustre le tableau ci-dessous, </w:t>
      </w:r>
      <w:r w:rsidRPr="00B04936">
        <w:rPr>
          <w:rFonts w:eastAsia="Calibri"/>
          <w:szCs w:val="24"/>
        </w:rPr>
        <w:t xml:space="preserve">l’ensemble des CRD ont tenus leurs revues annuelles 2023 courant février et mars 2023. A l’image des </w:t>
      </w:r>
      <w:r>
        <w:rPr>
          <w:rFonts w:eastAsia="Calibri"/>
          <w:szCs w:val="24"/>
        </w:rPr>
        <w:t>groupes thématiques</w:t>
      </w:r>
      <w:r w:rsidRPr="00B04936">
        <w:rPr>
          <w:rFonts w:eastAsia="Calibri"/>
          <w:szCs w:val="24"/>
        </w:rPr>
        <w:t xml:space="preserve"> au niveau des CSD, les commissions thématiques des CRD sont faiblement fonctionnelles. </w:t>
      </w:r>
    </w:p>
    <w:p w14:paraId="0EE5E76A" w14:textId="5ACD80B6" w:rsidR="005C2D94" w:rsidRDefault="005C2D94" w:rsidP="005C2D94">
      <w:pPr>
        <w:numPr>
          <w:ilvl w:val="0"/>
          <w:numId w:val="8"/>
        </w:numPr>
        <w:shd w:val="clear" w:color="auto" w:fill="FFFFFF"/>
        <w:spacing w:before="120" w:after="120" w:line="240" w:lineRule="auto"/>
        <w:ind w:left="0"/>
        <w:rPr>
          <w:rFonts w:eastAsia="Calibri"/>
          <w:szCs w:val="24"/>
        </w:rPr>
      </w:pPr>
      <w:r w:rsidRPr="00B04936">
        <w:rPr>
          <w:rFonts w:eastAsia="Calibri"/>
          <w:szCs w:val="24"/>
        </w:rPr>
        <w:t xml:space="preserve">Les principales difficultés dans le fonctionnement des CRD sont entre autres : (i) la non-disponibilité de certaines informations statistiques due à l’insécurité dans certaines zones et (ii) la faiblesse du financement </w:t>
      </w:r>
      <w:r>
        <w:rPr>
          <w:rFonts w:eastAsia="Calibri"/>
          <w:szCs w:val="24"/>
        </w:rPr>
        <w:t>pour la prise en charge des activités des</w:t>
      </w:r>
      <w:r w:rsidRPr="00B04936">
        <w:rPr>
          <w:rFonts w:eastAsia="Calibri"/>
          <w:szCs w:val="24"/>
        </w:rPr>
        <w:t xml:space="preserve"> secrétariats techniques.</w:t>
      </w:r>
    </w:p>
    <w:p w14:paraId="18CFBBAF" w14:textId="77777777" w:rsidR="005C2D94" w:rsidRDefault="005C2D94">
      <w:pPr>
        <w:spacing w:after="0" w:line="240" w:lineRule="auto"/>
        <w:jc w:val="left"/>
        <w:rPr>
          <w:rFonts w:eastAsia="Calibri"/>
          <w:szCs w:val="24"/>
        </w:rPr>
      </w:pPr>
      <w:r>
        <w:rPr>
          <w:rFonts w:eastAsia="Calibri"/>
          <w:szCs w:val="24"/>
        </w:rPr>
        <w:br w:type="page"/>
      </w:r>
    </w:p>
    <w:p w14:paraId="44E04788" w14:textId="07CA8A80" w:rsidR="00174ACA" w:rsidRPr="00AF128B" w:rsidRDefault="004F629C" w:rsidP="008139E1">
      <w:pPr>
        <w:pStyle w:val="Lgende"/>
        <w:rPr>
          <w:i w:val="0"/>
          <w:color w:val="auto"/>
          <w:sz w:val="24"/>
          <w:szCs w:val="24"/>
        </w:rPr>
      </w:pPr>
      <w:bookmarkStart w:id="199" w:name="_Toc164503679"/>
      <w:r w:rsidRPr="00AF128B">
        <w:rPr>
          <w:b/>
          <w:i w:val="0"/>
          <w:color w:val="auto"/>
          <w:sz w:val="24"/>
          <w:szCs w:val="24"/>
          <w:u w:val="single"/>
        </w:rPr>
        <w:lastRenderedPageBreak/>
        <w:t xml:space="preserve">Tableau </w:t>
      </w:r>
      <w:r w:rsidRPr="00AF128B">
        <w:rPr>
          <w:b/>
          <w:i w:val="0"/>
          <w:color w:val="auto"/>
          <w:sz w:val="24"/>
          <w:szCs w:val="24"/>
          <w:u w:val="single"/>
        </w:rPr>
        <w:fldChar w:fldCharType="begin"/>
      </w:r>
      <w:r w:rsidRPr="00AF128B">
        <w:rPr>
          <w:b/>
          <w:i w:val="0"/>
          <w:color w:val="auto"/>
          <w:sz w:val="24"/>
          <w:szCs w:val="24"/>
          <w:u w:val="single"/>
        </w:rPr>
        <w:instrText xml:space="preserve"> SEQ Tableau \* ARABIC </w:instrText>
      </w:r>
      <w:r w:rsidRPr="00AF128B">
        <w:rPr>
          <w:b/>
          <w:i w:val="0"/>
          <w:color w:val="auto"/>
          <w:sz w:val="24"/>
          <w:szCs w:val="24"/>
          <w:u w:val="single"/>
        </w:rPr>
        <w:fldChar w:fldCharType="separate"/>
      </w:r>
      <w:r w:rsidR="007C2E4E">
        <w:rPr>
          <w:b/>
          <w:i w:val="0"/>
          <w:noProof/>
          <w:color w:val="auto"/>
          <w:sz w:val="24"/>
          <w:szCs w:val="24"/>
          <w:u w:val="single"/>
        </w:rPr>
        <w:t>92</w:t>
      </w:r>
      <w:r w:rsidRPr="00AF128B">
        <w:rPr>
          <w:b/>
          <w:i w:val="0"/>
          <w:color w:val="auto"/>
          <w:sz w:val="24"/>
          <w:szCs w:val="24"/>
          <w:u w:val="single"/>
        </w:rPr>
        <w:fldChar w:fldCharType="end"/>
      </w:r>
      <w:r w:rsidRPr="00AF128B">
        <w:rPr>
          <w:i w:val="0"/>
          <w:color w:val="auto"/>
          <w:sz w:val="24"/>
          <w:szCs w:val="24"/>
        </w:rPr>
        <w:t xml:space="preserve"> : état du fonctionnement des CRD en 2023</w:t>
      </w:r>
      <w:bookmarkEnd w:id="199"/>
    </w:p>
    <w:tbl>
      <w:tblPr>
        <w:tblStyle w:val="TableauGrille4-Accentuation119"/>
        <w:tblW w:w="0" w:type="auto"/>
        <w:tblLook w:val="04A0" w:firstRow="1" w:lastRow="0" w:firstColumn="1" w:lastColumn="0" w:noHBand="0" w:noVBand="1"/>
      </w:tblPr>
      <w:tblGrid>
        <w:gridCol w:w="2134"/>
        <w:gridCol w:w="1403"/>
        <w:gridCol w:w="1347"/>
        <w:gridCol w:w="1162"/>
        <w:gridCol w:w="1073"/>
        <w:gridCol w:w="982"/>
        <w:gridCol w:w="915"/>
      </w:tblGrid>
      <w:tr w:rsidR="00174ACA" w:rsidRPr="00F175A7" w14:paraId="5D596C73" w14:textId="77777777" w:rsidTr="00174A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6B24F5C2" w14:textId="77777777" w:rsidR="00174ACA" w:rsidRPr="00EE1BF3" w:rsidRDefault="00174ACA" w:rsidP="00F175A7">
            <w:pPr>
              <w:widowControl w:val="0"/>
              <w:spacing w:after="0" w:line="240" w:lineRule="auto"/>
              <w:rPr>
                <w:color w:val="44546A"/>
              </w:rPr>
            </w:pPr>
            <w:r w:rsidRPr="00F175A7">
              <w:t>CRD</w:t>
            </w:r>
          </w:p>
        </w:tc>
        <w:tc>
          <w:tcPr>
            <w:tcW w:w="1350" w:type="dxa"/>
          </w:tcPr>
          <w:p w14:paraId="03F50D04" w14:textId="77777777" w:rsidR="00174ACA" w:rsidRPr="00EE1BF3"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rPr>
            </w:pPr>
            <w:r w:rsidRPr="00F175A7">
              <w:t>Date revue</w:t>
            </w:r>
          </w:p>
        </w:tc>
        <w:tc>
          <w:tcPr>
            <w:tcW w:w="1350" w:type="dxa"/>
          </w:tcPr>
          <w:p w14:paraId="6B00F78A" w14:textId="77777777" w:rsidR="00174ACA" w:rsidRPr="00EE1BF3" w:rsidRDefault="00174ACA" w:rsidP="00F175A7">
            <w:pPr>
              <w:widowControl w:val="0"/>
              <w:spacing w:after="0" w:line="240" w:lineRule="auto"/>
              <w:ind w:firstLine="0"/>
              <w:cnfStyle w:val="100000000000" w:firstRow="1" w:lastRow="0" w:firstColumn="0" w:lastColumn="0" w:oddVBand="0" w:evenVBand="0" w:oddHBand="0" w:evenHBand="0" w:firstRowFirstColumn="0" w:firstRowLastColumn="0" w:lastRowFirstColumn="0" w:lastRowLastColumn="0"/>
              <w:rPr>
                <w:color w:val="44546A"/>
              </w:rPr>
            </w:pPr>
            <w:r w:rsidRPr="00F175A7">
              <w:t>Présidence des travaux</w:t>
            </w:r>
          </w:p>
        </w:tc>
        <w:tc>
          <w:tcPr>
            <w:tcW w:w="1170" w:type="dxa"/>
          </w:tcPr>
          <w:p w14:paraId="1F2565F7" w14:textId="77777777" w:rsidR="00174ACA" w:rsidRPr="00EE1BF3"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rPr>
            </w:pPr>
            <w:r w:rsidRPr="00F175A7">
              <w:t>OSC</w:t>
            </w:r>
          </w:p>
        </w:tc>
        <w:tc>
          <w:tcPr>
            <w:tcW w:w="1080" w:type="dxa"/>
          </w:tcPr>
          <w:p w14:paraId="78C57FE1" w14:textId="77777777" w:rsidR="00174ACA" w:rsidRPr="00EE1BF3"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rPr>
            </w:pPr>
            <w:r w:rsidRPr="00F175A7">
              <w:t>PTF</w:t>
            </w:r>
          </w:p>
        </w:tc>
        <w:tc>
          <w:tcPr>
            <w:tcW w:w="990" w:type="dxa"/>
          </w:tcPr>
          <w:p w14:paraId="4BC7E20F" w14:textId="77777777" w:rsidR="00174ACA" w:rsidRPr="00EE1BF3"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rPr>
            </w:pPr>
            <w:r w:rsidRPr="00F175A7">
              <w:t>SP</w:t>
            </w:r>
          </w:p>
        </w:tc>
        <w:tc>
          <w:tcPr>
            <w:tcW w:w="921" w:type="dxa"/>
          </w:tcPr>
          <w:p w14:paraId="4E383516" w14:textId="77777777" w:rsidR="00174ACA" w:rsidRPr="00EE1BF3" w:rsidRDefault="00174ACA" w:rsidP="00F175A7">
            <w:pPr>
              <w:widowControl w:val="0"/>
              <w:spacing w:after="0" w:line="240" w:lineRule="auto"/>
              <w:cnfStyle w:val="100000000000" w:firstRow="1" w:lastRow="0" w:firstColumn="0" w:lastColumn="0" w:oddVBand="0" w:evenVBand="0" w:oddHBand="0" w:evenHBand="0" w:firstRowFirstColumn="0" w:firstRowLastColumn="0" w:lastRowFirstColumn="0" w:lastRowLastColumn="0"/>
              <w:rPr>
                <w:color w:val="44546A"/>
              </w:rPr>
            </w:pPr>
            <w:r w:rsidRPr="00F175A7">
              <w:t>CT</w:t>
            </w:r>
          </w:p>
        </w:tc>
      </w:tr>
      <w:tr w:rsidR="00174ACA" w:rsidRPr="00F175A7" w14:paraId="2E92E51C"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4AA2615A" w14:textId="77777777" w:rsidR="00174ACA" w:rsidRPr="00F175A7" w:rsidRDefault="00174ACA" w:rsidP="00F175A7">
            <w:pPr>
              <w:widowControl w:val="0"/>
              <w:spacing w:after="0" w:line="240" w:lineRule="auto"/>
              <w:ind w:firstLine="0"/>
            </w:pPr>
            <w:r w:rsidRPr="00F175A7">
              <w:t>Centre</w:t>
            </w:r>
          </w:p>
        </w:tc>
        <w:tc>
          <w:tcPr>
            <w:tcW w:w="1350" w:type="dxa"/>
          </w:tcPr>
          <w:p w14:paraId="527D90E9"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23/02/2024</w:t>
            </w:r>
          </w:p>
        </w:tc>
        <w:tc>
          <w:tcPr>
            <w:tcW w:w="1350" w:type="dxa"/>
          </w:tcPr>
          <w:p w14:paraId="362D24F8"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1170" w:type="dxa"/>
          </w:tcPr>
          <w:p w14:paraId="7CF00E43"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1080" w:type="dxa"/>
          </w:tcPr>
          <w:p w14:paraId="20602E2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990" w:type="dxa"/>
          </w:tcPr>
          <w:p w14:paraId="24D86EB5"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921" w:type="dxa"/>
          </w:tcPr>
          <w:p w14:paraId="1E1BE0FC" w14:textId="0EDEAED3" w:rsidR="00174ACA" w:rsidRPr="00F175A7" w:rsidRDefault="00B0493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0</w:t>
            </w:r>
          </w:p>
        </w:tc>
      </w:tr>
      <w:tr w:rsidR="00174ACA" w:rsidRPr="00F175A7" w14:paraId="7D1FD130" w14:textId="77777777" w:rsidTr="00174ACA">
        <w:trPr>
          <w:trHeight w:val="20"/>
        </w:trPr>
        <w:tc>
          <w:tcPr>
            <w:cnfStyle w:val="001000000000" w:firstRow="0" w:lastRow="0" w:firstColumn="1" w:lastColumn="0" w:oddVBand="0" w:evenVBand="0" w:oddHBand="0" w:evenHBand="0" w:firstRowFirstColumn="0" w:firstRowLastColumn="0" w:lastRowFirstColumn="0" w:lastRowLastColumn="0"/>
            <w:tcW w:w="2155" w:type="dxa"/>
          </w:tcPr>
          <w:p w14:paraId="546C3A8A" w14:textId="77777777" w:rsidR="00174ACA" w:rsidRPr="00F175A7" w:rsidRDefault="00174ACA" w:rsidP="00F175A7">
            <w:pPr>
              <w:widowControl w:val="0"/>
              <w:spacing w:after="0" w:line="240" w:lineRule="auto"/>
              <w:ind w:firstLine="0"/>
            </w:pPr>
            <w:r w:rsidRPr="00F175A7">
              <w:t>Hauts Bassins</w:t>
            </w:r>
          </w:p>
        </w:tc>
        <w:tc>
          <w:tcPr>
            <w:tcW w:w="1350" w:type="dxa"/>
          </w:tcPr>
          <w:p w14:paraId="570E9207" w14:textId="4B83193F"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18/03/2024</w:t>
            </w:r>
          </w:p>
        </w:tc>
        <w:tc>
          <w:tcPr>
            <w:tcW w:w="1350" w:type="dxa"/>
          </w:tcPr>
          <w:p w14:paraId="650504D6" w14:textId="2B374628"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1170" w:type="dxa"/>
          </w:tcPr>
          <w:p w14:paraId="0C976DF9" w14:textId="6AA706E2"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1080" w:type="dxa"/>
          </w:tcPr>
          <w:p w14:paraId="28628FF9" w14:textId="6EC27F59"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990" w:type="dxa"/>
          </w:tcPr>
          <w:p w14:paraId="683A04DE" w14:textId="3DC9FDF3"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921" w:type="dxa"/>
          </w:tcPr>
          <w:p w14:paraId="14D9A872" w14:textId="7D2EF742"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0</w:t>
            </w:r>
          </w:p>
        </w:tc>
      </w:tr>
      <w:tr w:rsidR="00174ACA" w:rsidRPr="00F175A7" w14:paraId="0A2E9B78"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48A90BFC" w14:textId="77777777" w:rsidR="00174ACA" w:rsidRPr="00F175A7" w:rsidRDefault="00174ACA" w:rsidP="00F175A7">
            <w:pPr>
              <w:widowControl w:val="0"/>
              <w:spacing w:after="0" w:line="240" w:lineRule="auto"/>
              <w:ind w:firstLine="0"/>
            </w:pPr>
            <w:r w:rsidRPr="00F175A7">
              <w:t>Plateau central</w:t>
            </w:r>
          </w:p>
        </w:tc>
        <w:tc>
          <w:tcPr>
            <w:tcW w:w="1350" w:type="dxa"/>
          </w:tcPr>
          <w:p w14:paraId="183D8B9B"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05/03/2024</w:t>
            </w:r>
          </w:p>
        </w:tc>
        <w:tc>
          <w:tcPr>
            <w:tcW w:w="1350" w:type="dxa"/>
          </w:tcPr>
          <w:p w14:paraId="0C21709C"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0</w:t>
            </w:r>
          </w:p>
        </w:tc>
        <w:tc>
          <w:tcPr>
            <w:tcW w:w="1170" w:type="dxa"/>
          </w:tcPr>
          <w:p w14:paraId="79E9C618"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 1</w:t>
            </w:r>
          </w:p>
        </w:tc>
        <w:tc>
          <w:tcPr>
            <w:tcW w:w="1080" w:type="dxa"/>
          </w:tcPr>
          <w:p w14:paraId="1861741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 0</w:t>
            </w:r>
          </w:p>
        </w:tc>
        <w:tc>
          <w:tcPr>
            <w:tcW w:w="990" w:type="dxa"/>
          </w:tcPr>
          <w:p w14:paraId="6DB05DDD"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1 </w:t>
            </w:r>
          </w:p>
        </w:tc>
        <w:tc>
          <w:tcPr>
            <w:tcW w:w="921" w:type="dxa"/>
          </w:tcPr>
          <w:p w14:paraId="220DE59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 0</w:t>
            </w:r>
          </w:p>
        </w:tc>
      </w:tr>
      <w:tr w:rsidR="00174ACA" w:rsidRPr="00F175A7" w14:paraId="25BC686C" w14:textId="77777777" w:rsidTr="00174ACA">
        <w:trPr>
          <w:trHeight w:val="20"/>
        </w:trPr>
        <w:tc>
          <w:tcPr>
            <w:cnfStyle w:val="001000000000" w:firstRow="0" w:lastRow="0" w:firstColumn="1" w:lastColumn="0" w:oddVBand="0" w:evenVBand="0" w:oddHBand="0" w:evenHBand="0" w:firstRowFirstColumn="0" w:firstRowLastColumn="0" w:lastRowFirstColumn="0" w:lastRowLastColumn="0"/>
            <w:tcW w:w="2155" w:type="dxa"/>
          </w:tcPr>
          <w:p w14:paraId="390EFF7E" w14:textId="77777777" w:rsidR="00174ACA" w:rsidRPr="00F175A7" w:rsidRDefault="00174ACA" w:rsidP="00F175A7">
            <w:pPr>
              <w:widowControl w:val="0"/>
              <w:spacing w:after="0" w:line="240" w:lineRule="auto"/>
              <w:ind w:firstLine="0"/>
            </w:pPr>
            <w:r w:rsidRPr="00F175A7">
              <w:t>Est</w:t>
            </w:r>
          </w:p>
        </w:tc>
        <w:tc>
          <w:tcPr>
            <w:tcW w:w="1350" w:type="dxa"/>
          </w:tcPr>
          <w:p w14:paraId="0F6C67C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05/03/2024</w:t>
            </w:r>
          </w:p>
        </w:tc>
        <w:tc>
          <w:tcPr>
            <w:tcW w:w="1350" w:type="dxa"/>
          </w:tcPr>
          <w:p w14:paraId="4CD52EEE"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1170" w:type="dxa"/>
          </w:tcPr>
          <w:p w14:paraId="297635CE"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1080" w:type="dxa"/>
          </w:tcPr>
          <w:p w14:paraId="36FAF568"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990" w:type="dxa"/>
          </w:tcPr>
          <w:p w14:paraId="54A55AE4"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0</w:t>
            </w:r>
          </w:p>
        </w:tc>
        <w:tc>
          <w:tcPr>
            <w:tcW w:w="921" w:type="dxa"/>
          </w:tcPr>
          <w:p w14:paraId="669CBAF0" w14:textId="3BAD8B88" w:rsidR="00174ACA" w:rsidRPr="00F175A7" w:rsidRDefault="00B0493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0</w:t>
            </w:r>
          </w:p>
        </w:tc>
      </w:tr>
      <w:tr w:rsidR="00174ACA" w:rsidRPr="00F175A7" w14:paraId="3DA29545"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47FECBE7" w14:textId="77777777" w:rsidR="00174ACA" w:rsidRPr="00F175A7" w:rsidRDefault="00174ACA" w:rsidP="00F175A7">
            <w:pPr>
              <w:widowControl w:val="0"/>
              <w:spacing w:after="0" w:line="240" w:lineRule="auto"/>
              <w:ind w:firstLine="0"/>
            </w:pPr>
            <w:r w:rsidRPr="00F175A7">
              <w:t>Centre-Est</w:t>
            </w:r>
          </w:p>
        </w:tc>
        <w:tc>
          <w:tcPr>
            <w:tcW w:w="1350" w:type="dxa"/>
          </w:tcPr>
          <w:p w14:paraId="14E1408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29/02/2024</w:t>
            </w:r>
          </w:p>
        </w:tc>
        <w:tc>
          <w:tcPr>
            <w:tcW w:w="1350" w:type="dxa"/>
          </w:tcPr>
          <w:p w14:paraId="20743157"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1170" w:type="dxa"/>
          </w:tcPr>
          <w:p w14:paraId="24958AFB"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1080" w:type="dxa"/>
          </w:tcPr>
          <w:p w14:paraId="180197C0"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990" w:type="dxa"/>
          </w:tcPr>
          <w:p w14:paraId="10276F0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921" w:type="dxa"/>
          </w:tcPr>
          <w:p w14:paraId="53DC1871" w14:textId="69EEFE2F" w:rsidR="00174ACA" w:rsidRPr="00F175A7" w:rsidRDefault="00B0493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0</w:t>
            </w:r>
          </w:p>
        </w:tc>
      </w:tr>
      <w:tr w:rsidR="00174ACA" w:rsidRPr="00F175A7" w14:paraId="1F42AD08" w14:textId="77777777" w:rsidTr="00174ACA">
        <w:trPr>
          <w:trHeight w:val="20"/>
        </w:trPr>
        <w:tc>
          <w:tcPr>
            <w:cnfStyle w:val="001000000000" w:firstRow="0" w:lastRow="0" w:firstColumn="1" w:lastColumn="0" w:oddVBand="0" w:evenVBand="0" w:oddHBand="0" w:evenHBand="0" w:firstRowFirstColumn="0" w:firstRowLastColumn="0" w:lastRowFirstColumn="0" w:lastRowLastColumn="0"/>
            <w:tcW w:w="2155" w:type="dxa"/>
          </w:tcPr>
          <w:p w14:paraId="21455953" w14:textId="77777777" w:rsidR="00174ACA" w:rsidRPr="00F175A7" w:rsidRDefault="00174ACA" w:rsidP="00F175A7">
            <w:pPr>
              <w:widowControl w:val="0"/>
              <w:spacing w:after="0" w:line="240" w:lineRule="auto"/>
              <w:ind w:firstLine="0"/>
            </w:pPr>
            <w:r w:rsidRPr="00F175A7">
              <w:t>Boucle du Mouhoun</w:t>
            </w:r>
          </w:p>
        </w:tc>
        <w:tc>
          <w:tcPr>
            <w:tcW w:w="1350" w:type="dxa"/>
          </w:tcPr>
          <w:p w14:paraId="7C809625"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05/03/2024</w:t>
            </w:r>
          </w:p>
        </w:tc>
        <w:tc>
          <w:tcPr>
            <w:tcW w:w="1350" w:type="dxa"/>
          </w:tcPr>
          <w:p w14:paraId="6C0D1734" w14:textId="164D1881" w:rsidR="00174ACA" w:rsidRPr="00F175A7" w:rsidRDefault="00A95B31"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r w:rsidR="00174ACA" w:rsidRPr="00F175A7">
              <w:t xml:space="preserve"> </w:t>
            </w:r>
          </w:p>
        </w:tc>
        <w:tc>
          <w:tcPr>
            <w:tcW w:w="1170" w:type="dxa"/>
          </w:tcPr>
          <w:p w14:paraId="4D401934" w14:textId="1C3DE0B8" w:rsidR="00174ACA" w:rsidRPr="00F175A7" w:rsidRDefault="00A95B31"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1080" w:type="dxa"/>
          </w:tcPr>
          <w:p w14:paraId="2F13CEB6" w14:textId="38024E6B" w:rsidR="00174ACA" w:rsidRPr="00F175A7" w:rsidRDefault="00A95B31" w:rsidP="00A95B31">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990" w:type="dxa"/>
          </w:tcPr>
          <w:p w14:paraId="25EDE865" w14:textId="7864A10C" w:rsidR="00174ACA" w:rsidRPr="00F175A7" w:rsidRDefault="00A95B31"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921" w:type="dxa"/>
          </w:tcPr>
          <w:p w14:paraId="32F94116" w14:textId="4B2B315C" w:rsidR="00174ACA" w:rsidRPr="00F175A7" w:rsidRDefault="00A95B31" w:rsidP="00A95B31">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0</w:t>
            </w:r>
          </w:p>
        </w:tc>
      </w:tr>
      <w:tr w:rsidR="00174ACA" w:rsidRPr="00F175A7" w14:paraId="40DECD37"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5BF4BCAF" w14:textId="77777777" w:rsidR="00174ACA" w:rsidRPr="00F175A7" w:rsidRDefault="00174ACA" w:rsidP="00F175A7">
            <w:pPr>
              <w:widowControl w:val="0"/>
              <w:spacing w:after="0" w:line="240" w:lineRule="auto"/>
              <w:ind w:firstLine="0"/>
            </w:pPr>
            <w:r w:rsidRPr="00F175A7">
              <w:t>Centre-Sud</w:t>
            </w:r>
          </w:p>
        </w:tc>
        <w:tc>
          <w:tcPr>
            <w:tcW w:w="1350" w:type="dxa"/>
          </w:tcPr>
          <w:p w14:paraId="56F768EE"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26/02/2024</w:t>
            </w:r>
          </w:p>
        </w:tc>
        <w:tc>
          <w:tcPr>
            <w:tcW w:w="1350" w:type="dxa"/>
          </w:tcPr>
          <w:p w14:paraId="6C8146C1"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1170" w:type="dxa"/>
          </w:tcPr>
          <w:p w14:paraId="36844137"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1080" w:type="dxa"/>
          </w:tcPr>
          <w:p w14:paraId="0AC6B26D"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0</w:t>
            </w:r>
          </w:p>
        </w:tc>
        <w:tc>
          <w:tcPr>
            <w:tcW w:w="990" w:type="dxa"/>
          </w:tcPr>
          <w:p w14:paraId="03B7B21A"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1</w:t>
            </w:r>
          </w:p>
        </w:tc>
        <w:tc>
          <w:tcPr>
            <w:tcW w:w="921" w:type="dxa"/>
          </w:tcPr>
          <w:p w14:paraId="39385342" w14:textId="018D5A1B" w:rsidR="00174ACA" w:rsidRPr="00F175A7" w:rsidRDefault="00B0493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0</w:t>
            </w:r>
          </w:p>
        </w:tc>
      </w:tr>
      <w:tr w:rsidR="00174ACA" w:rsidRPr="00F175A7" w14:paraId="334418EB" w14:textId="77777777" w:rsidTr="00174ACA">
        <w:trPr>
          <w:trHeight w:val="20"/>
        </w:trPr>
        <w:tc>
          <w:tcPr>
            <w:cnfStyle w:val="001000000000" w:firstRow="0" w:lastRow="0" w:firstColumn="1" w:lastColumn="0" w:oddVBand="0" w:evenVBand="0" w:oddHBand="0" w:evenHBand="0" w:firstRowFirstColumn="0" w:firstRowLastColumn="0" w:lastRowFirstColumn="0" w:lastRowLastColumn="0"/>
            <w:tcW w:w="2155" w:type="dxa"/>
          </w:tcPr>
          <w:p w14:paraId="3E738056" w14:textId="77777777" w:rsidR="00174ACA" w:rsidRPr="00F175A7" w:rsidRDefault="00174ACA" w:rsidP="00F175A7">
            <w:pPr>
              <w:widowControl w:val="0"/>
              <w:spacing w:after="0" w:line="240" w:lineRule="auto"/>
              <w:ind w:firstLine="0"/>
            </w:pPr>
            <w:r w:rsidRPr="00F175A7">
              <w:t>Cascades</w:t>
            </w:r>
          </w:p>
        </w:tc>
        <w:tc>
          <w:tcPr>
            <w:tcW w:w="1350" w:type="dxa"/>
          </w:tcPr>
          <w:p w14:paraId="700F3669"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20/02/2024</w:t>
            </w:r>
          </w:p>
        </w:tc>
        <w:tc>
          <w:tcPr>
            <w:tcW w:w="1350" w:type="dxa"/>
          </w:tcPr>
          <w:p w14:paraId="12A74BD0" w14:textId="787F5C62"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1170" w:type="dxa"/>
          </w:tcPr>
          <w:p w14:paraId="3714332B" w14:textId="2AA18ECB"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1080" w:type="dxa"/>
          </w:tcPr>
          <w:p w14:paraId="1CFBD2D6" w14:textId="13E2FF5F"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990" w:type="dxa"/>
          </w:tcPr>
          <w:p w14:paraId="03D429E5" w14:textId="5B966312"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1</w:t>
            </w:r>
          </w:p>
        </w:tc>
        <w:tc>
          <w:tcPr>
            <w:tcW w:w="921" w:type="dxa"/>
          </w:tcPr>
          <w:p w14:paraId="7D57FAF9" w14:textId="0A357453" w:rsidR="00174ACA" w:rsidRPr="00F175A7" w:rsidRDefault="00C64996"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t>0</w:t>
            </w:r>
          </w:p>
        </w:tc>
      </w:tr>
      <w:tr w:rsidR="00174ACA" w:rsidRPr="00F175A7" w14:paraId="18C723FE"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567CCFF4" w14:textId="77777777" w:rsidR="00174ACA" w:rsidRPr="00F175A7" w:rsidRDefault="00174ACA" w:rsidP="00F175A7">
            <w:pPr>
              <w:widowControl w:val="0"/>
              <w:spacing w:after="0" w:line="240" w:lineRule="auto"/>
              <w:ind w:firstLine="0"/>
            </w:pPr>
            <w:r w:rsidRPr="00F175A7">
              <w:t>Sud-Ouest</w:t>
            </w:r>
          </w:p>
        </w:tc>
        <w:tc>
          <w:tcPr>
            <w:tcW w:w="1350" w:type="dxa"/>
          </w:tcPr>
          <w:p w14:paraId="0D42A2A7" w14:textId="77777777"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05/03/2024</w:t>
            </w:r>
          </w:p>
        </w:tc>
        <w:tc>
          <w:tcPr>
            <w:tcW w:w="1350" w:type="dxa"/>
          </w:tcPr>
          <w:p w14:paraId="5066A06E" w14:textId="570B48D3" w:rsidR="00174ACA" w:rsidRPr="00F175A7" w:rsidRDefault="00C6499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1170" w:type="dxa"/>
          </w:tcPr>
          <w:p w14:paraId="0C258BE8" w14:textId="58EF33E2" w:rsidR="00174ACA" w:rsidRPr="00F175A7" w:rsidRDefault="00C6499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1080" w:type="dxa"/>
          </w:tcPr>
          <w:p w14:paraId="177504FF" w14:textId="0E55DB39" w:rsidR="00174ACA" w:rsidRPr="00F175A7" w:rsidRDefault="00C6499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990" w:type="dxa"/>
          </w:tcPr>
          <w:p w14:paraId="7F4D6993" w14:textId="14DD1C87" w:rsidR="00174ACA" w:rsidRPr="00F175A7" w:rsidRDefault="00C6499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921" w:type="dxa"/>
          </w:tcPr>
          <w:p w14:paraId="57D81C6B" w14:textId="6C390ED8" w:rsidR="00174ACA" w:rsidRPr="00F175A7" w:rsidRDefault="00C64996"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0</w:t>
            </w:r>
          </w:p>
        </w:tc>
      </w:tr>
      <w:tr w:rsidR="00174ACA" w:rsidRPr="00F175A7" w14:paraId="25F98378" w14:textId="77777777" w:rsidTr="00174ACA">
        <w:trPr>
          <w:trHeight w:val="20"/>
        </w:trPr>
        <w:tc>
          <w:tcPr>
            <w:cnfStyle w:val="001000000000" w:firstRow="0" w:lastRow="0" w:firstColumn="1" w:lastColumn="0" w:oddVBand="0" w:evenVBand="0" w:oddHBand="0" w:evenHBand="0" w:firstRowFirstColumn="0" w:firstRowLastColumn="0" w:lastRowFirstColumn="0" w:lastRowLastColumn="0"/>
            <w:tcW w:w="2155" w:type="dxa"/>
          </w:tcPr>
          <w:p w14:paraId="2ABC8910" w14:textId="77777777" w:rsidR="00174ACA" w:rsidRPr="00F175A7" w:rsidRDefault="00174ACA" w:rsidP="00F175A7">
            <w:pPr>
              <w:widowControl w:val="0"/>
              <w:spacing w:after="0" w:line="240" w:lineRule="auto"/>
              <w:ind w:firstLine="0"/>
            </w:pPr>
            <w:r w:rsidRPr="00F175A7">
              <w:t>Nord</w:t>
            </w:r>
          </w:p>
        </w:tc>
        <w:tc>
          <w:tcPr>
            <w:tcW w:w="1350" w:type="dxa"/>
          </w:tcPr>
          <w:p w14:paraId="1DE2F0B9"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26/02/2024</w:t>
            </w:r>
          </w:p>
        </w:tc>
        <w:tc>
          <w:tcPr>
            <w:tcW w:w="1350" w:type="dxa"/>
          </w:tcPr>
          <w:p w14:paraId="2639AEBE"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1170" w:type="dxa"/>
          </w:tcPr>
          <w:p w14:paraId="0DF17815"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1080" w:type="dxa"/>
          </w:tcPr>
          <w:p w14:paraId="039874EE"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990" w:type="dxa"/>
          </w:tcPr>
          <w:p w14:paraId="0ACA83E3"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c>
          <w:tcPr>
            <w:tcW w:w="921" w:type="dxa"/>
          </w:tcPr>
          <w:p w14:paraId="16326280"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1</w:t>
            </w:r>
          </w:p>
        </w:tc>
      </w:tr>
      <w:tr w:rsidR="00174ACA" w:rsidRPr="00F175A7" w14:paraId="7D26B356"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70356A8F" w14:textId="77777777" w:rsidR="00174ACA" w:rsidRPr="00F175A7" w:rsidRDefault="00174ACA" w:rsidP="00F175A7">
            <w:pPr>
              <w:widowControl w:val="0"/>
              <w:spacing w:after="0" w:line="240" w:lineRule="auto"/>
              <w:ind w:firstLine="0"/>
            </w:pPr>
            <w:r w:rsidRPr="00F175A7">
              <w:t>Sahel</w:t>
            </w:r>
          </w:p>
        </w:tc>
        <w:tc>
          <w:tcPr>
            <w:tcW w:w="1350" w:type="dxa"/>
          </w:tcPr>
          <w:p w14:paraId="4C45D33B" w14:textId="72E92E2D"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 xml:space="preserve">13/03/2024 </w:t>
            </w:r>
          </w:p>
        </w:tc>
        <w:tc>
          <w:tcPr>
            <w:tcW w:w="1350" w:type="dxa"/>
          </w:tcPr>
          <w:p w14:paraId="2DC54BD6" w14:textId="3A329B5B"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 </w:t>
            </w:r>
            <w:r w:rsidR="00A95B31">
              <w:t>1</w:t>
            </w:r>
          </w:p>
        </w:tc>
        <w:tc>
          <w:tcPr>
            <w:tcW w:w="1170" w:type="dxa"/>
          </w:tcPr>
          <w:p w14:paraId="04FB1C93" w14:textId="3DC3F32F"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r w:rsidR="00174ACA" w:rsidRPr="00F175A7">
              <w:t xml:space="preserve"> </w:t>
            </w:r>
          </w:p>
        </w:tc>
        <w:tc>
          <w:tcPr>
            <w:tcW w:w="1080" w:type="dxa"/>
          </w:tcPr>
          <w:p w14:paraId="3083DFFC" w14:textId="51FD4A94"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 </w:t>
            </w:r>
            <w:r w:rsidR="00A95B31">
              <w:t>1</w:t>
            </w:r>
          </w:p>
        </w:tc>
        <w:tc>
          <w:tcPr>
            <w:tcW w:w="990" w:type="dxa"/>
          </w:tcPr>
          <w:p w14:paraId="4E34A34F" w14:textId="37045E56" w:rsidR="00174ACA" w:rsidRPr="00F175A7" w:rsidRDefault="00174ACA"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rsidRPr="00F175A7">
              <w:t xml:space="preserve"> </w:t>
            </w:r>
            <w:r w:rsidR="00A95B31">
              <w:t>1</w:t>
            </w:r>
          </w:p>
        </w:tc>
        <w:tc>
          <w:tcPr>
            <w:tcW w:w="921" w:type="dxa"/>
          </w:tcPr>
          <w:p w14:paraId="5469E298" w14:textId="08C272E1"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0</w:t>
            </w:r>
            <w:r w:rsidR="00174ACA" w:rsidRPr="00F175A7">
              <w:t xml:space="preserve"> </w:t>
            </w:r>
          </w:p>
        </w:tc>
      </w:tr>
      <w:tr w:rsidR="00174ACA" w:rsidRPr="00F175A7" w14:paraId="58266756" w14:textId="77777777" w:rsidTr="00174ACA">
        <w:trPr>
          <w:trHeight w:val="20"/>
        </w:trPr>
        <w:tc>
          <w:tcPr>
            <w:cnfStyle w:val="001000000000" w:firstRow="0" w:lastRow="0" w:firstColumn="1" w:lastColumn="0" w:oddVBand="0" w:evenVBand="0" w:oddHBand="0" w:evenHBand="0" w:firstRowFirstColumn="0" w:firstRowLastColumn="0" w:lastRowFirstColumn="0" w:lastRowLastColumn="0"/>
            <w:tcW w:w="2155" w:type="dxa"/>
          </w:tcPr>
          <w:p w14:paraId="50BAED71" w14:textId="643D6499" w:rsidR="00174ACA" w:rsidRPr="00F175A7" w:rsidRDefault="00174ACA" w:rsidP="00F175A7">
            <w:pPr>
              <w:widowControl w:val="0"/>
              <w:spacing w:after="0" w:line="240" w:lineRule="auto"/>
              <w:ind w:firstLine="0"/>
            </w:pPr>
            <w:r w:rsidRPr="00F175A7">
              <w:t>Centre</w:t>
            </w:r>
            <w:r w:rsidR="00526031">
              <w:t>-</w:t>
            </w:r>
            <w:r w:rsidRPr="00F175A7">
              <w:t>Nord</w:t>
            </w:r>
          </w:p>
        </w:tc>
        <w:tc>
          <w:tcPr>
            <w:tcW w:w="1350" w:type="dxa"/>
          </w:tcPr>
          <w:p w14:paraId="2E33E3FD"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27/02/2024</w:t>
            </w:r>
          </w:p>
        </w:tc>
        <w:tc>
          <w:tcPr>
            <w:tcW w:w="1350" w:type="dxa"/>
          </w:tcPr>
          <w:p w14:paraId="17BE35E2"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 xml:space="preserve">1 </w:t>
            </w:r>
          </w:p>
        </w:tc>
        <w:tc>
          <w:tcPr>
            <w:tcW w:w="1170" w:type="dxa"/>
          </w:tcPr>
          <w:p w14:paraId="7725D1D3"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 xml:space="preserve"> 1</w:t>
            </w:r>
          </w:p>
        </w:tc>
        <w:tc>
          <w:tcPr>
            <w:tcW w:w="1080" w:type="dxa"/>
          </w:tcPr>
          <w:p w14:paraId="00EF8ABC"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 xml:space="preserve"> 1</w:t>
            </w:r>
          </w:p>
        </w:tc>
        <w:tc>
          <w:tcPr>
            <w:tcW w:w="990" w:type="dxa"/>
          </w:tcPr>
          <w:p w14:paraId="00AA042D"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 xml:space="preserve">1 </w:t>
            </w:r>
          </w:p>
        </w:tc>
        <w:tc>
          <w:tcPr>
            <w:tcW w:w="921" w:type="dxa"/>
          </w:tcPr>
          <w:p w14:paraId="156ED678" w14:textId="77777777" w:rsidR="00174ACA" w:rsidRPr="00F175A7" w:rsidRDefault="00174ACA" w:rsidP="00F175A7">
            <w:pPr>
              <w:widowControl w:val="0"/>
              <w:spacing w:after="0" w:line="240" w:lineRule="auto"/>
              <w:cnfStyle w:val="000000000000" w:firstRow="0" w:lastRow="0" w:firstColumn="0" w:lastColumn="0" w:oddVBand="0" w:evenVBand="0" w:oddHBand="0" w:evenHBand="0" w:firstRowFirstColumn="0" w:firstRowLastColumn="0" w:lastRowFirstColumn="0" w:lastRowLastColumn="0"/>
            </w:pPr>
            <w:r w:rsidRPr="00F175A7">
              <w:t xml:space="preserve"> 0</w:t>
            </w:r>
          </w:p>
        </w:tc>
      </w:tr>
      <w:tr w:rsidR="00174ACA" w:rsidRPr="00F175A7" w14:paraId="5579E1F8" w14:textId="77777777" w:rsidTr="00174A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5" w:type="dxa"/>
          </w:tcPr>
          <w:p w14:paraId="5457201A" w14:textId="77777777" w:rsidR="00174ACA" w:rsidRPr="00F175A7" w:rsidRDefault="00174ACA" w:rsidP="00F175A7">
            <w:pPr>
              <w:widowControl w:val="0"/>
              <w:spacing w:after="0" w:line="240" w:lineRule="auto"/>
              <w:ind w:firstLine="0"/>
            </w:pPr>
            <w:r w:rsidRPr="00F175A7">
              <w:t>Centre-Ouest</w:t>
            </w:r>
          </w:p>
        </w:tc>
        <w:tc>
          <w:tcPr>
            <w:tcW w:w="1350" w:type="dxa"/>
          </w:tcPr>
          <w:p w14:paraId="2D775D1D" w14:textId="1F953CD1"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26/03/2024</w:t>
            </w:r>
          </w:p>
        </w:tc>
        <w:tc>
          <w:tcPr>
            <w:tcW w:w="1350" w:type="dxa"/>
          </w:tcPr>
          <w:p w14:paraId="573BE8F1" w14:textId="12E73255"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1170" w:type="dxa"/>
          </w:tcPr>
          <w:p w14:paraId="3064435D" w14:textId="2C85508F"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1080" w:type="dxa"/>
          </w:tcPr>
          <w:p w14:paraId="11790A26" w14:textId="310A83A0"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990" w:type="dxa"/>
          </w:tcPr>
          <w:p w14:paraId="6B871298" w14:textId="5FF3CFFE" w:rsidR="00174ACA" w:rsidRPr="00F175A7" w:rsidRDefault="00A95B31" w:rsidP="00A95B31">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921" w:type="dxa"/>
          </w:tcPr>
          <w:p w14:paraId="37E1334D" w14:textId="60D6891D" w:rsidR="00174ACA" w:rsidRPr="00F175A7" w:rsidRDefault="00A95B31" w:rsidP="00F175A7">
            <w:pPr>
              <w:widowControl w:val="0"/>
              <w:spacing w:after="0" w:line="240" w:lineRule="auto"/>
              <w:cnfStyle w:val="000000100000" w:firstRow="0" w:lastRow="0" w:firstColumn="0" w:lastColumn="0" w:oddVBand="0" w:evenVBand="0" w:oddHBand="1" w:evenHBand="0" w:firstRowFirstColumn="0" w:firstRowLastColumn="0" w:lastRowFirstColumn="0" w:lastRowLastColumn="0"/>
            </w:pPr>
            <w:r>
              <w:t>0</w:t>
            </w:r>
          </w:p>
        </w:tc>
      </w:tr>
    </w:tbl>
    <w:p w14:paraId="3FDECE7F" w14:textId="5406316C" w:rsidR="00174ACA" w:rsidRPr="00F175A7" w:rsidRDefault="00174ACA" w:rsidP="00174ACA">
      <w:pPr>
        <w:widowControl w:val="0"/>
        <w:spacing w:before="240" w:after="240" w:line="240" w:lineRule="auto"/>
        <w:rPr>
          <w:sz w:val="20"/>
          <w:szCs w:val="20"/>
        </w:rPr>
      </w:pPr>
      <w:r w:rsidRPr="00F175A7">
        <w:rPr>
          <w:b/>
          <w:sz w:val="20"/>
          <w:szCs w:val="20"/>
        </w:rPr>
        <w:t>Source</w:t>
      </w:r>
      <w:r w:rsidRPr="00F175A7">
        <w:rPr>
          <w:sz w:val="20"/>
          <w:szCs w:val="20"/>
        </w:rPr>
        <w:t xml:space="preserve"> : conçu à partir des 13 rapports régionaux de performance 2023, SEN-PND</w:t>
      </w:r>
    </w:p>
    <w:p w14:paraId="599D062F" w14:textId="66587575" w:rsidR="00503E59" w:rsidRDefault="00174ACA" w:rsidP="007766C3">
      <w:pPr>
        <w:widowControl w:val="0"/>
        <w:spacing w:before="240" w:after="240" w:line="240" w:lineRule="auto"/>
        <w:rPr>
          <w:sz w:val="20"/>
          <w:szCs w:val="20"/>
        </w:rPr>
      </w:pPr>
      <w:r w:rsidRPr="00F175A7">
        <w:rPr>
          <w:sz w:val="20"/>
          <w:szCs w:val="20"/>
        </w:rPr>
        <w:t>NB : Présidence (1, si la session est présidée par un gouverneur, 0 sinon). OSC (1 en cas de participation des OSC à la session du CRD, 0 sinon). PTF (1 si les PTF sont représentés, 0 sinon). SP (1 en cas de participation du secteur privé, 0 sinon) CT (1 si les commissions thématiques fonctionnent, 0 sinon).</w:t>
      </w:r>
      <w:bookmarkStart w:id="200" w:name="_Hlk160031644"/>
    </w:p>
    <w:p w14:paraId="6A9F0189" w14:textId="77777777" w:rsidR="00C64996" w:rsidRPr="00EE1BF3" w:rsidRDefault="00C64996" w:rsidP="007766C3">
      <w:pPr>
        <w:widowControl w:val="0"/>
        <w:spacing w:before="240" w:after="240" w:line="240" w:lineRule="auto"/>
        <w:rPr>
          <w:sz w:val="20"/>
          <w:szCs w:val="20"/>
        </w:rPr>
      </w:pPr>
    </w:p>
    <w:p w14:paraId="13D7ECDE" w14:textId="63ECA158" w:rsidR="007C43E5" w:rsidRPr="007C43E5" w:rsidRDefault="006108A4" w:rsidP="007C43E5">
      <w:pPr>
        <w:pStyle w:val="PAT2"/>
      </w:pPr>
      <w:bookmarkStart w:id="201" w:name="_Toc71110316"/>
      <w:bookmarkStart w:id="202" w:name="_Toc71110512"/>
      <w:bookmarkStart w:id="203" w:name="_Toc163141253"/>
      <w:bookmarkStart w:id="204" w:name="_Toc164692892"/>
      <w:bookmarkEnd w:id="200"/>
      <w:r w:rsidRPr="008D2129">
        <w:t xml:space="preserve">Financement </w:t>
      </w:r>
      <w:bookmarkEnd w:id="201"/>
      <w:bookmarkEnd w:id="202"/>
      <w:r w:rsidR="0044798E">
        <w:t>de la P</w:t>
      </w:r>
      <w:r w:rsidRPr="008D2129">
        <w:t>olitique nationale de développement</w:t>
      </w:r>
      <w:r w:rsidR="00663446" w:rsidRPr="008D2129">
        <w:t xml:space="preserve"> au </w:t>
      </w:r>
      <w:r w:rsidR="0044798E">
        <w:t xml:space="preserve">31 décembre </w:t>
      </w:r>
      <w:r w:rsidR="00663446" w:rsidRPr="008D2129">
        <w:t>2023</w:t>
      </w:r>
      <w:bookmarkEnd w:id="203"/>
      <w:bookmarkEnd w:id="204"/>
    </w:p>
    <w:p w14:paraId="5DA6CA9A" w14:textId="77777777" w:rsidR="007C43E5" w:rsidRPr="007C43E5" w:rsidRDefault="007C43E5" w:rsidP="00F175A7">
      <w:pPr>
        <w:numPr>
          <w:ilvl w:val="0"/>
          <w:numId w:val="8"/>
        </w:numPr>
        <w:shd w:val="clear" w:color="auto" w:fill="FFFFFF"/>
        <w:spacing w:before="120" w:after="120" w:line="240" w:lineRule="auto"/>
        <w:ind w:left="0"/>
        <w:rPr>
          <w:rFonts w:eastAsia="Calibri"/>
          <w:szCs w:val="24"/>
        </w:rPr>
      </w:pPr>
      <w:r w:rsidRPr="007C43E5">
        <w:rPr>
          <w:rFonts w:eastAsia="Calibri"/>
          <w:szCs w:val="24"/>
        </w:rPr>
        <w:t>Le financement de la PND par des ressources endogènes se renforce d’année en année en 2023.</w:t>
      </w:r>
    </w:p>
    <w:p w14:paraId="62B75A7F" w14:textId="77777777" w:rsidR="007C43E5" w:rsidRPr="007C43E5" w:rsidRDefault="007C43E5" w:rsidP="00F175A7">
      <w:pPr>
        <w:numPr>
          <w:ilvl w:val="0"/>
          <w:numId w:val="8"/>
        </w:numPr>
        <w:shd w:val="clear" w:color="auto" w:fill="FFFFFF"/>
        <w:spacing w:before="120" w:after="120" w:line="240" w:lineRule="auto"/>
        <w:ind w:left="0"/>
        <w:rPr>
          <w:rFonts w:eastAsia="Calibri"/>
          <w:szCs w:val="24"/>
        </w:rPr>
      </w:pPr>
      <w:r w:rsidRPr="007C43E5">
        <w:rPr>
          <w:rFonts w:eastAsia="Calibri"/>
          <w:szCs w:val="24"/>
        </w:rPr>
        <w:t>Les ressources propres mobilisées et les décaissements des appuis des partenaires pour la conduite des actions du PA-SD s’élèvent à 3 010,50 milliards FCFA en 2023 contre 2 696,92 milliards FCFA en 2022, soit un accroissement de 15,3%. Cette progression reste soutenue par la bonne dynamique du recouvrement des ressources propres (103%), induisant un accroissement de 13,4% par rapport au niveau de 2022. Quant aux décaissements des partenaires, ils ont connu un rebond de 24,8% en 2023 après un fléchissement de 14,8% enregistré un an plus tôt. Cependant, ces décaissements restent dominés par la composante appuis projets (87,9%) en hausse de 25,4%. Aussi, depuis 2021, aucun appui budgétaire dans sa composante dons n’a été enregistré et le niveau de sa composante projet demeure en deçà des attentes avec le seul décaissement du FMI.</w:t>
      </w:r>
    </w:p>
    <w:p w14:paraId="02ACBC68" w14:textId="22494070" w:rsidR="00A27B4C" w:rsidRPr="008D2129" w:rsidRDefault="007C43E5" w:rsidP="003F0E87">
      <w:pPr>
        <w:numPr>
          <w:ilvl w:val="0"/>
          <w:numId w:val="8"/>
        </w:numPr>
        <w:shd w:val="clear" w:color="auto" w:fill="FFFFFF"/>
        <w:spacing w:before="120" w:after="120" w:line="240" w:lineRule="auto"/>
        <w:ind w:left="0"/>
        <w:rPr>
          <w:lang w:eastAsia="fr-FR"/>
        </w:rPr>
      </w:pPr>
      <w:r w:rsidRPr="008008C3">
        <w:rPr>
          <w:rFonts w:eastAsia="Calibri"/>
          <w:szCs w:val="24"/>
        </w:rPr>
        <w:t>L’accroissement des ressources propres enregistrées en 2023 est tributaire de la progression continue des recettes fiscales (+10,2%) et un relèvement du niveau des autres recettes de 46,1% après le fléchissement de 9,0% enregistré en 2022. Le taux de pression fiscale est ressorti à 17</w:t>
      </w:r>
      <w:r w:rsidR="008D7C0C" w:rsidRPr="008008C3">
        <w:rPr>
          <w:rFonts w:eastAsia="Calibri"/>
          <w:szCs w:val="24"/>
        </w:rPr>
        <w:t>.</w:t>
      </w:r>
    </w:p>
    <w:p w14:paraId="67D2501C" w14:textId="77777777" w:rsidR="00A27B4C" w:rsidRPr="008D2129" w:rsidRDefault="00A27B4C" w:rsidP="00A27B4C">
      <w:pPr>
        <w:rPr>
          <w:lang w:eastAsia="fr-FR"/>
        </w:rPr>
        <w:sectPr w:rsidR="00A27B4C" w:rsidRPr="008D2129" w:rsidSect="007E167D">
          <w:pgSz w:w="11906" w:h="16838"/>
          <w:pgMar w:top="1440" w:right="1440" w:bottom="1440" w:left="1440" w:header="708" w:footer="708" w:gutter="0"/>
          <w:pgNumType w:start="1"/>
          <w:cols w:space="708"/>
          <w:docGrid w:linePitch="360"/>
        </w:sectPr>
      </w:pPr>
    </w:p>
    <w:p w14:paraId="39FC228C" w14:textId="78ABBDE7" w:rsidR="00AE4FA3" w:rsidRPr="0042784A" w:rsidRDefault="001B1241" w:rsidP="00024CD3">
      <w:pPr>
        <w:pStyle w:val="Lgende"/>
        <w:rPr>
          <w:i w:val="0"/>
          <w:iCs w:val="0"/>
          <w:color w:val="auto"/>
          <w:sz w:val="22"/>
          <w:szCs w:val="22"/>
          <w:lang w:eastAsia="ar-SA"/>
        </w:rPr>
      </w:pPr>
      <w:bookmarkStart w:id="205" w:name="_Toc134891544"/>
      <w:bookmarkStart w:id="206" w:name="_Toc164503680"/>
      <w:r w:rsidRPr="009A288B">
        <w:rPr>
          <w:b/>
          <w:i w:val="0"/>
          <w:color w:val="auto"/>
          <w:sz w:val="22"/>
          <w:szCs w:val="22"/>
          <w:u w:val="single"/>
        </w:rPr>
        <w:lastRenderedPageBreak/>
        <w:t xml:space="preserve">Tableau </w:t>
      </w:r>
      <w:r w:rsidRPr="009A288B">
        <w:rPr>
          <w:b/>
          <w:i w:val="0"/>
          <w:color w:val="auto"/>
          <w:sz w:val="22"/>
          <w:szCs w:val="22"/>
          <w:u w:val="single"/>
        </w:rPr>
        <w:fldChar w:fldCharType="begin"/>
      </w:r>
      <w:r w:rsidRPr="009A288B">
        <w:rPr>
          <w:b/>
          <w:i w:val="0"/>
          <w:color w:val="auto"/>
          <w:sz w:val="22"/>
          <w:szCs w:val="22"/>
          <w:u w:val="single"/>
        </w:rPr>
        <w:instrText xml:space="preserve"> SEQ Tableau \* ARABIC </w:instrText>
      </w:r>
      <w:r w:rsidRPr="009A288B">
        <w:rPr>
          <w:b/>
          <w:i w:val="0"/>
          <w:color w:val="auto"/>
          <w:sz w:val="22"/>
          <w:szCs w:val="22"/>
          <w:u w:val="single"/>
        </w:rPr>
        <w:fldChar w:fldCharType="separate"/>
      </w:r>
      <w:r w:rsidR="007C2E4E">
        <w:rPr>
          <w:b/>
          <w:i w:val="0"/>
          <w:noProof/>
          <w:color w:val="auto"/>
          <w:sz w:val="22"/>
          <w:szCs w:val="22"/>
          <w:u w:val="single"/>
        </w:rPr>
        <w:t>93</w:t>
      </w:r>
      <w:r w:rsidRPr="009A288B">
        <w:rPr>
          <w:b/>
          <w:i w:val="0"/>
          <w:color w:val="auto"/>
          <w:sz w:val="22"/>
          <w:szCs w:val="22"/>
          <w:u w:val="single"/>
        </w:rPr>
        <w:fldChar w:fldCharType="end"/>
      </w:r>
      <w:r w:rsidRPr="009A288B">
        <w:rPr>
          <w:i w:val="0"/>
          <w:color w:val="auto"/>
          <w:sz w:val="24"/>
          <w:szCs w:val="24"/>
        </w:rPr>
        <w:t>: décaissement et exécution des ressources budgétaires au 31 décembre 2023</w:t>
      </w:r>
      <w:bookmarkEnd w:id="205"/>
      <w:bookmarkEnd w:id="206"/>
    </w:p>
    <w:tbl>
      <w:tblPr>
        <w:tblW w:w="5000" w:type="pct"/>
        <w:tblBorders>
          <w:top w:val="nil"/>
          <w:left w:val="nil"/>
          <w:bottom w:val="nil"/>
          <w:right w:val="nil"/>
          <w:insideH w:val="nil"/>
          <w:insideV w:val="nil"/>
        </w:tblBorders>
        <w:tblLook w:val="0600" w:firstRow="0" w:lastRow="0" w:firstColumn="0" w:lastColumn="0" w:noHBand="1" w:noVBand="1"/>
      </w:tblPr>
      <w:tblGrid>
        <w:gridCol w:w="3264"/>
        <w:gridCol w:w="1869"/>
        <w:gridCol w:w="1869"/>
        <w:gridCol w:w="1869"/>
        <w:gridCol w:w="1868"/>
        <w:gridCol w:w="1868"/>
        <w:gridCol w:w="1351"/>
      </w:tblGrid>
      <w:tr w:rsidR="008737F9" w:rsidRPr="00F175A7" w14:paraId="7B4ABD77" w14:textId="77777777" w:rsidTr="008737F9">
        <w:trPr>
          <w:trHeight w:val="20"/>
        </w:trPr>
        <w:tc>
          <w:tcPr>
            <w:tcW w:w="1169" w:type="pct"/>
            <w:vMerge w:val="restart"/>
            <w:tcBorders>
              <w:top w:val="single" w:sz="6" w:space="0" w:color="5B9BD5"/>
              <w:left w:val="nil"/>
              <w:bottom w:val="single" w:sz="6" w:space="0" w:color="9CC2E5"/>
              <w:right w:val="nil"/>
            </w:tcBorders>
            <w:shd w:val="clear" w:color="auto" w:fill="5B9BD5"/>
            <w:tcMar>
              <w:top w:w="0" w:type="dxa"/>
              <w:left w:w="80" w:type="dxa"/>
              <w:bottom w:w="0" w:type="dxa"/>
              <w:right w:w="80" w:type="dxa"/>
            </w:tcMar>
          </w:tcPr>
          <w:p w14:paraId="6A9164B1" w14:textId="77777777" w:rsidR="008737F9" w:rsidRPr="00F175A7" w:rsidRDefault="008737F9" w:rsidP="00F175A7">
            <w:pPr>
              <w:spacing w:after="0" w:line="240" w:lineRule="auto"/>
              <w:jc w:val="center"/>
              <w:rPr>
                <w:rFonts w:eastAsia="Merriweather"/>
                <w:b/>
                <w:color w:val="FFFFFF"/>
                <w:szCs w:val="18"/>
              </w:rPr>
            </w:pPr>
            <w:r w:rsidRPr="00F175A7">
              <w:rPr>
                <w:rFonts w:eastAsia="Merriweather"/>
                <w:b/>
                <w:color w:val="FFFFFF"/>
                <w:szCs w:val="18"/>
              </w:rPr>
              <w:t>Année</w:t>
            </w:r>
          </w:p>
        </w:tc>
        <w:tc>
          <w:tcPr>
            <w:tcW w:w="669" w:type="pct"/>
            <w:tcBorders>
              <w:top w:val="single" w:sz="6" w:space="0" w:color="5B9BD5"/>
              <w:left w:val="nil"/>
              <w:bottom w:val="single" w:sz="6" w:space="0" w:color="5B9BD5"/>
              <w:right w:val="nil"/>
            </w:tcBorders>
            <w:shd w:val="clear" w:color="auto" w:fill="5B9BD5"/>
            <w:tcMar>
              <w:top w:w="0" w:type="dxa"/>
              <w:left w:w="80" w:type="dxa"/>
              <w:bottom w:w="0" w:type="dxa"/>
              <w:right w:w="80" w:type="dxa"/>
            </w:tcMar>
          </w:tcPr>
          <w:p w14:paraId="66D0C9CB" w14:textId="77777777" w:rsidR="008737F9" w:rsidRPr="00F175A7" w:rsidRDefault="008737F9" w:rsidP="00F175A7">
            <w:pPr>
              <w:spacing w:after="0" w:line="240" w:lineRule="auto"/>
              <w:jc w:val="center"/>
              <w:rPr>
                <w:rFonts w:eastAsia="Merriweather"/>
                <w:b/>
                <w:color w:val="FFFFFF"/>
                <w:szCs w:val="18"/>
              </w:rPr>
            </w:pPr>
            <w:r w:rsidRPr="00F175A7">
              <w:rPr>
                <w:rFonts w:eastAsia="Merriweather"/>
                <w:b/>
                <w:color w:val="FFFFFF"/>
                <w:szCs w:val="18"/>
              </w:rPr>
              <w:t>2020</w:t>
            </w:r>
          </w:p>
        </w:tc>
        <w:tc>
          <w:tcPr>
            <w:tcW w:w="669" w:type="pct"/>
            <w:tcBorders>
              <w:top w:val="single" w:sz="6" w:space="0" w:color="5B9BD5"/>
              <w:left w:val="nil"/>
              <w:bottom w:val="single" w:sz="6" w:space="0" w:color="5B9BD5"/>
              <w:right w:val="nil"/>
            </w:tcBorders>
            <w:shd w:val="clear" w:color="auto" w:fill="5B9BD5"/>
            <w:tcMar>
              <w:top w:w="0" w:type="dxa"/>
              <w:left w:w="80" w:type="dxa"/>
              <w:bottom w:w="0" w:type="dxa"/>
              <w:right w:w="80" w:type="dxa"/>
            </w:tcMar>
          </w:tcPr>
          <w:p w14:paraId="72DA555F" w14:textId="77777777" w:rsidR="008737F9" w:rsidRPr="00F175A7" w:rsidRDefault="008737F9" w:rsidP="00F175A7">
            <w:pPr>
              <w:spacing w:after="0" w:line="240" w:lineRule="auto"/>
              <w:jc w:val="center"/>
              <w:rPr>
                <w:rFonts w:eastAsia="Merriweather"/>
                <w:b/>
                <w:color w:val="FFFFFF"/>
                <w:szCs w:val="18"/>
              </w:rPr>
            </w:pPr>
            <w:r w:rsidRPr="00F175A7">
              <w:rPr>
                <w:rFonts w:eastAsia="Merriweather"/>
                <w:b/>
                <w:color w:val="FFFFFF"/>
                <w:szCs w:val="18"/>
              </w:rPr>
              <w:t>2021</w:t>
            </w:r>
          </w:p>
        </w:tc>
        <w:tc>
          <w:tcPr>
            <w:tcW w:w="669" w:type="pct"/>
            <w:tcBorders>
              <w:top w:val="nil"/>
              <w:left w:val="nil"/>
              <w:bottom w:val="nil"/>
              <w:right w:val="nil"/>
            </w:tcBorders>
            <w:shd w:val="clear" w:color="auto" w:fill="5B9BD5"/>
            <w:tcMar>
              <w:top w:w="0" w:type="dxa"/>
              <w:left w:w="80" w:type="dxa"/>
              <w:bottom w:w="0" w:type="dxa"/>
              <w:right w:w="80" w:type="dxa"/>
            </w:tcMar>
          </w:tcPr>
          <w:p w14:paraId="3D0A1B8B" w14:textId="77777777" w:rsidR="008737F9" w:rsidRPr="00F175A7" w:rsidRDefault="008737F9" w:rsidP="00F175A7">
            <w:pPr>
              <w:spacing w:after="0" w:line="240" w:lineRule="auto"/>
              <w:jc w:val="center"/>
              <w:rPr>
                <w:rFonts w:eastAsia="Merriweather"/>
                <w:b/>
                <w:color w:val="FFFFFF"/>
                <w:szCs w:val="18"/>
              </w:rPr>
            </w:pPr>
            <w:r w:rsidRPr="00F175A7">
              <w:rPr>
                <w:rFonts w:eastAsia="Merriweather"/>
                <w:b/>
                <w:color w:val="FFFFFF"/>
                <w:szCs w:val="18"/>
              </w:rPr>
              <w:t>2022</w:t>
            </w:r>
          </w:p>
        </w:tc>
        <w:tc>
          <w:tcPr>
            <w:tcW w:w="1822" w:type="pct"/>
            <w:gridSpan w:val="3"/>
            <w:tcBorders>
              <w:top w:val="nil"/>
              <w:left w:val="nil"/>
              <w:bottom w:val="nil"/>
              <w:right w:val="nil"/>
            </w:tcBorders>
            <w:shd w:val="clear" w:color="auto" w:fill="2E74B5"/>
            <w:tcMar>
              <w:top w:w="0" w:type="dxa"/>
              <w:left w:w="80" w:type="dxa"/>
              <w:bottom w:w="0" w:type="dxa"/>
              <w:right w:w="80" w:type="dxa"/>
            </w:tcMar>
          </w:tcPr>
          <w:p w14:paraId="47CF6B0D" w14:textId="77777777" w:rsidR="008737F9" w:rsidRPr="00F175A7" w:rsidRDefault="008737F9" w:rsidP="00F175A7">
            <w:pPr>
              <w:spacing w:after="0" w:line="240" w:lineRule="auto"/>
              <w:jc w:val="center"/>
              <w:rPr>
                <w:rFonts w:eastAsia="Merriweather"/>
                <w:b/>
                <w:color w:val="FFFFFF"/>
                <w:szCs w:val="18"/>
              </w:rPr>
            </w:pPr>
            <w:r w:rsidRPr="00F175A7">
              <w:rPr>
                <w:rFonts w:eastAsia="Merriweather"/>
                <w:b/>
                <w:color w:val="FFFFFF"/>
                <w:szCs w:val="18"/>
              </w:rPr>
              <w:t>2023</w:t>
            </w:r>
          </w:p>
        </w:tc>
      </w:tr>
      <w:tr w:rsidR="008737F9" w:rsidRPr="00F175A7" w14:paraId="1007B6BB" w14:textId="77777777" w:rsidTr="008737F9">
        <w:trPr>
          <w:trHeight w:val="20"/>
        </w:trPr>
        <w:tc>
          <w:tcPr>
            <w:tcW w:w="1169" w:type="pct"/>
            <w:vMerge/>
            <w:tcBorders>
              <w:top w:val="single" w:sz="6" w:space="0" w:color="5B9BD5"/>
              <w:left w:val="nil"/>
              <w:bottom w:val="single" w:sz="6" w:space="0" w:color="9CC2E5"/>
              <w:right w:val="nil"/>
            </w:tcBorders>
            <w:shd w:val="clear" w:color="auto" w:fill="auto"/>
            <w:tcMar>
              <w:top w:w="100" w:type="dxa"/>
              <w:left w:w="100" w:type="dxa"/>
              <w:bottom w:w="100" w:type="dxa"/>
              <w:right w:w="100" w:type="dxa"/>
            </w:tcMar>
          </w:tcPr>
          <w:p w14:paraId="7D538612" w14:textId="77777777" w:rsidR="008737F9" w:rsidRPr="00F175A7" w:rsidRDefault="008737F9" w:rsidP="00F175A7">
            <w:pPr>
              <w:spacing w:after="0" w:line="240" w:lineRule="auto"/>
              <w:rPr>
                <w:rFonts w:eastAsia="Merriweather"/>
                <w:color w:val="44546A"/>
                <w:szCs w:val="18"/>
              </w:rPr>
            </w:pP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084B6CE2" w14:textId="77777777" w:rsidR="008737F9" w:rsidRPr="00F175A7" w:rsidRDefault="008737F9" w:rsidP="00F175A7">
            <w:pPr>
              <w:spacing w:after="0" w:line="240" w:lineRule="auto"/>
              <w:jc w:val="center"/>
              <w:rPr>
                <w:rFonts w:eastAsia="Merriweather"/>
                <w:b/>
                <w:color w:val="44546A"/>
                <w:szCs w:val="18"/>
              </w:rPr>
            </w:pPr>
            <w:r w:rsidRPr="00F175A7">
              <w:rPr>
                <w:rFonts w:eastAsia="Merriweather"/>
                <w:b/>
                <w:color w:val="44546A"/>
                <w:szCs w:val="18"/>
              </w:rPr>
              <w:t>Réal</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09CD5D2" w14:textId="77777777" w:rsidR="008737F9" w:rsidRPr="00F175A7" w:rsidRDefault="008737F9" w:rsidP="00F175A7">
            <w:pPr>
              <w:spacing w:after="0" w:line="240" w:lineRule="auto"/>
              <w:jc w:val="center"/>
              <w:rPr>
                <w:rFonts w:eastAsia="Merriweather"/>
                <w:b/>
                <w:color w:val="44546A"/>
                <w:szCs w:val="18"/>
              </w:rPr>
            </w:pPr>
            <w:r w:rsidRPr="00F175A7">
              <w:rPr>
                <w:rFonts w:eastAsia="Merriweather"/>
                <w:b/>
                <w:color w:val="44546A"/>
                <w:szCs w:val="18"/>
              </w:rPr>
              <w:t>Réal</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2BC3AA37" w14:textId="77777777" w:rsidR="008737F9" w:rsidRPr="00F175A7" w:rsidRDefault="008737F9" w:rsidP="00F175A7">
            <w:pPr>
              <w:spacing w:after="0" w:line="240" w:lineRule="auto"/>
              <w:jc w:val="center"/>
              <w:rPr>
                <w:rFonts w:eastAsia="Merriweather"/>
                <w:b/>
                <w:color w:val="44546A"/>
                <w:szCs w:val="18"/>
              </w:rPr>
            </w:pPr>
            <w:r w:rsidRPr="00F175A7">
              <w:rPr>
                <w:rFonts w:eastAsia="Merriweather"/>
                <w:b/>
                <w:color w:val="44546A"/>
                <w:szCs w:val="18"/>
              </w:rPr>
              <w:t>Réal</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0C65BA0E" w14:textId="77777777" w:rsidR="008737F9" w:rsidRPr="00F175A7" w:rsidRDefault="008737F9" w:rsidP="00F175A7">
            <w:pPr>
              <w:spacing w:after="0" w:line="240" w:lineRule="auto"/>
              <w:jc w:val="center"/>
              <w:rPr>
                <w:rFonts w:eastAsia="Merriweather"/>
                <w:b/>
                <w:color w:val="44546A"/>
                <w:szCs w:val="18"/>
              </w:rPr>
            </w:pPr>
            <w:proofErr w:type="spellStart"/>
            <w:r w:rsidRPr="00F175A7">
              <w:rPr>
                <w:rFonts w:eastAsia="Merriweather"/>
                <w:b/>
                <w:color w:val="44546A"/>
                <w:szCs w:val="18"/>
              </w:rPr>
              <w:t>Prév</w:t>
            </w:r>
            <w:proofErr w:type="spellEnd"/>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359F55CC" w14:textId="77777777" w:rsidR="008737F9" w:rsidRPr="00F175A7" w:rsidRDefault="008737F9" w:rsidP="00F175A7">
            <w:pPr>
              <w:spacing w:after="0" w:line="240" w:lineRule="auto"/>
              <w:jc w:val="center"/>
              <w:rPr>
                <w:rFonts w:eastAsia="Merriweather"/>
                <w:b/>
                <w:color w:val="44546A"/>
                <w:szCs w:val="18"/>
              </w:rPr>
            </w:pPr>
            <w:r w:rsidRPr="00F175A7">
              <w:rPr>
                <w:rFonts w:eastAsia="Merriweather"/>
                <w:b/>
                <w:color w:val="44546A"/>
                <w:szCs w:val="18"/>
              </w:rPr>
              <w:t>Réal</w:t>
            </w:r>
          </w:p>
        </w:tc>
        <w:tc>
          <w:tcPr>
            <w:tcW w:w="483"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3CAB3B1E" w14:textId="77777777" w:rsidR="008737F9" w:rsidRPr="00F175A7" w:rsidRDefault="008737F9" w:rsidP="00F175A7">
            <w:pPr>
              <w:spacing w:after="0" w:line="240" w:lineRule="auto"/>
              <w:jc w:val="center"/>
              <w:rPr>
                <w:rFonts w:eastAsia="Merriweather"/>
                <w:b/>
                <w:color w:val="44546A"/>
                <w:szCs w:val="18"/>
              </w:rPr>
            </w:pPr>
            <w:r w:rsidRPr="00F175A7">
              <w:rPr>
                <w:rFonts w:eastAsia="Merriweather"/>
                <w:b/>
                <w:color w:val="44546A"/>
                <w:szCs w:val="18"/>
              </w:rPr>
              <w:t>Taux (en %)</w:t>
            </w:r>
          </w:p>
        </w:tc>
      </w:tr>
      <w:tr w:rsidR="008737F9" w:rsidRPr="00F175A7" w14:paraId="4CD1D5EC"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12F9ECB1" w14:textId="77777777" w:rsidR="008737F9" w:rsidRPr="00F175A7" w:rsidRDefault="008737F9" w:rsidP="00F175A7">
            <w:pPr>
              <w:spacing w:after="0" w:line="240" w:lineRule="auto"/>
              <w:rPr>
                <w:rFonts w:eastAsia="Merriweather"/>
                <w:b/>
                <w:szCs w:val="18"/>
              </w:rPr>
            </w:pPr>
            <w:r w:rsidRPr="00F175A7">
              <w:rPr>
                <w:rFonts w:eastAsia="Merriweather"/>
                <w:b/>
                <w:szCs w:val="18"/>
              </w:rPr>
              <w:t>Ressources propres</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18FA0417"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1 636,01</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4A7BAC43"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1 928,84</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58C723E"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2 242,59</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78075736"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2 469,04</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4CA9B6A4"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2 543,39</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5D08D84"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103,0%</w:t>
            </w:r>
          </w:p>
        </w:tc>
      </w:tr>
      <w:tr w:rsidR="008737F9" w:rsidRPr="00F175A7" w14:paraId="449D4D3C"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DEEAF6"/>
            <w:tcMar>
              <w:top w:w="0" w:type="dxa"/>
              <w:left w:w="80" w:type="dxa"/>
              <w:bottom w:w="0" w:type="dxa"/>
              <w:right w:w="80" w:type="dxa"/>
            </w:tcMar>
          </w:tcPr>
          <w:p w14:paraId="290897D3" w14:textId="77777777" w:rsidR="008737F9" w:rsidRPr="00F175A7" w:rsidRDefault="008737F9" w:rsidP="00F175A7">
            <w:pPr>
              <w:spacing w:after="0" w:line="240" w:lineRule="auto"/>
              <w:ind w:firstLine="440"/>
              <w:jc w:val="left"/>
              <w:rPr>
                <w:rFonts w:eastAsia="Merriweather"/>
                <w:b/>
                <w:szCs w:val="18"/>
              </w:rPr>
            </w:pPr>
            <w:r w:rsidRPr="00F175A7">
              <w:rPr>
                <w:rFonts w:eastAsia="Merriweather"/>
                <w:b/>
                <w:szCs w:val="18"/>
              </w:rPr>
              <w:t>Recettes courantes</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49B5525E"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1 636,01</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4C25BC62"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1 928,84</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EB8EC71"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2 242,59</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77539A04"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2 469,04</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D488C07"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2 543,39</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4330DD0E"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103,0%</w:t>
            </w:r>
          </w:p>
        </w:tc>
      </w:tr>
      <w:tr w:rsidR="008737F9" w:rsidRPr="00F175A7" w14:paraId="4A4E682E"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61A8C6E5" w14:textId="77777777" w:rsidR="008737F9" w:rsidRPr="00F175A7" w:rsidRDefault="008737F9" w:rsidP="00F175A7">
            <w:pPr>
              <w:spacing w:after="0" w:line="240" w:lineRule="auto"/>
              <w:ind w:firstLine="660"/>
              <w:jc w:val="left"/>
              <w:rPr>
                <w:rFonts w:eastAsia="Merriweather"/>
                <w:szCs w:val="18"/>
              </w:rPr>
            </w:pPr>
            <w:r w:rsidRPr="00F175A7">
              <w:rPr>
                <w:rFonts w:eastAsia="Merriweather"/>
                <w:szCs w:val="18"/>
              </w:rPr>
              <w:t>Recettes fiscales</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2E31FB3"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1 370,33</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7E43EE11"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1 705,79</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F10EC6D"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2 038,99</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174ADAF5"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2 180,09</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DBE95D0"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2 245,95</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38617DF"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103,0%</w:t>
            </w:r>
          </w:p>
        </w:tc>
      </w:tr>
      <w:tr w:rsidR="008737F9" w:rsidRPr="00F175A7" w14:paraId="438848BD"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DEEAF6"/>
            <w:tcMar>
              <w:top w:w="0" w:type="dxa"/>
              <w:left w:w="80" w:type="dxa"/>
              <w:bottom w:w="0" w:type="dxa"/>
              <w:right w:w="80" w:type="dxa"/>
            </w:tcMar>
          </w:tcPr>
          <w:p w14:paraId="3CFF7FF5" w14:textId="77777777" w:rsidR="008737F9" w:rsidRPr="00F175A7" w:rsidRDefault="008737F9" w:rsidP="00F175A7">
            <w:pPr>
              <w:spacing w:after="0" w:line="240" w:lineRule="auto"/>
              <w:ind w:firstLine="660"/>
              <w:jc w:val="left"/>
              <w:rPr>
                <w:rFonts w:eastAsia="Merriweather"/>
                <w:szCs w:val="18"/>
              </w:rPr>
            </w:pPr>
            <w:r w:rsidRPr="00F175A7">
              <w:rPr>
                <w:rFonts w:eastAsia="Merriweather"/>
                <w:szCs w:val="18"/>
              </w:rPr>
              <w:t>Autres recettes</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30DCAC47"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265,69</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1CC9E434"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223,05</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08447284"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203,60</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44E9DA57"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288,95</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A6A11C6"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297,43</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3238AE6D"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102,9%</w:t>
            </w:r>
          </w:p>
        </w:tc>
      </w:tr>
      <w:tr w:rsidR="008737F9" w:rsidRPr="00F175A7" w14:paraId="63FE1AA9"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5E5B5CE4" w14:textId="77777777" w:rsidR="008737F9" w:rsidRPr="00F175A7" w:rsidRDefault="008737F9" w:rsidP="00F175A7">
            <w:pPr>
              <w:spacing w:after="0" w:line="240" w:lineRule="auto"/>
              <w:rPr>
                <w:rFonts w:eastAsia="Merriweather"/>
                <w:b/>
                <w:szCs w:val="18"/>
              </w:rPr>
            </w:pPr>
            <w:r w:rsidRPr="00F175A7">
              <w:rPr>
                <w:rFonts w:eastAsia="Merriweather"/>
                <w:b/>
                <w:szCs w:val="18"/>
              </w:rPr>
              <w:t>Ressources extérieures</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720775AF"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586,37</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33AB921"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533,23</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1EDCF8E3"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454,33</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1E44E466"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554,16</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53FADEEA"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567,11</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5A46AA3F"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102,3%</w:t>
            </w:r>
          </w:p>
        </w:tc>
      </w:tr>
      <w:tr w:rsidR="008737F9" w:rsidRPr="00F175A7" w14:paraId="51B98BAB"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DEEAF6"/>
            <w:tcMar>
              <w:top w:w="0" w:type="dxa"/>
              <w:left w:w="80" w:type="dxa"/>
              <w:bottom w:w="0" w:type="dxa"/>
              <w:right w:w="80" w:type="dxa"/>
            </w:tcMar>
          </w:tcPr>
          <w:p w14:paraId="2651B530" w14:textId="77777777" w:rsidR="008737F9" w:rsidRPr="00F175A7" w:rsidRDefault="008737F9" w:rsidP="00F175A7">
            <w:pPr>
              <w:spacing w:after="0" w:line="240" w:lineRule="auto"/>
              <w:ind w:firstLine="220"/>
              <w:jc w:val="left"/>
              <w:rPr>
                <w:rFonts w:eastAsia="Merriweather"/>
                <w:b/>
                <w:szCs w:val="18"/>
              </w:rPr>
            </w:pPr>
            <w:r w:rsidRPr="00F175A7">
              <w:rPr>
                <w:rFonts w:eastAsia="Merriweather"/>
                <w:b/>
                <w:szCs w:val="18"/>
              </w:rPr>
              <w:t>Appuis budgétaires</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27A0CC94"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300,98</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ED510F2"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62,35</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2EF8032F"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56,74</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7B9EF1CB"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98,87</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1BAF0324"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68,53</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4184270"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69,3%</w:t>
            </w:r>
          </w:p>
        </w:tc>
      </w:tr>
      <w:tr w:rsidR="008737F9" w:rsidRPr="00F175A7" w14:paraId="4A2124D1"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562FF5D0" w14:textId="77777777" w:rsidR="008737F9" w:rsidRPr="00F175A7" w:rsidRDefault="008737F9" w:rsidP="00F175A7">
            <w:pPr>
              <w:spacing w:after="0" w:line="240" w:lineRule="auto"/>
              <w:ind w:firstLine="440"/>
              <w:jc w:val="left"/>
              <w:rPr>
                <w:rFonts w:eastAsia="Merriweather"/>
                <w:szCs w:val="18"/>
              </w:rPr>
            </w:pPr>
            <w:r w:rsidRPr="00F175A7">
              <w:rPr>
                <w:rFonts w:eastAsia="Merriweather"/>
                <w:szCs w:val="18"/>
              </w:rPr>
              <w:t>Dons</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8F60C79"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161,37</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6249449D"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0,00</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FDA1FE4"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0,00</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5E063409"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43,87</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2F071EAD"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0,00</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3F30B1C8"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0,0%</w:t>
            </w:r>
          </w:p>
        </w:tc>
      </w:tr>
      <w:tr w:rsidR="008737F9" w:rsidRPr="00F175A7" w14:paraId="1BF61759"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DEEAF6"/>
            <w:tcMar>
              <w:top w:w="0" w:type="dxa"/>
              <w:left w:w="80" w:type="dxa"/>
              <w:bottom w:w="0" w:type="dxa"/>
              <w:right w:w="80" w:type="dxa"/>
            </w:tcMar>
          </w:tcPr>
          <w:p w14:paraId="748E33A0" w14:textId="77777777" w:rsidR="008737F9" w:rsidRPr="00F175A7" w:rsidRDefault="008737F9" w:rsidP="00F175A7">
            <w:pPr>
              <w:spacing w:after="0" w:line="240" w:lineRule="auto"/>
              <w:ind w:firstLine="440"/>
              <w:jc w:val="left"/>
              <w:rPr>
                <w:rFonts w:eastAsia="Merriweather"/>
                <w:szCs w:val="18"/>
              </w:rPr>
            </w:pPr>
            <w:r w:rsidRPr="00F175A7">
              <w:rPr>
                <w:rFonts w:eastAsia="Merriweather"/>
                <w:szCs w:val="18"/>
              </w:rPr>
              <w:t>Prêts</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0E5F68D4"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139,61</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7D454F79"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62,35</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6706D994"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56,74</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0CD5F017"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55,00</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0668565C"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68,53</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6BC5BD25"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124,6%</w:t>
            </w:r>
          </w:p>
        </w:tc>
      </w:tr>
      <w:tr w:rsidR="008737F9" w:rsidRPr="00F175A7" w14:paraId="52C71D3E"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4AEA822E" w14:textId="77777777" w:rsidR="008737F9" w:rsidRPr="00F175A7" w:rsidRDefault="008737F9" w:rsidP="00F175A7">
            <w:pPr>
              <w:spacing w:after="0" w:line="240" w:lineRule="auto"/>
              <w:ind w:firstLine="220"/>
              <w:jc w:val="left"/>
              <w:rPr>
                <w:rFonts w:eastAsia="Merriweather"/>
                <w:b/>
                <w:szCs w:val="18"/>
              </w:rPr>
            </w:pPr>
            <w:r w:rsidRPr="00F175A7">
              <w:rPr>
                <w:rFonts w:eastAsia="Merriweather"/>
                <w:b/>
                <w:szCs w:val="18"/>
              </w:rPr>
              <w:t>Appuis projets</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2190F82D"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285,39</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18DAB8A"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470,88</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42FABB21"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397,59</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27E9AD58"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455,29</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4AABBFF7"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498,58</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39F04D02"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109,5%</w:t>
            </w:r>
          </w:p>
        </w:tc>
      </w:tr>
      <w:tr w:rsidR="008737F9" w:rsidRPr="00F175A7" w14:paraId="151122E3"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DEEAF6"/>
            <w:tcMar>
              <w:top w:w="0" w:type="dxa"/>
              <w:left w:w="80" w:type="dxa"/>
              <w:bottom w:w="0" w:type="dxa"/>
              <w:right w:w="80" w:type="dxa"/>
            </w:tcMar>
          </w:tcPr>
          <w:p w14:paraId="3BB9B35B" w14:textId="77777777" w:rsidR="008737F9" w:rsidRPr="00F175A7" w:rsidRDefault="008737F9" w:rsidP="00F175A7">
            <w:pPr>
              <w:spacing w:after="0" w:line="240" w:lineRule="auto"/>
              <w:ind w:firstLine="440"/>
              <w:jc w:val="left"/>
              <w:rPr>
                <w:rFonts w:eastAsia="Merriweather"/>
                <w:szCs w:val="18"/>
              </w:rPr>
            </w:pPr>
            <w:r w:rsidRPr="00F175A7">
              <w:rPr>
                <w:rFonts w:eastAsia="Merriweather"/>
                <w:szCs w:val="18"/>
              </w:rPr>
              <w:t>Dons</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E22901C"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141,93</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6EFF6B25"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179,30</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57BE56A3"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202,80</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3C0E9025"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239,59</w:t>
            </w:r>
          </w:p>
        </w:tc>
        <w:tc>
          <w:tcPr>
            <w:tcW w:w="669" w:type="pct"/>
            <w:tcBorders>
              <w:top w:val="nil"/>
              <w:left w:val="nil"/>
              <w:bottom w:val="single" w:sz="6" w:space="0" w:color="9CC2E5"/>
              <w:right w:val="single" w:sz="6" w:space="0" w:color="9CC2E5"/>
            </w:tcBorders>
            <w:shd w:val="clear" w:color="auto" w:fill="DEEAF6"/>
            <w:tcMar>
              <w:top w:w="0" w:type="dxa"/>
              <w:left w:w="80" w:type="dxa"/>
              <w:bottom w:w="0" w:type="dxa"/>
              <w:right w:w="80" w:type="dxa"/>
            </w:tcMar>
          </w:tcPr>
          <w:p w14:paraId="15BCA89F"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203,50</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19D92B0"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84,9%</w:t>
            </w:r>
          </w:p>
        </w:tc>
      </w:tr>
      <w:tr w:rsidR="008737F9" w:rsidRPr="00F175A7" w14:paraId="49B55FF9"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4D7413BD" w14:textId="77777777" w:rsidR="008737F9" w:rsidRPr="00F175A7" w:rsidRDefault="008737F9" w:rsidP="00F175A7">
            <w:pPr>
              <w:spacing w:after="0" w:line="240" w:lineRule="auto"/>
              <w:ind w:firstLine="440"/>
              <w:jc w:val="left"/>
              <w:rPr>
                <w:rFonts w:eastAsia="Merriweather"/>
                <w:szCs w:val="18"/>
              </w:rPr>
            </w:pPr>
            <w:r w:rsidRPr="00F175A7">
              <w:rPr>
                <w:rFonts w:eastAsia="Merriweather"/>
                <w:szCs w:val="18"/>
              </w:rPr>
              <w:t>Prêts</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7926249E"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143,46</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4757B995"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291,57</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B777075"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194,79</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0021FE7E"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215,70</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332CCDEA"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295,08</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58E44EF1"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136,8%</w:t>
            </w:r>
          </w:p>
        </w:tc>
      </w:tr>
      <w:tr w:rsidR="008737F9" w:rsidRPr="00F175A7" w14:paraId="601F6E2D" w14:textId="77777777" w:rsidTr="008737F9">
        <w:trPr>
          <w:trHeight w:val="20"/>
        </w:trPr>
        <w:tc>
          <w:tcPr>
            <w:tcW w:w="1169" w:type="pct"/>
            <w:tcBorders>
              <w:top w:val="nil"/>
              <w:left w:val="single" w:sz="6" w:space="0" w:color="9CC2E5"/>
              <w:bottom w:val="single" w:sz="6" w:space="0" w:color="9CC2E5"/>
              <w:right w:val="single" w:sz="6" w:space="0" w:color="9CC2E5"/>
            </w:tcBorders>
            <w:shd w:val="clear" w:color="auto" w:fill="auto"/>
            <w:tcMar>
              <w:top w:w="0" w:type="dxa"/>
              <w:left w:w="80" w:type="dxa"/>
              <w:bottom w:w="0" w:type="dxa"/>
              <w:right w:w="80" w:type="dxa"/>
            </w:tcMar>
          </w:tcPr>
          <w:p w14:paraId="4E2FA6ED" w14:textId="77777777" w:rsidR="008737F9" w:rsidRPr="00F175A7" w:rsidRDefault="008737F9" w:rsidP="00F175A7">
            <w:pPr>
              <w:spacing w:after="0" w:line="240" w:lineRule="auto"/>
              <w:rPr>
                <w:rFonts w:eastAsia="Merriweather"/>
                <w:b/>
                <w:szCs w:val="18"/>
              </w:rPr>
            </w:pPr>
            <w:r w:rsidRPr="00F175A7">
              <w:rPr>
                <w:rFonts w:eastAsia="Merriweather"/>
                <w:b/>
                <w:szCs w:val="18"/>
              </w:rPr>
              <w:t>Total des ressources</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1523B947"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2 222,38</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168790D8"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2 462,07</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69CC5CD9"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2 696,92</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6012DB61"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3 023,20</w:t>
            </w:r>
          </w:p>
        </w:tc>
        <w:tc>
          <w:tcPr>
            <w:tcW w:w="669"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4E76FD51" w14:textId="77777777" w:rsidR="008737F9" w:rsidRPr="00F175A7" w:rsidRDefault="008737F9" w:rsidP="00F175A7">
            <w:pPr>
              <w:spacing w:after="0" w:line="240" w:lineRule="auto"/>
              <w:jc w:val="right"/>
              <w:rPr>
                <w:rFonts w:eastAsia="Merriweather"/>
                <w:b/>
                <w:szCs w:val="18"/>
              </w:rPr>
            </w:pPr>
            <w:r w:rsidRPr="00F175A7">
              <w:rPr>
                <w:rFonts w:eastAsia="Merriweather"/>
                <w:b/>
                <w:szCs w:val="18"/>
              </w:rPr>
              <w:t>3 110,50</w:t>
            </w:r>
          </w:p>
        </w:tc>
        <w:tc>
          <w:tcPr>
            <w:tcW w:w="483" w:type="pct"/>
            <w:tcBorders>
              <w:top w:val="nil"/>
              <w:left w:val="nil"/>
              <w:bottom w:val="single" w:sz="6" w:space="0" w:color="9CC2E5"/>
              <w:right w:val="single" w:sz="6" w:space="0" w:color="9CC2E5"/>
            </w:tcBorders>
            <w:shd w:val="clear" w:color="auto" w:fill="auto"/>
            <w:tcMar>
              <w:top w:w="0" w:type="dxa"/>
              <w:left w:w="80" w:type="dxa"/>
              <w:bottom w:w="0" w:type="dxa"/>
              <w:right w:w="80" w:type="dxa"/>
            </w:tcMar>
          </w:tcPr>
          <w:p w14:paraId="45E0E78A" w14:textId="77777777" w:rsidR="008737F9" w:rsidRPr="00F175A7" w:rsidRDefault="008737F9" w:rsidP="00F175A7">
            <w:pPr>
              <w:spacing w:after="0" w:line="240" w:lineRule="auto"/>
              <w:jc w:val="right"/>
              <w:rPr>
                <w:rFonts w:eastAsia="Merriweather"/>
                <w:szCs w:val="18"/>
              </w:rPr>
            </w:pPr>
            <w:r w:rsidRPr="00F175A7">
              <w:rPr>
                <w:rFonts w:eastAsia="Merriweather"/>
                <w:szCs w:val="18"/>
              </w:rPr>
              <w:t>102,9%</w:t>
            </w:r>
          </w:p>
        </w:tc>
      </w:tr>
    </w:tbl>
    <w:p w14:paraId="2B8E240A" w14:textId="07BA19F5" w:rsidR="005A6367" w:rsidRPr="008D2129" w:rsidRDefault="00AE4FA3" w:rsidP="003054CD">
      <w:pPr>
        <w:widowControl w:val="0"/>
        <w:spacing w:line="240" w:lineRule="auto"/>
        <w:rPr>
          <w:lang w:eastAsia="fr-FR"/>
        </w:rPr>
      </w:pPr>
      <w:r w:rsidRPr="008D2129">
        <w:rPr>
          <w:rFonts w:eastAsia="Calibri"/>
          <w:b/>
          <w:sz w:val="20"/>
          <w:szCs w:val="20"/>
          <w:u w:val="single"/>
        </w:rPr>
        <w:t>Source</w:t>
      </w:r>
      <w:r w:rsidRPr="008D2129">
        <w:rPr>
          <w:rFonts w:eastAsia="Calibri"/>
          <w:sz w:val="20"/>
          <w:szCs w:val="20"/>
        </w:rPr>
        <w:t xml:space="preserve"> : conçu à partir des données du tableau des opérations financières de l’Etat (TOFE), </w:t>
      </w:r>
      <w:r w:rsidR="00CA5879" w:rsidRPr="008D2129">
        <w:rPr>
          <w:rFonts w:eastAsia="Calibri"/>
          <w:sz w:val="20"/>
          <w:szCs w:val="20"/>
        </w:rPr>
        <w:t>février 2024</w:t>
      </w:r>
      <w:r w:rsidRPr="008D2129">
        <w:rPr>
          <w:rFonts w:eastAsia="Calibri"/>
          <w:sz w:val="20"/>
          <w:szCs w:val="20"/>
        </w:rPr>
        <w:t>, Direction générale du Trésor et de la Comptabilité publique (DGTCP)</w:t>
      </w:r>
    </w:p>
    <w:p w14:paraId="07579AAA" w14:textId="77777777" w:rsidR="000607F0" w:rsidRPr="008D2129" w:rsidRDefault="000607F0" w:rsidP="000607F0">
      <w:pPr>
        <w:rPr>
          <w:lang w:eastAsia="fr-FR"/>
        </w:rPr>
        <w:sectPr w:rsidR="000607F0" w:rsidRPr="008D2129" w:rsidSect="007E167D">
          <w:pgSz w:w="16838" w:h="11906" w:orient="landscape"/>
          <w:pgMar w:top="1440" w:right="1440" w:bottom="1440" w:left="1440" w:header="708" w:footer="708" w:gutter="0"/>
          <w:cols w:space="708"/>
          <w:docGrid w:linePitch="360"/>
        </w:sectPr>
      </w:pPr>
    </w:p>
    <w:p w14:paraId="19ACBCA9" w14:textId="6EFB1E7F" w:rsidR="00537AF7" w:rsidRPr="00537AF7" w:rsidRDefault="000C6BF9" w:rsidP="00537AF7">
      <w:pPr>
        <w:pStyle w:val="PAT2"/>
      </w:pPr>
      <w:bookmarkStart w:id="207" w:name="_Toc41829432"/>
      <w:bookmarkStart w:id="208" w:name="_Toc41829630"/>
      <w:bookmarkStart w:id="209" w:name="_Toc71110317"/>
      <w:bookmarkStart w:id="210" w:name="_Toc71110515"/>
      <w:bookmarkStart w:id="211" w:name="_Toc163141254"/>
      <w:bookmarkStart w:id="212" w:name="_Toc164692893"/>
      <w:r w:rsidRPr="008D2129">
        <w:lastRenderedPageBreak/>
        <w:t>Analyse de l'efficacité de la coopération au développement</w:t>
      </w:r>
      <w:bookmarkEnd w:id="207"/>
      <w:bookmarkEnd w:id="208"/>
      <w:bookmarkEnd w:id="209"/>
      <w:bookmarkEnd w:id="210"/>
      <w:bookmarkEnd w:id="211"/>
      <w:bookmarkEnd w:id="212"/>
    </w:p>
    <w:p w14:paraId="2E0BF15A" w14:textId="7B3642F0" w:rsidR="00537AF7" w:rsidRPr="00537AF7" w:rsidRDefault="00537AF7" w:rsidP="00F175A7">
      <w:pPr>
        <w:numPr>
          <w:ilvl w:val="0"/>
          <w:numId w:val="8"/>
        </w:numPr>
        <w:shd w:val="clear" w:color="auto" w:fill="FFFFFF"/>
        <w:spacing w:before="120" w:after="120" w:line="240" w:lineRule="auto"/>
        <w:ind w:left="0"/>
        <w:rPr>
          <w:rFonts w:eastAsia="Calibri"/>
          <w:szCs w:val="24"/>
        </w:rPr>
      </w:pPr>
      <w:r w:rsidRPr="00537AF7">
        <w:rPr>
          <w:rFonts w:eastAsia="Calibri"/>
          <w:szCs w:val="24"/>
        </w:rPr>
        <w:t xml:space="preserve">L’efficacité de la coopération au développement est appréciée à l’aune </w:t>
      </w:r>
      <w:r w:rsidR="00F842B7">
        <w:rPr>
          <w:rFonts w:eastAsia="Calibri"/>
          <w:szCs w:val="24"/>
        </w:rPr>
        <w:t xml:space="preserve">d’une part, </w:t>
      </w:r>
      <w:r w:rsidRPr="00537AF7">
        <w:rPr>
          <w:rFonts w:eastAsia="Calibri"/>
          <w:szCs w:val="24"/>
        </w:rPr>
        <w:t>du niveau de décaissement et d’exécution des appuis projets et des appuis budgétaires mobilisés</w:t>
      </w:r>
      <w:r w:rsidR="00F842B7">
        <w:rPr>
          <w:rFonts w:eastAsia="Calibri"/>
          <w:szCs w:val="24"/>
        </w:rPr>
        <w:t xml:space="preserve"> et d’autre de la contribution financière des CT</w:t>
      </w:r>
      <w:r w:rsidRPr="00537AF7">
        <w:rPr>
          <w:rFonts w:eastAsia="Calibri"/>
          <w:szCs w:val="24"/>
        </w:rPr>
        <w:t>. En fin décembre 2023, sur un total de 1 058,09 milliards FCFA d’appuis prévus par 13 des 14 CSD, seulement 645,87 milliards FCFA ont été décaissés, soit un taux de décaissement relativement moyen de 61,0%. Toutefois, le niveau d’absorption reste satisfaisant avec un taux moyen estimé à 80,5%. Sur les 645,87 milliards FCFA décaissés, 519,70 milliards FCFA ont été dépensés.</w:t>
      </w:r>
    </w:p>
    <w:p w14:paraId="1B36D7D9" w14:textId="77777777" w:rsidR="00537AF7" w:rsidRPr="00537AF7" w:rsidRDefault="00537AF7" w:rsidP="00F175A7">
      <w:pPr>
        <w:numPr>
          <w:ilvl w:val="0"/>
          <w:numId w:val="8"/>
        </w:numPr>
        <w:shd w:val="clear" w:color="auto" w:fill="FFFFFF"/>
        <w:spacing w:before="120" w:after="120" w:line="240" w:lineRule="auto"/>
        <w:ind w:left="0"/>
        <w:rPr>
          <w:rFonts w:eastAsia="Calibri"/>
          <w:szCs w:val="24"/>
        </w:rPr>
      </w:pPr>
      <w:r w:rsidRPr="00537AF7">
        <w:rPr>
          <w:rFonts w:eastAsia="Calibri"/>
          <w:szCs w:val="24"/>
        </w:rPr>
        <w:t>Le Tableau 97 donne pour l'ensemble des 14 CSD, le niveau de décaissement et d'absorption des ressources des projets et programmes en 2023.</w:t>
      </w:r>
    </w:p>
    <w:p w14:paraId="2203649E" w14:textId="77777777" w:rsidR="00537AF7" w:rsidRPr="00537AF7" w:rsidRDefault="00537AF7" w:rsidP="00F175A7">
      <w:pPr>
        <w:numPr>
          <w:ilvl w:val="0"/>
          <w:numId w:val="8"/>
        </w:numPr>
        <w:shd w:val="clear" w:color="auto" w:fill="FFFFFF"/>
        <w:spacing w:before="120" w:after="120" w:line="240" w:lineRule="auto"/>
        <w:ind w:left="0"/>
        <w:rPr>
          <w:rFonts w:eastAsia="Calibri"/>
          <w:szCs w:val="24"/>
        </w:rPr>
      </w:pPr>
      <w:r w:rsidRPr="00537AF7">
        <w:rPr>
          <w:rFonts w:eastAsia="Calibri"/>
          <w:szCs w:val="24"/>
        </w:rPr>
        <w:t>Il ressort du tableau que le taux d’absorption des ressources est compris entre 42,2% pour le CSD- ITCH et 111,9% pour le CSD-CSM. A l’exception du CSD-JDH qui enregistre moins de 50% et dans une moindre mesure les CSD-JDH, EF et TEPS avec des taux respectifs de 62,5%, 71,79% et 74,29%, tous les autres CSD affichent au moins un taux d’absorption des ressources supérieur au taux moyen.</w:t>
      </w:r>
    </w:p>
    <w:p w14:paraId="7737D17E" w14:textId="62B07AC6" w:rsidR="00537AF7" w:rsidRPr="00537AF7" w:rsidRDefault="00537AF7" w:rsidP="00F175A7">
      <w:pPr>
        <w:numPr>
          <w:ilvl w:val="0"/>
          <w:numId w:val="8"/>
        </w:numPr>
        <w:shd w:val="clear" w:color="auto" w:fill="FFFFFF"/>
        <w:spacing w:before="120" w:after="120" w:line="240" w:lineRule="auto"/>
        <w:ind w:left="0"/>
        <w:rPr>
          <w:rFonts w:eastAsia="Calibri"/>
          <w:szCs w:val="24"/>
        </w:rPr>
      </w:pPr>
      <w:r w:rsidRPr="00537AF7">
        <w:rPr>
          <w:rFonts w:eastAsia="Calibri"/>
          <w:szCs w:val="24"/>
        </w:rPr>
        <w:t>S’agissant du taux de décaissement, les taux varient entre 35,6% pour le CSD-TEPS et 99% pour les CSD-DS et CTSL. En plus du CSD-TEPS, trois (03) CSD ont un niveau de décaissement inférieur au taux moyen de 61%. Il s’agit des CSD-santé (43,0%), ITCH (44,5%) et du CSD-TIA (50,4%).</w:t>
      </w:r>
    </w:p>
    <w:p w14:paraId="336CD5A5" w14:textId="7AAC66CB" w:rsidR="00537AF7" w:rsidRPr="0042784A" w:rsidRDefault="00006208" w:rsidP="008139E1">
      <w:pPr>
        <w:pStyle w:val="Lgende"/>
        <w:rPr>
          <w:rFonts w:eastAsia="Times New Roman" w:cs="Times New Roman"/>
          <w:iCs w:val="0"/>
          <w:color w:val="auto"/>
          <w:sz w:val="22"/>
        </w:rPr>
      </w:pPr>
      <w:bookmarkStart w:id="213" w:name="_Toc164503681"/>
      <w:r w:rsidRPr="009A288B">
        <w:rPr>
          <w:b/>
          <w:i w:val="0"/>
          <w:color w:val="auto"/>
          <w:sz w:val="22"/>
          <w:szCs w:val="22"/>
          <w:u w:val="single"/>
        </w:rPr>
        <w:t xml:space="preserve">Tableau </w:t>
      </w:r>
      <w:r w:rsidRPr="009A288B">
        <w:rPr>
          <w:b/>
          <w:i w:val="0"/>
          <w:color w:val="auto"/>
          <w:sz w:val="22"/>
          <w:szCs w:val="22"/>
          <w:u w:val="single"/>
        </w:rPr>
        <w:fldChar w:fldCharType="begin"/>
      </w:r>
      <w:r w:rsidRPr="009A288B">
        <w:rPr>
          <w:b/>
          <w:i w:val="0"/>
          <w:color w:val="auto"/>
          <w:sz w:val="22"/>
          <w:szCs w:val="22"/>
          <w:u w:val="single"/>
        </w:rPr>
        <w:instrText xml:space="preserve"> SEQ Tableau \* ARABIC </w:instrText>
      </w:r>
      <w:r w:rsidRPr="009A288B">
        <w:rPr>
          <w:b/>
          <w:i w:val="0"/>
          <w:color w:val="auto"/>
          <w:sz w:val="22"/>
          <w:szCs w:val="22"/>
          <w:u w:val="single"/>
        </w:rPr>
        <w:fldChar w:fldCharType="separate"/>
      </w:r>
      <w:r w:rsidR="007C2E4E">
        <w:rPr>
          <w:b/>
          <w:i w:val="0"/>
          <w:noProof/>
          <w:color w:val="auto"/>
          <w:sz w:val="22"/>
          <w:szCs w:val="22"/>
          <w:u w:val="single"/>
        </w:rPr>
        <w:t>94</w:t>
      </w:r>
      <w:r w:rsidRPr="009A288B">
        <w:rPr>
          <w:b/>
          <w:i w:val="0"/>
          <w:color w:val="auto"/>
          <w:sz w:val="22"/>
          <w:szCs w:val="22"/>
          <w:u w:val="single"/>
        </w:rPr>
        <w:fldChar w:fldCharType="end"/>
      </w:r>
      <w:r w:rsidRPr="009A288B">
        <w:rPr>
          <w:i w:val="0"/>
          <w:color w:val="auto"/>
          <w:sz w:val="24"/>
          <w:szCs w:val="24"/>
        </w:rPr>
        <w:t>: décaissement et exécution des ressources des projets et programmes en 2023</w:t>
      </w:r>
      <w:bookmarkEnd w:id="213"/>
    </w:p>
    <w:tbl>
      <w:tblPr>
        <w:tblStyle w:val="TableauGrille4-Accentuation119"/>
        <w:tblW w:w="0" w:type="auto"/>
        <w:tblLook w:val="04A0" w:firstRow="1" w:lastRow="0" w:firstColumn="1" w:lastColumn="0" w:noHBand="0" w:noVBand="1"/>
      </w:tblPr>
      <w:tblGrid>
        <w:gridCol w:w="1355"/>
        <w:gridCol w:w="1765"/>
        <w:gridCol w:w="1587"/>
        <w:gridCol w:w="1408"/>
        <w:gridCol w:w="1462"/>
        <w:gridCol w:w="1439"/>
      </w:tblGrid>
      <w:tr w:rsidR="00537AF7" w:rsidRPr="00F175A7" w14:paraId="5273FAAD" w14:textId="77777777" w:rsidTr="002203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5" w:type="dxa"/>
          </w:tcPr>
          <w:p w14:paraId="714CF2FB" w14:textId="77777777" w:rsidR="00537AF7" w:rsidRPr="00F175A7" w:rsidRDefault="00537AF7" w:rsidP="00F175A7">
            <w:pPr>
              <w:spacing w:after="0" w:line="240" w:lineRule="auto"/>
              <w:ind w:firstLine="0"/>
              <w:rPr>
                <w:rFonts w:eastAsia="Times New Roman" w:cs="Times New Roman"/>
                <w:szCs w:val="20"/>
              </w:rPr>
            </w:pPr>
            <w:r w:rsidRPr="00F175A7">
              <w:rPr>
                <w:rFonts w:eastAsia="Times New Roman" w:cs="Times New Roman"/>
                <w:szCs w:val="20"/>
              </w:rPr>
              <w:t>Intitulé du projet</w:t>
            </w:r>
          </w:p>
        </w:tc>
        <w:tc>
          <w:tcPr>
            <w:tcW w:w="1765" w:type="dxa"/>
          </w:tcPr>
          <w:p w14:paraId="3012716F" w14:textId="77777777" w:rsidR="00537AF7" w:rsidRPr="00F175A7" w:rsidRDefault="00537AF7"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Programmation (en milliards FCFA)</w:t>
            </w:r>
          </w:p>
        </w:tc>
        <w:tc>
          <w:tcPr>
            <w:tcW w:w="1587" w:type="dxa"/>
          </w:tcPr>
          <w:p w14:paraId="4E9678AE" w14:textId="77777777" w:rsidR="00537AF7" w:rsidRPr="00F175A7" w:rsidRDefault="00537AF7"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Décaissement (en milliards FCFA)</w:t>
            </w:r>
          </w:p>
        </w:tc>
        <w:tc>
          <w:tcPr>
            <w:tcW w:w="1408" w:type="dxa"/>
          </w:tcPr>
          <w:p w14:paraId="7DA07E61" w14:textId="77777777" w:rsidR="00537AF7" w:rsidRPr="00F175A7" w:rsidRDefault="00537AF7"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Dépenses (en milliards FCFA)</w:t>
            </w:r>
          </w:p>
        </w:tc>
        <w:tc>
          <w:tcPr>
            <w:tcW w:w="1462" w:type="dxa"/>
          </w:tcPr>
          <w:p w14:paraId="111D40E8" w14:textId="77777777" w:rsidR="00537AF7" w:rsidRPr="00F175A7" w:rsidRDefault="00537AF7"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Taux de décaissement (%)</w:t>
            </w:r>
          </w:p>
        </w:tc>
        <w:tc>
          <w:tcPr>
            <w:tcW w:w="1439" w:type="dxa"/>
          </w:tcPr>
          <w:p w14:paraId="2A4FCCE3" w14:textId="77777777" w:rsidR="00537AF7" w:rsidRPr="00F175A7" w:rsidRDefault="00537AF7" w:rsidP="00F175A7">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Taux d'absorption (%)</w:t>
            </w:r>
          </w:p>
        </w:tc>
      </w:tr>
      <w:tr w:rsidR="00537AF7" w:rsidRPr="00F175A7" w14:paraId="0403084B"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4664B35C"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CSD-CSM</w:t>
            </w:r>
          </w:p>
        </w:tc>
        <w:tc>
          <w:tcPr>
            <w:tcW w:w="1765" w:type="dxa"/>
          </w:tcPr>
          <w:p w14:paraId="2041BB92"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3,07</w:t>
            </w:r>
          </w:p>
        </w:tc>
        <w:tc>
          <w:tcPr>
            <w:tcW w:w="1587" w:type="dxa"/>
          </w:tcPr>
          <w:p w14:paraId="14C5A024"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2,18</w:t>
            </w:r>
          </w:p>
        </w:tc>
        <w:tc>
          <w:tcPr>
            <w:tcW w:w="1408" w:type="dxa"/>
          </w:tcPr>
          <w:p w14:paraId="7C9D3F3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2,44</w:t>
            </w:r>
          </w:p>
        </w:tc>
        <w:tc>
          <w:tcPr>
            <w:tcW w:w="1462" w:type="dxa"/>
          </w:tcPr>
          <w:p w14:paraId="378F45C0"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71,01</w:t>
            </w:r>
          </w:p>
        </w:tc>
        <w:tc>
          <w:tcPr>
            <w:tcW w:w="1439" w:type="dxa"/>
          </w:tcPr>
          <w:p w14:paraId="0E739AB7"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111,93</w:t>
            </w:r>
          </w:p>
        </w:tc>
      </w:tr>
      <w:tr w:rsidR="00537AF7" w:rsidRPr="00F175A7" w14:paraId="61E4D213"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0361E65D"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CSD-CTSL</w:t>
            </w:r>
          </w:p>
        </w:tc>
        <w:tc>
          <w:tcPr>
            <w:tcW w:w="1765" w:type="dxa"/>
          </w:tcPr>
          <w:p w14:paraId="5DCF2B57"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3,09</w:t>
            </w:r>
          </w:p>
        </w:tc>
        <w:tc>
          <w:tcPr>
            <w:tcW w:w="1587" w:type="dxa"/>
          </w:tcPr>
          <w:p w14:paraId="6FBE933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3,06</w:t>
            </w:r>
          </w:p>
        </w:tc>
        <w:tc>
          <w:tcPr>
            <w:tcW w:w="1408" w:type="dxa"/>
          </w:tcPr>
          <w:p w14:paraId="7D23041D"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2,71</w:t>
            </w:r>
          </w:p>
        </w:tc>
        <w:tc>
          <w:tcPr>
            <w:tcW w:w="1462" w:type="dxa"/>
          </w:tcPr>
          <w:p w14:paraId="4361CA0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99,03</w:t>
            </w:r>
          </w:p>
        </w:tc>
        <w:tc>
          <w:tcPr>
            <w:tcW w:w="1439" w:type="dxa"/>
          </w:tcPr>
          <w:p w14:paraId="1990C511"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88,56</w:t>
            </w:r>
          </w:p>
        </w:tc>
      </w:tr>
      <w:tr w:rsidR="00537AF7" w:rsidRPr="00F175A7" w14:paraId="22C2A9A5"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225C05E2"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CSD-DS</w:t>
            </w:r>
          </w:p>
        </w:tc>
        <w:tc>
          <w:tcPr>
            <w:tcW w:w="1765" w:type="dxa"/>
          </w:tcPr>
          <w:p w14:paraId="3F5A86EB"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32,5</w:t>
            </w:r>
          </w:p>
        </w:tc>
        <w:tc>
          <w:tcPr>
            <w:tcW w:w="1587" w:type="dxa"/>
          </w:tcPr>
          <w:p w14:paraId="0EF6BAB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32,2</w:t>
            </w:r>
          </w:p>
        </w:tc>
        <w:tc>
          <w:tcPr>
            <w:tcW w:w="1408" w:type="dxa"/>
          </w:tcPr>
          <w:p w14:paraId="2A65D40D"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26,3</w:t>
            </w:r>
          </w:p>
        </w:tc>
        <w:tc>
          <w:tcPr>
            <w:tcW w:w="1462" w:type="dxa"/>
          </w:tcPr>
          <w:p w14:paraId="1F84BAD6"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99,08</w:t>
            </w:r>
          </w:p>
        </w:tc>
        <w:tc>
          <w:tcPr>
            <w:tcW w:w="1439" w:type="dxa"/>
          </w:tcPr>
          <w:p w14:paraId="42005B7D"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81,68</w:t>
            </w:r>
          </w:p>
        </w:tc>
      </w:tr>
      <w:tr w:rsidR="00537AF7" w:rsidRPr="00F175A7" w14:paraId="4100091F"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20F2F39D"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CSD-EF</w:t>
            </w:r>
          </w:p>
        </w:tc>
        <w:tc>
          <w:tcPr>
            <w:tcW w:w="1765" w:type="dxa"/>
          </w:tcPr>
          <w:p w14:paraId="23788B41"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54,35</w:t>
            </w:r>
          </w:p>
        </w:tc>
        <w:tc>
          <w:tcPr>
            <w:tcW w:w="1587" w:type="dxa"/>
          </w:tcPr>
          <w:p w14:paraId="6282FF73"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47,44</w:t>
            </w:r>
          </w:p>
        </w:tc>
        <w:tc>
          <w:tcPr>
            <w:tcW w:w="1408" w:type="dxa"/>
          </w:tcPr>
          <w:p w14:paraId="568EB984"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34,06</w:t>
            </w:r>
          </w:p>
        </w:tc>
        <w:tc>
          <w:tcPr>
            <w:tcW w:w="1462" w:type="dxa"/>
          </w:tcPr>
          <w:p w14:paraId="3C6FD585"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87,30</w:t>
            </w:r>
          </w:p>
        </w:tc>
        <w:tc>
          <w:tcPr>
            <w:tcW w:w="1439" w:type="dxa"/>
          </w:tcPr>
          <w:p w14:paraId="295F1D9E"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71,79</w:t>
            </w:r>
          </w:p>
        </w:tc>
      </w:tr>
      <w:tr w:rsidR="00537AF7" w:rsidRPr="00F175A7" w14:paraId="3CA329B7"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396AB21E"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CSD-EEA</w:t>
            </w:r>
          </w:p>
        </w:tc>
        <w:tc>
          <w:tcPr>
            <w:tcW w:w="1765" w:type="dxa"/>
          </w:tcPr>
          <w:p w14:paraId="4D400A2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93,15</w:t>
            </w:r>
          </w:p>
        </w:tc>
        <w:tc>
          <w:tcPr>
            <w:tcW w:w="1587" w:type="dxa"/>
          </w:tcPr>
          <w:p w14:paraId="2CD2718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62,95</w:t>
            </w:r>
          </w:p>
        </w:tc>
        <w:tc>
          <w:tcPr>
            <w:tcW w:w="1408" w:type="dxa"/>
          </w:tcPr>
          <w:p w14:paraId="205A2F72"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50,71</w:t>
            </w:r>
          </w:p>
        </w:tc>
        <w:tc>
          <w:tcPr>
            <w:tcW w:w="1462" w:type="dxa"/>
          </w:tcPr>
          <w:p w14:paraId="3EDAF55E"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67,58</w:t>
            </w:r>
          </w:p>
        </w:tc>
        <w:tc>
          <w:tcPr>
            <w:tcW w:w="1439" w:type="dxa"/>
          </w:tcPr>
          <w:p w14:paraId="7103DF87"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80,55</w:t>
            </w:r>
          </w:p>
        </w:tc>
      </w:tr>
      <w:tr w:rsidR="00537AF7" w:rsidRPr="00F175A7" w14:paraId="0E5764CD"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5A842C11"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CSD-GAL</w:t>
            </w:r>
          </w:p>
        </w:tc>
        <w:tc>
          <w:tcPr>
            <w:tcW w:w="1765" w:type="dxa"/>
          </w:tcPr>
          <w:p w14:paraId="1B9B792C"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11,1</w:t>
            </w:r>
          </w:p>
        </w:tc>
        <w:tc>
          <w:tcPr>
            <w:tcW w:w="1587" w:type="dxa"/>
          </w:tcPr>
          <w:p w14:paraId="36843D2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9</w:t>
            </w:r>
          </w:p>
        </w:tc>
        <w:tc>
          <w:tcPr>
            <w:tcW w:w="1408" w:type="dxa"/>
          </w:tcPr>
          <w:p w14:paraId="0A2B463C"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7,6</w:t>
            </w:r>
          </w:p>
        </w:tc>
        <w:tc>
          <w:tcPr>
            <w:tcW w:w="1462" w:type="dxa"/>
          </w:tcPr>
          <w:p w14:paraId="39321455"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81,08</w:t>
            </w:r>
          </w:p>
        </w:tc>
        <w:tc>
          <w:tcPr>
            <w:tcW w:w="1439" w:type="dxa"/>
          </w:tcPr>
          <w:p w14:paraId="5142E4FB"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84,44</w:t>
            </w:r>
          </w:p>
        </w:tc>
      </w:tr>
      <w:tr w:rsidR="00537AF7" w:rsidRPr="00F175A7" w14:paraId="4D508C72"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49C2CA5D"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CSD-GE</w:t>
            </w:r>
          </w:p>
        </w:tc>
        <w:tc>
          <w:tcPr>
            <w:tcW w:w="1765" w:type="dxa"/>
          </w:tcPr>
          <w:p w14:paraId="50DA2CF9"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196,9</w:t>
            </w:r>
          </w:p>
        </w:tc>
        <w:tc>
          <w:tcPr>
            <w:tcW w:w="1587" w:type="dxa"/>
          </w:tcPr>
          <w:p w14:paraId="5CFC287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158,7</w:t>
            </w:r>
          </w:p>
        </w:tc>
        <w:tc>
          <w:tcPr>
            <w:tcW w:w="1408" w:type="dxa"/>
          </w:tcPr>
          <w:p w14:paraId="50A95F8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145,6</w:t>
            </w:r>
          </w:p>
        </w:tc>
        <w:tc>
          <w:tcPr>
            <w:tcW w:w="1462" w:type="dxa"/>
          </w:tcPr>
          <w:p w14:paraId="0CC2B961"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80,60</w:t>
            </w:r>
          </w:p>
        </w:tc>
        <w:tc>
          <w:tcPr>
            <w:tcW w:w="1439" w:type="dxa"/>
          </w:tcPr>
          <w:p w14:paraId="254E70F7"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91,75</w:t>
            </w:r>
          </w:p>
        </w:tc>
      </w:tr>
      <w:tr w:rsidR="00537AF7" w:rsidRPr="00F175A7" w14:paraId="52539668"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2628CDA7"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CSD-ITCH</w:t>
            </w:r>
          </w:p>
        </w:tc>
        <w:tc>
          <w:tcPr>
            <w:tcW w:w="1765" w:type="dxa"/>
          </w:tcPr>
          <w:p w14:paraId="06664A27"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247,08</w:t>
            </w:r>
          </w:p>
        </w:tc>
        <w:tc>
          <w:tcPr>
            <w:tcW w:w="1587" w:type="dxa"/>
          </w:tcPr>
          <w:p w14:paraId="1D375C6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109,94</w:t>
            </w:r>
          </w:p>
        </w:tc>
        <w:tc>
          <w:tcPr>
            <w:tcW w:w="1408" w:type="dxa"/>
          </w:tcPr>
          <w:p w14:paraId="6FE1025B"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47,49</w:t>
            </w:r>
          </w:p>
        </w:tc>
        <w:tc>
          <w:tcPr>
            <w:tcW w:w="1462" w:type="dxa"/>
          </w:tcPr>
          <w:p w14:paraId="26245193"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44,50</w:t>
            </w:r>
          </w:p>
        </w:tc>
        <w:tc>
          <w:tcPr>
            <w:tcW w:w="1439" w:type="dxa"/>
          </w:tcPr>
          <w:p w14:paraId="5A5A3943"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43,20</w:t>
            </w:r>
          </w:p>
        </w:tc>
      </w:tr>
      <w:tr w:rsidR="00537AF7" w:rsidRPr="00F175A7" w14:paraId="0619423B"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BBDF02A"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CSD-JDH</w:t>
            </w:r>
          </w:p>
        </w:tc>
        <w:tc>
          <w:tcPr>
            <w:tcW w:w="1765" w:type="dxa"/>
          </w:tcPr>
          <w:p w14:paraId="70B37A09"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3,15</w:t>
            </w:r>
          </w:p>
        </w:tc>
        <w:tc>
          <w:tcPr>
            <w:tcW w:w="1587" w:type="dxa"/>
          </w:tcPr>
          <w:p w14:paraId="305D91FF"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2,4</w:t>
            </w:r>
          </w:p>
        </w:tc>
        <w:tc>
          <w:tcPr>
            <w:tcW w:w="1408" w:type="dxa"/>
          </w:tcPr>
          <w:p w14:paraId="10B6BEAE"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1,5</w:t>
            </w:r>
          </w:p>
        </w:tc>
        <w:tc>
          <w:tcPr>
            <w:tcW w:w="1462" w:type="dxa"/>
          </w:tcPr>
          <w:p w14:paraId="4DBDC0EC"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76,19</w:t>
            </w:r>
          </w:p>
        </w:tc>
        <w:tc>
          <w:tcPr>
            <w:tcW w:w="1439" w:type="dxa"/>
          </w:tcPr>
          <w:p w14:paraId="039F01EB"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62,50</w:t>
            </w:r>
          </w:p>
        </w:tc>
      </w:tr>
      <w:tr w:rsidR="00537AF7" w:rsidRPr="00F175A7" w14:paraId="57175FF9"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120E8B35"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CSD-PASP</w:t>
            </w:r>
          </w:p>
        </w:tc>
        <w:tc>
          <w:tcPr>
            <w:tcW w:w="1765" w:type="dxa"/>
          </w:tcPr>
          <w:p w14:paraId="52FF2574"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156,72</w:t>
            </w:r>
          </w:p>
        </w:tc>
        <w:tc>
          <w:tcPr>
            <w:tcW w:w="1587" w:type="dxa"/>
          </w:tcPr>
          <w:p w14:paraId="214CABA2"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102,74</w:t>
            </w:r>
          </w:p>
        </w:tc>
        <w:tc>
          <w:tcPr>
            <w:tcW w:w="1408" w:type="dxa"/>
          </w:tcPr>
          <w:p w14:paraId="15612D30"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92,14</w:t>
            </w:r>
          </w:p>
        </w:tc>
        <w:tc>
          <w:tcPr>
            <w:tcW w:w="1462" w:type="dxa"/>
          </w:tcPr>
          <w:p w14:paraId="4C0F3AE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65,56</w:t>
            </w:r>
          </w:p>
        </w:tc>
        <w:tc>
          <w:tcPr>
            <w:tcW w:w="1439" w:type="dxa"/>
          </w:tcPr>
          <w:p w14:paraId="7F5410D9"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89,68</w:t>
            </w:r>
          </w:p>
        </w:tc>
      </w:tr>
      <w:tr w:rsidR="00537AF7" w:rsidRPr="00F175A7" w14:paraId="74E99D46"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36C9B923"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CSD-RI</w:t>
            </w:r>
          </w:p>
        </w:tc>
        <w:tc>
          <w:tcPr>
            <w:tcW w:w="1765" w:type="dxa"/>
          </w:tcPr>
          <w:p w14:paraId="73D039D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0</w:t>
            </w:r>
          </w:p>
        </w:tc>
        <w:tc>
          <w:tcPr>
            <w:tcW w:w="1587" w:type="dxa"/>
          </w:tcPr>
          <w:p w14:paraId="16481446"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0</w:t>
            </w:r>
          </w:p>
        </w:tc>
        <w:tc>
          <w:tcPr>
            <w:tcW w:w="1408" w:type="dxa"/>
          </w:tcPr>
          <w:p w14:paraId="663E7E32"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0</w:t>
            </w:r>
          </w:p>
        </w:tc>
        <w:tc>
          <w:tcPr>
            <w:tcW w:w="1462" w:type="dxa"/>
          </w:tcPr>
          <w:p w14:paraId="067C29EC"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0</w:t>
            </w:r>
          </w:p>
        </w:tc>
        <w:tc>
          <w:tcPr>
            <w:tcW w:w="1439" w:type="dxa"/>
          </w:tcPr>
          <w:p w14:paraId="6460E97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0</w:t>
            </w:r>
          </w:p>
        </w:tc>
      </w:tr>
      <w:tr w:rsidR="00537AF7" w:rsidRPr="00F175A7" w14:paraId="1C3ED5BD"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414369DC"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CSD-Santé</w:t>
            </w:r>
          </w:p>
        </w:tc>
        <w:tc>
          <w:tcPr>
            <w:tcW w:w="1765" w:type="dxa"/>
          </w:tcPr>
          <w:p w14:paraId="5240F842"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174,57</w:t>
            </w:r>
          </w:p>
        </w:tc>
        <w:tc>
          <w:tcPr>
            <w:tcW w:w="1587" w:type="dxa"/>
          </w:tcPr>
          <w:p w14:paraId="2180E5ED"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75,09</w:t>
            </w:r>
          </w:p>
        </w:tc>
        <w:tc>
          <w:tcPr>
            <w:tcW w:w="1408" w:type="dxa"/>
          </w:tcPr>
          <w:p w14:paraId="690188C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73,74</w:t>
            </w:r>
          </w:p>
        </w:tc>
        <w:tc>
          <w:tcPr>
            <w:tcW w:w="1462" w:type="dxa"/>
          </w:tcPr>
          <w:p w14:paraId="7AE9A976"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43,01</w:t>
            </w:r>
          </w:p>
        </w:tc>
        <w:tc>
          <w:tcPr>
            <w:tcW w:w="1439" w:type="dxa"/>
          </w:tcPr>
          <w:p w14:paraId="71170C46"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98,21</w:t>
            </w:r>
          </w:p>
        </w:tc>
      </w:tr>
      <w:tr w:rsidR="00537AF7" w:rsidRPr="00F175A7" w14:paraId="0F26A5DA"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319A7453"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CSD-TIA</w:t>
            </w:r>
          </w:p>
        </w:tc>
        <w:tc>
          <w:tcPr>
            <w:tcW w:w="1765" w:type="dxa"/>
          </w:tcPr>
          <w:p w14:paraId="0D6D64A1"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73,39</w:t>
            </w:r>
          </w:p>
        </w:tc>
        <w:tc>
          <w:tcPr>
            <w:tcW w:w="1587" w:type="dxa"/>
          </w:tcPr>
          <w:p w14:paraId="38BA2B1D"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36,95</w:t>
            </w:r>
          </w:p>
        </w:tc>
        <w:tc>
          <w:tcPr>
            <w:tcW w:w="1408" w:type="dxa"/>
          </w:tcPr>
          <w:p w14:paraId="5914BAF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33,027</w:t>
            </w:r>
          </w:p>
        </w:tc>
        <w:tc>
          <w:tcPr>
            <w:tcW w:w="1462" w:type="dxa"/>
          </w:tcPr>
          <w:p w14:paraId="0B55A838"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50,35</w:t>
            </w:r>
          </w:p>
        </w:tc>
        <w:tc>
          <w:tcPr>
            <w:tcW w:w="1439" w:type="dxa"/>
          </w:tcPr>
          <w:p w14:paraId="702323F0"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szCs w:val="20"/>
              </w:rPr>
              <w:t>89,38</w:t>
            </w:r>
          </w:p>
        </w:tc>
      </w:tr>
      <w:tr w:rsidR="00537AF7" w:rsidRPr="00F175A7" w14:paraId="4C09F667" w14:textId="77777777" w:rsidTr="00E52836">
        <w:tc>
          <w:tcPr>
            <w:cnfStyle w:val="001000000000" w:firstRow="0" w:lastRow="0" w:firstColumn="1" w:lastColumn="0" w:oddVBand="0" w:evenVBand="0" w:oddHBand="0" w:evenHBand="0" w:firstRowFirstColumn="0" w:firstRowLastColumn="0" w:lastRowFirstColumn="0" w:lastRowLastColumn="0"/>
            <w:tcW w:w="1355" w:type="dxa"/>
          </w:tcPr>
          <w:p w14:paraId="58B552D1" w14:textId="77777777" w:rsidR="00537AF7" w:rsidRPr="0063061C" w:rsidRDefault="00537AF7" w:rsidP="00F175A7">
            <w:pPr>
              <w:spacing w:after="0" w:line="240" w:lineRule="auto"/>
              <w:rPr>
                <w:rFonts w:eastAsia="Times New Roman" w:cs="Times New Roman"/>
                <w:sz w:val="20"/>
                <w:szCs w:val="20"/>
              </w:rPr>
            </w:pPr>
            <w:r w:rsidRPr="0063061C">
              <w:rPr>
                <w:rFonts w:eastAsia="Times New Roman" w:cs="Times New Roman"/>
                <w:sz w:val="20"/>
                <w:szCs w:val="20"/>
              </w:rPr>
              <w:t>CSD-TEPS</w:t>
            </w:r>
          </w:p>
        </w:tc>
        <w:tc>
          <w:tcPr>
            <w:tcW w:w="1765" w:type="dxa"/>
          </w:tcPr>
          <w:p w14:paraId="3F3705BA"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9,03</w:t>
            </w:r>
          </w:p>
        </w:tc>
        <w:tc>
          <w:tcPr>
            <w:tcW w:w="1587" w:type="dxa"/>
          </w:tcPr>
          <w:p w14:paraId="3CE37654"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3,22</w:t>
            </w:r>
          </w:p>
        </w:tc>
        <w:tc>
          <w:tcPr>
            <w:tcW w:w="1408" w:type="dxa"/>
          </w:tcPr>
          <w:p w14:paraId="7D3F5279"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2,39</w:t>
            </w:r>
          </w:p>
        </w:tc>
        <w:tc>
          <w:tcPr>
            <w:tcW w:w="1462" w:type="dxa"/>
          </w:tcPr>
          <w:p w14:paraId="014BE39F"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35,64</w:t>
            </w:r>
          </w:p>
        </w:tc>
        <w:tc>
          <w:tcPr>
            <w:tcW w:w="1439" w:type="dxa"/>
          </w:tcPr>
          <w:p w14:paraId="57680162" w14:textId="77777777" w:rsidR="00537AF7" w:rsidRPr="00F175A7" w:rsidRDefault="00537AF7" w:rsidP="00F175A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74,29</w:t>
            </w:r>
          </w:p>
        </w:tc>
      </w:tr>
      <w:tr w:rsidR="00537AF7" w:rsidRPr="00F175A7" w14:paraId="681515D1" w14:textId="77777777" w:rsidTr="00E5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353E9EA4" w14:textId="77777777" w:rsidR="00537AF7" w:rsidRPr="00F175A7" w:rsidRDefault="00537AF7" w:rsidP="00F175A7">
            <w:pPr>
              <w:spacing w:after="0" w:line="240" w:lineRule="auto"/>
              <w:rPr>
                <w:rFonts w:eastAsia="Times New Roman" w:cs="Times New Roman"/>
                <w:b w:val="0"/>
                <w:szCs w:val="20"/>
              </w:rPr>
            </w:pPr>
            <w:r w:rsidRPr="00F175A7">
              <w:rPr>
                <w:rFonts w:eastAsia="Times New Roman" w:cs="Times New Roman"/>
                <w:szCs w:val="20"/>
              </w:rPr>
              <w:t>Total</w:t>
            </w:r>
          </w:p>
        </w:tc>
        <w:tc>
          <w:tcPr>
            <w:tcW w:w="1765" w:type="dxa"/>
          </w:tcPr>
          <w:p w14:paraId="3E58CF85"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b/>
                <w:szCs w:val="20"/>
              </w:rPr>
              <w:t>1 058,09</w:t>
            </w:r>
          </w:p>
        </w:tc>
        <w:tc>
          <w:tcPr>
            <w:tcW w:w="1587" w:type="dxa"/>
          </w:tcPr>
          <w:p w14:paraId="701E0844"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b/>
                <w:szCs w:val="20"/>
              </w:rPr>
              <w:t>645,87</w:t>
            </w:r>
          </w:p>
        </w:tc>
        <w:tc>
          <w:tcPr>
            <w:tcW w:w="1408" w:type="dxa"/>
          </w:tcPr>
          <w:p w14:paraId="4B300892"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b/>
                <w:szCs w:val="20"/>
              </w:rPr>
              <w:t>519,70</w:t>
            </w:r>
          </w:p>
        </w:tc>
        <w:tc>
          <w:tcPr>
            <w:tcW w:w="1462" w:type="dxa"/>
          </w:tcPr>
          <w:p w14:paraId="0CC5AA39"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b/>
                <w:szCs w:val="20"/>
              </w:rPr>
              <w:t>61,04</w:t>
            </w:r>
          </w:p>
        </w:tc>
        <w:tc>
          <w:tcPr>
            <w:tcW w:w="1439" w:type="dxa"/>
          </w:tcPr>
          <w:p w14:paraId="162016BD" w14:textId="77777777" w:rsidR="00537AF7" w:rsidRPr="00F175A7" w:rsidRDefault="00537AF7" w:rsidP="00F175A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F175A7">
              <w:rPr>
                <w:rFonts w:eastAsia="Times New Roman" w:cs="Times New Roman"/>
                <w:b/>
                <w:szCs w:val="20"/>
              </w:rPr>
              <w:t>80,47</w:t>
            </w:r>
          </w:p>
        </w:tc>
      </w:tr>
    </w:tbl>
    <w:p w14:paraId="0BF2E5DF" w14:textId="00D7EC79" w:rsidR="00537AF7" w:rsidRPr="008D20C6" w:rsidRDefault="00537AF7" w:rsidP="00537AF7">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Pr="008D20C6">
        <w:rPr>
          <w:rFonts w:eastAsia="Times New Roman" w:cs="Times New Roman"/>
          <w:sz w:val="20"/>
          <w:szCs w:val="20"/>
        </w:rPr>
        <w:t xml:space="preserve"> : </w:t>
      </w:r>
      <w:r w:rsidR="00526031">
        <w:rPr>
          <w:rFonts w:eastAsia="Times New Roman" w:cs="Times New Roman"/>
          <w:sz w:val="20"/>
          <w:szCs w:val="20"/>
        </w:rPr>
        <w:t>c</w:t>
      </w:r>
      <w:r w:rsidRPr="008D20C6">
        <w:rPr>
          <w:rFonts w:eastAsia="Times New Roman" w:cs="Times New Roman"/>
          <w:sz w:val="20"/>
          <w:szCs w:val="20"/>
        </w:rPr>
        <w:t>onçu à partir des 14 rapports sectoriels de performance 2023, SEN</w:t>
      </w:r>
      <w:r w:rsidR="00526031">
        <w:rPr>
          <w:rFonts w:eastAsia="Times New Roman" w:cs="Times New Roman"/>
          <w:sz w:val="20"/>
          <w:szCs w:val="20"/>
        </w:rPr>
        <w:t>-</w:t>
      </w:r>
      <w:r w:rsidRPr="008D20C6">
        <w:rPr>
          <w:rFonts w:eastAsia="Times New Roman" w:cs="Times New Roman"/>
          <w:sz w:val="20"/>
          <w:szCs w:val="20"/>
        </w:rPr>
        <w:t>PND</w:t>
      </w:r>
    </w:p>
    <w:p w14:paraId="50896A72" w14:textId="18D338B3" w:rsidR="00FA0A98" w:rsidRDefault="00537AF7" w:rsidP="00F175A7">
      <w:pPr>
        <w:numPr>
          <w:ilvl w:val="0"/>
          <w:numId w:val="8"/>
        </w:numPr>
        <w:shd w:val="clear" w:color="auto" w:fill="FFFFFF"/>
        <w:spacing w:before="120" w:after="120" w:line="240" w:lineRule="auto"/>
        <w:ind w:left="0"/>
        <w:rPr>
          <w:rFonts w:eastAsia="Calibri"/>
          <w:szCs w:val="24"/>
        </w:rPr>
      </w:pPr>
      <w:r w:rsidRPr="0094732F">
        <w:rPr>
          <w:rFonts w:eastAsia="Calibri"/>
          <w:szCs w:val="24"/>
        </w:rPr>
        <w:lastRenderedPageBreak/>
        <w:t>En somme, il ressort que le niveau de décaissement des ressources des projets et programmes reste moyen voir</w:t>
      </w:r>
      <w:r w:rsidR="00526031">
        <w:rPr>
          <w:rFonts w:eastAsia="Calibri"/>
          <w:szCs w:val="24"/>
        </w:rPr>
        <w:t>e</w:t>
      </w:r>
      <w:r w:rsidRPr="0094732F">
        <w:rPr>
          <w:rFonts w:eastAsia="Calibri"/>
          <w:szCs w:val="24"/>
        </w:rPr>
        <w:t xml:space="preserve"> en deçà du niveau repère de 70% avec tout de même un taux d'exécution satisfaisant. Les faibles niveaux des taux pour certains CSD sont expliqués, entre autres, par le retard dans la mobilisation des ressources financières auprès de certains bailleurs, voire la suspension et/ou l’arrêt des activités par certains partenaires techniques et financiers </w:t>
      </w:r>
      <w:r w:rsidR="00526031">
        <w:rPr>
          <w:rFonts w:eastAsia="Calibri"/>
          <w:szCs w:val="24"/>
        </w:rPr>
        <w:t xml:space="preserve">à la </w:t>
      </w:r>
      <w:r w:rsidRPr="0094732F">
        <w:rPr>
          <w:rFonts w:eastAsia="Calibri"/>
          <w:szCs w:val="24"/>
        </w:rPr>
        <w:t xml:space="preserve">suite </w:t>
      </w:r>
      <w:r w:rsidR="00526031">
        <w:rPr>
          <w:rFonts w:eastAsia="Calibri"/>
          <w:szCs w:val="24"/>
        </w:rPr>
        <w:t>de</w:t>
      </w:r>
      <w:r w:rsidRPr="0094732F">
        <w:rPr>
          <w:rFonts w:eastAsia="Calibri"/>
          <w:szCs w:val="24"/>
        </w:rPr>
        <w:t xml:space="preserve"> l’instabilité institutionnelle, les délais relativement longs de traitement des demandes des avis de non</w:t>
      </w:r>
      <w:r w:rsidR="00526031">
        <w:rPr>
          <w:rFonts w:eastAsia="Calibri"/>
          <w:szCs w:val="24"/>
        </w:rPr>
        <w:t>-</w:t>
      </w:r>
      <w:r w:rsidRPr="0094732F">
        <w:rPr>
          <w:rFonts w:eastAsia="Calibri"/>
          <w:szCs w:val="24"/>
        </w:rPr>
        <w:t>objection, la persistance de certaines difficultés de terrain telles que les défaillances des prestataires de services et l’inaccessibilité de certaines zones pour fait d’insécurité pour la réalisation de certains chantiers</w:t>
      </w:r>
      <w:r w:rsidR="00526031">
        <w:rPr>
          <w:rFonts w:eastAsia="Calibri"/>
          <w:szCs w:val="24"/>
        </w:rPr>
        <w:t>.</w:t>
      </w:r>
    </w:p>
    <w:p w14:paraId="14102B24" w14:textId="6E649828" w:rsidR="00F842B7" w:rsidRPr="00537AF7" w:rsidRDefault="00F842B7" w:rsidP="00F842B7">
      <w:pPr>
        <w:numPr>
          <w:ilvl w:val="0"/>
          <w:numId w:val="8"/>
        </w:numPr>
        <w:shd w:val="clear" w:color="auto" w:fill="FFFFFF"/>
        <w:spacing w:before="120" w:after="120" w:line="240" w:lineRule="auto"/>
        <w:ind w:left="0"/>
        <w:rPr>
          <w:rFonts w:eastAsia="Calibri"/>
          <w:szCs w:val="24"/>
        </w:rPr>
      </w:pPr>
      <w:r>
        <w:rPr>
          <w:rFonts w:eastAsia="Calibri"/>
          <w:szCs w:val="24"/>
        </w:rPr>
        <w:t>Quant à la contribution des CT au financement du développement</w:t>
      </w:r>
      <w:r w:rsidR="00006208">
        <w:rPr>
          <w:rFonts w:eastAsia="Calibri"/>
          <w:szCs w:val="24"/>
        </w:rPr>
        <w:t xml:space="preserve"> dont le détail est consigné dans le tableau ci-dessous, il ressort qu’</w:t>
      </w:r>
      <w:r>
        <w:rPr>
          <w:rFonts w:eastAsia="Calibri"/>
          <w:szCs w:val="24"/>
        </w:rPr>
        <w:t>au 31</w:t>
      </w:r>
      <w:r w:rsidRPr="00537AF7">
        <w:rPr>
          <w:rFonts w:eastAsia="Calibri"/>
          <w:szCs w:val="24"/>
        </w:rPr>
        <w:t xml:space="preserve"> </w:t>
      </w:r>
      <w:r>
        <w:rPr>
          <w:rFonts w:eastAsia="Calibri"/>
          <w:szCs w:val="24"/>
        </w:rPr>
        <w:t xml:space="preserve">décembre 2023, sur une programmation de 574,74 </w:t>
      </w:r>
      <w:r w:rsidRPr="00537AF7">
        <w:rPr>
          <w:rFonts w:eastAsia="Calibri"/>
          <w:szCs w:val="24"/>
        </w:rPr>
        <w:t xml:space="preserve">milliards FCFA par </w:t>
      </w:r>
      <w:r>
        <w:rPr>
          <w:rFonts w:eastAsia="Calibri"/>
          <w:szCs w:val="24"/>
        </w:rPr>
        <w:t xml:space="preserve">les </w:t>
      </w:r>
      <w:r w:rsidRPr="00537AF7">
        <w:rPr>
          <w:rFonts w:eastAsia="Calibri"/>
          <w:szCs w:val="24"/>
        </w:rPr>
        <w:t xml:space="preserve">13 </w:t>
      </w:r>
      <w:r>
        <w:rPr>
          <w:rFonts w:eastAsia="Calibri"/>
          <w:szCs w:val="24"/>
        </w:rPr>
        <w:t>CRD, seulement 251,7</w:t>
      </w:r>
      <w:r w:rsidRPr="00537AF7">
        <w:rPr>
          <w:rFonts w:eastAsia="Calibri"/>
          <w:szCs w:val="24"/>
        </w:rPr>
        <w:t xml:space="preserve">7 milliards FCFA ont été </w:t>
      </w:r>
      <w:r>
        <w:rPr>
          <w:rFonts w:eastAsia="Calibri"/>
          <w:szCs w:val="24"/>
        </w:rPr>
        <w:t>dépensés</w:t>
      </w:r>
      <w:r w:rsidRPr="00537AF7">
        <w:rPr>
          <w:rFonts w:eastAsia="Calibri"/>
          <w:szCs w:val="24"/>
        </w:rPr>
        <w:t>, soit un taux d</w:t>
      </w:r>
      <w:r>
        <w:rPr>
          <w:rFonts w:eastAsia="Calibri"/>
          <w:szCs w:val="24"/>
        </w:rPr>
        <w:t>’exécution moyen de 53,2</w:t>
      </w:r>
      <w:r w:rsidRPr="00537AF7">
        <w:rPr>
          <w:rFonts w:eastAsia="Calibri"/>
          <w:szCs w:val="24"/>
        </w:rPr>
        <w:t>%</w:t>
      </w:r>
      <w:r w:rsidR="00006208">
        <w:rPr>
          <w:rFonts w:eastAsia="Calibri"/>
          <w:szCs w:val="24"/>
        </w:rPr>
        <w:t>.</w:t>
      </w:r>
      <w:r w:rsidRPr="00537AF7">
        <w:rPr>
          <w:rFonts w:eastAsia="Calibri"/>
          <w:szCs w:val="24"/>
        </w:rPr>
        <w:t xml:space="preserve"> </w:t>
      </w:r>
    </w:p>
    <w:p w14:paraId="64A1A0AC" w14:textId="03E6E73B" w:rsidR="00F842B7" w:rsidRDefault="00006208" w:rsidP="0051757E">
      <w:pPr>
        <w:numPr>
          <w:ilvl w:val="0"/>
          <w:numId w:val="8"/>
        </w:numPr>
        <w:shd w:val="clear" w:color="auto" w:fill="FFFFFF"/>
        <w:spacing w:before="120" w:after="120" w:line="240" w:lineRule="auto"/>
        <w:ind w:left="0"/>
        <w:rPr>
          <w:rFonts w:eastAsia="Calibri"/>
          <w:szCs w:val="24"/>
        </w:rPr>
      </w:pPr>
      <w:r>
        <w:rPr>
          <w:rFonts w:eastAsia="Calibri"/>
          <w:szCs w:val="24"/>
        </w:rPr>
        <w:t xml:space="preserve">L’analyse suivant les </w:t>
      </w:r>
      <w:r w:rsidR="00F842B7">
        <w:rPr>
          <w:rFonts w:eastAsia="Calibri"/>
          <w:szCs w:val="24"/>
        </w:rPr>
        <w:t>13 CRD</w:t>
      </w:r>
      <w:r>
        <w:rPr>
          <w:rFonts w:eastAsia="Calibri"/>
          <w:szCs w:val="24"/>
        </w:rPr>
        <w:t xml:space="preserve"> révèle que </w:t>
      </w:r>
      <w:r w:rsidR="00F842B7" w:rsidRPr="00537AF7">
        <w:rPr>
          <w:rFonts w:eastAsia="Calibri"/>
          <w:szCs w:val="24"/>
        </w:rPr>
        <w:t>le niveau d</w:t>
      </w:r>
      <w:r w:rsidR="00F842B7">
        <w:rPr>
          <w:rFonts w:eastAsia="Calibri"/>
          <w:szCs w:val="24"/>
        </w:rPr>
        <w:t xml:space="preserve">’exécution financière </w:t>
      </w:r>
      <w:r w:rsidR="00CF2A7D">
        <w:rPr>
          <w:rFonts w:eastAsia="Calibri"/>
          <w:szCs w:val="24"/>
        </w:rPr>
        <w:t xml:space="preserve">des PA-SD régionaux </w:t>
      </w:r>
      <w:r w:rsidR="00F842B7">
        <w:rPr>
          <w:rFonts w:eastAsia="Calibri"/>
          <w:szCs w:val="24"/>
        </w:rPr>
        <w:t xml:space="preserve">est compris entre 24,3% pour la région de Centre-Nord et 85,0% pour la région du Nord. Près de la moitié des régions (06 au total) enregistre un taux d’exécution financière de moins de 50%. Il s’agit de la région du Centre-nord (24,3%), de la Boucle du Mouhoun (25,0%), de l’Est (28,5%), du Plateau-Central (30,5%), du Centre-Sud (40,0%) et du Centre (44,6%). Les trois premières régions avec des taux inférieurs </w:t>
      </w:r>
      <w:r w:rsidR="00F842B7" w:rsidRPr="004A6187">
        <w:rPr>
          <w:rFonts w:eastAsia="Calibri"/>
          <w:szCs w:val="24"/>
        </w:rPr>
        <w:t>à</w:t>
      </w:r>
      <w:r w:rsidR="00F842B7">
        <w:rPr>
          <w:rFonts w:eastAsia="Calibri"/>
          <w:szCs w:val="24"/>
        </w:rPr>
        <w:t xml:space="preserve"> 30% font toutes parties des zones </w:t>
      </w:r>
      <w:r w:rsidR="00F842B7" w:rsidRPr="004A6187">
        <w:rPr>
          <w:rFonts w:eastAsia="Calibri"/>
          <w:szCs w:val="24"/>
        </w:rPr>
        <w:t>à</w:t>
      </w:r>
      <w:r w:rsidR="00F842B7">
        <w:rPr>
          <w:rFonts w:eastAsia="Calibri"/>
          <w:szCs w:val="24"/>
        </w:rPr>
        <w:t xml:space="preserve"> fort défi sécuritaire. Quant aux régions du Sud-Ouest (80,0%), des Cascades (80,6%) et du Nord (85,0%), elles affichent des taux d’exécution financière les plus élevés</w:t>
      </w:r>
      <w:r w:rsidR="00CF2A7D">
        <w:rPr>
          <w:rFonts w:eastAsia="Calibri"/>
          <w:szCs w:val="24"/>
        </w:rPr>
        <w:t xml:space="preserve"> des PA-SD régionaux</w:t>
      </w:r>
      <w:r w:rsidR="00F842B7">
        <w:rPr>
          <w:rFonts w:eastAsia="Calibri"/>
          <w:szCs w:val="24"/>
        </w:rPr>
        <w:t>. Ces régions sont suivies de celles du Centre-Ouest (54,9%), du Sahel (54,4%), des Haut-Bassins (70,7%) et du Centre-Est (73,8%).</w:t>
      </w:r>
    </w:p>
    <w:p w14:paraId="279DCBDD" w14:textId="4EE507B7" w:rsidR="00F842B7" w:rsidRPr="0042784A" w:rsidRDefault="00006208" w:rsidP="002E54B9">
      <w:pPr>
        <w:pStyle w:val="Lgende"/>
        <w:rPr>
          <w:rFonts w:eastAsia="Times New Roman" w:cs="Times New Roman"/>
          <w:iCs w:val="0"/>
          <w:color w:val="auto"/>
          <w:sz w:val="22"/>
        </w:rPr>
      </w:pPr>
      <w:bookmarkStart w:id="214" w:name="_Toc164503682"/>
      <w:r w:rsidRPr="009A288B">
        <w:rPr>
          <w:b/>
          <w:i w:val="0"/>
          <w:color w:val="auto"/>
          <w:sz w:val="24"/>
          <w:szCs w:val="24"/>
          <w:u w:val="single"/>
        </w:rPr>
        <w:t xml:space="preserve">Tableau </w:t>
      </w:r>
      <w:r w:rsidRPr="009A288B">
        <w:rPr>
          <w:b/>
          <w:i w:val="0"/>
          <w:color w:val="auto"/>
          <w:sz w:val="24"/>
          <w:szCs w:val="24"/>
          <w:u w:val="single"/>
        </w:rPr>
        <w:fldChar w:fldCharType="begin"/>
      </w:r>
      <w:r w:rsidRPr="009A288B">
        <w:rPr>
          <w:b/>
          <w:i w:val="0"/>
          <w:color w:val="auto"/>
          <w:sz w:val="24"/>
          <w:szCs w:val="24"/>
          <w:u w:val="single"/>
        </w:rPr>
        <w:instrText xml:space="preserve"> SEQ Tableau \* ARABIC </w:instrText>
      </w:r>
      <w:r w:rsidRPr="009A288B">
        <w:rPr>
          <w:b/>
          <w:i w:val="0"/>
          <w:color w:val="auto"/>
          <w:sz w:val="24"/>
          <w:szCs w:val="24"/>
          <w:u w:val="single"/>
        </w:rPr>
        <w:fldChar w:fldCharType="separate"/>
      </w:r>
      <w:r w:rsidR="007C2E4E">
        <w:rPr>
          <w:b/>
          <w:i w:val="0"/>
          <w:noProof/>
          <w:color w:val="auto"/>
          <w:sz w:val="24"/>
          <w:szCs w:val="24"/>
          <w:u w:val="single"/>
        </w:rPr>
        <w:t>95</w:t>
      </w:r>
      <w:r w:rsidRPr="009A288B">
        <w:rPr>
          <w:b/>
          <w:i w:val="0"/>
          <w:color w:val="auto"/>
          <w:sz w:val="24"/>
          <w:szCs w:val="24"/>
          <w:u w:val="single"/>
        </w:rPr>
        <w:fldChar w:fldCharType="end"/>
      </w:r>
      <w:r w:rsidRPr="009A288B">
        <w:rPr>
          <w:i w:val="0"/>
          <w:color w:val="auto"/>
          <w:sz w:val="24"/>
          <w:szCs w:val="24"/>
        </w:rPr>
        <w:t>: contribution financière des CT au développement en 2023</w:t>
      </w:r>
      <w:bookmarkEnd w:id="214"/>
    </w:p>
    <w:tbl>
      <w:tblPr>
        <w:tblStyle w:val="TableauGrille4-Accentuation119"/>
        <w:tblW w:w="5000" w:type="pct"/>
        <w:tblLook w:val="04A0" w:firstRow="1" w:lastRow="0" w:firstColumn="1" w:lastColumn="0" w:noHBand="0" w:noVBand="1"/>
      </w:tblPr>
      <w:tblGrid>
        <w:gridCol w:w="1890"/>
        <w:gridCol w:w="2595"/>
        <w:gridCol w:w="2299"/>
        <w:gridCol w:w="2232"/>
      </w:tblGrid>
      <w:tr w:rsidR="00F842B7" w:rsidRPr="00F175A7" w14:paraId="2AD89F54" w14:textId="77777777" w:rsidTr="00010F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 w:type="pct"/>
          </w:tcPr>
          <w:p w14:paraId="6BA2ADE8" w14:textId="77777777" w:rsidR="00F842B7" w:rsidRPr="00F175A7" w:rsidRDefault="00F842B7" w:rsidP="009A288B">
            <w:pPr>
              <w:spacing w:after="0" w:line="240" w:lineRule="auto"/>
              <w:ind w:firstLine="0"/>
              <w:rPr>
                <w:rFonts w:eastAsia="Times New Roman" w:cs="Times New Roman"/>
                <w:szCs w:val="20"/>
              </w:rPr>
            </w:pPr>
            <w:r>
              <w:rPr>
                <w:rFonts w:eastAsia="Times New Roman" w:cs="Times New Roman"/>
                <w:szCs w:val="20"/>
              </w:rPr>
              <w:t>CRD</w:t>
            </w:r>
          </w:p>
        </w:tc>
        <w:tc>
          <w:tcPr>
            <w:tcW w:w="1439" w:type="pct"/>
          </w:tcPr>
          <w:p w14:paraId="5AF68834" w14:textId="77777777" w:rsidR="00F842B7" w:rsidRPr="00F175A7" w:rsidRDefault="00F842B7" w:rsidP="009A288B">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F175A7">
              <w:rPr>
                <w:rFonts w:eastAsia="Times New Roman" w:cs="Times New Roman"/>
                <w:szCs w:val="20"/>
              </w:rPr>
              <w:t>Programmation (en milliards FCFA)</w:t>
            </w:r>
          </w:p>
        </w:tc>
        <w:tc>
          <w:tcPr>
            <w:tcW w:w="1275" w:type="pct"/>
          </w:tcPr>
          <w:p w14:paraId="3ED41486" w14:textId="77777777" w:rsidR="00F842B7" w:rsidRPr="00F175A7" w:rsidRDefault="00F842B7" w:rsidP="009A288B">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Pr>
                <w:rFonts w:eastAsia="Times New Roman" w:cs="Times New Roman"/>
                <w:szCs w:val="20"/>
              </w:rPr>
              <w:t xml:space="preserve">Dépenses </w:t>
            </w:r>
            <w:r w:rsidRPr="00F175A7">
              <w:rPr>
                <w:rFonts w:eastAsia="Times New Roman" w:cs="Times New Roman"/>
                <w:szCs w:val="20"/>
              </w:rPr>
              <w:t>(en milliards FCFA)</w:t>
            </w:r>
          </w:p>
        </w:tc>
        <w:tc>
          <w:tcPr>
            <w:tcW w:w="1238" w:type="pct"/>
            <w:vAlign w:val="center"/>
          </w:tcPr>
          <w:p w14:paraId="69242627" w14:textId="77777777" w:rsidR="00F842B7" w:rsidRPr="00635ACE" w:rsidRDefault="00F842B7" w:rsidP="009A288B">
            <w:pPr>
              <w:spacing w:after="0"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0"/>
              </w:rPr>
            </w:pPr>
            <w:r w:rsidRPr="00635ACE">
              <w:rPr>
                <w:rFonts w:eastAsia="Times New Roman" w:cs="Times New Roman"/>
                <w:szCs w:val="20"/>
              </w:rPr>
              <w:t>Taux d'exécution financière (%)</w:t>
            </w:r>
          </w:p>
        </w:tc>
      </w:tr>
      <w:tr w:rsidR="00F842B7" w:rsidRPr="00F175A7" w14:paraId="4026ED7D" w14:textId="77777777" w:rsidTr="009A288B">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53652857"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Boucle du Mouhoun</w:t>
            </w:r>
          </w:p>
        </w:tc>
        <w:tc>
          <w:tcPr>
            <w:tcW w:w="1439" w:type="pct"/>
            <w:vAlign w:val="center"/>
          </w:tcPr>
          <w:p w14:paraId="6AC96EBD"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112,98</w:t>
            </w:r>
          </w:p>
        </w:tc>
        <w:tc>
          <w:tcPr>
            <w:tcW w:w="1275" w:type="pct"/>
            <w:vAlign w:val="center"/>
          </w:tcPr>
          <w:p w14:paraId="4CAA4065"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28,22</w:t>
            </w:r>
          </w:p>
        </w:tc>
        <w:tc>
          <w:tcPr>
            <w:tcW w:w="1238" w:type="pct"/>
            <w:vAlign w:val="center"/>
          </w:tcPr>
          <w:p w14:paraId="3A7546B9"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25,0</w:t>
            </w:r>
          </w:p>
        </w:tc>
      </w:tr>
      <w:tr w:rsidR="00F842B7" w:rsidRPr="00F175A7" w14:paraId="58228688"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3071BCC9"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Cascades</w:t>
            </w:r>
          </w:p>
        </w:tc>
        <w:tc>
          <w:tcPr>
            <w:tcW w:w="1439" w:type="pct"/>
            <w:vAlign w:val="center"/>
          </w:tcPr>
          <w:p w14:paraId="166445D6"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24,85</w:t>
            </w:r>
          </w:p>
        </w:tc>
        <w:tc>
          <w:tcPr>
            <w:tcW w:w="1275" w:type="pct"/>
            <w:vAlign w:val="center"/>
          </w:tcPr>
          <w:p w14:paraId="1FD7DBEA"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20,03</w:t>
            </w:r>
          </w:p>
        </w:tc>
        <w:tc>
          <w:tcPr>
            <w:tcW w:w="1238" w:type="pct"/>
            <w:vAlign w:val="center"/>
          </w:tcPr>
          <w:p w14:paraId="371C6A30"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80,6</w:t>
            </w:r>
          </w:p>
        </w:tc>
      </w:tr>
      <w:tr w:rsidR="00F842B7" w:rsidRPr="00F175A7" w14:paraId="6E675E27"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3F8FFA1B"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Centre</w:t>
            </w:r>
          </w:p>
        </w:tc>
        <w:tc>
          <w:tcPr>
            <w:tcW w:w="1439" w:type="pct"/>
            <w:vAlign w:val="center"/>
          </w:tcPr>
          <w:p w14:paraId="117AAA77"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75,38</w:t>
            </w:r>
          </w:p>
        </w:tc>
        <w:tc>
          <w:tcPr>
            <w:tcW w:w="1275" w:type="pct"/>
            <w:vAlign w:val="center"/>
          </w:tcPr>
          <w:p w14:paraId="29EA43BD"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33,63</w:t>
            </w:r>
          </w:p>
        </w:tc>
        <w:tc>
          <w:tcPr>
            <w:tcW w:w="1238" w:type="pct"/>
            <w:vAlign w:val="center"/>
          </w:tcPr>
          <w:p w14:paraId="1B357F75"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44,6</w:t>
            </w:r>
          </w:p>
        </w:tc>
      </w:tr>
      <w:tr w:rsidR="00F842B7" w:rsidRPr="00F175A7" w14:paraId="2D50A79C"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0E93F648"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Centre-Est</w:t>
            </w:r>
          </w:p>
        </w:tc>
        <w:tc>
          <w:tcPr>
            <w:tcW w:w="1439" w:type="pct"/>
            <w:vAlign w:val="center"/>
          </w:tcPr>
          <w:p w14:paraId="5D5BE239"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19,34</w:t>
            </w:r>
          </w:p>
        </w:tc>
        <w:tc>
          <w:tcPr>
            <w:tcW w:w="1275" w:type="pct"/>
            <w:vAlign w:val="center"/>
          </w:tcPr>
          <w:p w14:paraId="29029C25"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14,27</w:t>
            </w:r>
          </w:p>
        </w:tc>
        <w:tc>
          <w:tcPr>
            <w:tcW w:w="1238" w:type="pct"/>
            <w:vAlign w:val="center"/>
          </w:tcPr>
          <w:p w14:paraId="642CFF72"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73,8</w:t>
            </w:r>
          </w:p>
        </w:tc>
      </w:tr>
      <w:tr w:rsidR="00F842B7" w:rsidRPr="00F175A7" w14:paraId="7F619383"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0A3AD46E"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Centre-Nord</w:t>
            </w:r>
          </w:p>
        </w:tc>
        <w:tc>
          <w:tcPr>
            <w:tcW w:w="1439" w:type="pct"/>
            <w:vAlign w:val="center"/>
          </w:tcPr>
          <w:p w14:paraId="0DF441C0"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31,22</w:t>
            </w:r>
          </w:p>
        </w:tc>
        <w:tc>
          <w:tcPr>
            <w:tcW w:w="1275" w:type="pct"/>
            <w:vAlign w:val="center"/>
          </w:tcPr>
          <w:p w14:paraId="6E8B28A8"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7,59</w:t>
            </w:r>
          </w:p>
        </w:tc>
        <w:tc>
          <w:tcPr>
            <w:tcW w:w="1238" w:type="pct"/>
            <w:vAlign w:val="center"/>
          </w:tcPr>
          <w:p w14:paraId="6BA3A0ED"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24,3</w:t>
            </w:r>
          </w:p>
        </w:tc>
      </w:tr>
      <w:tr w:rsidR="00F842B7" w:rsidRPr="00F175A7" w14:paraId="693238D1"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5D650CB0"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Centre-Ouest</w:t>
            </w:r>
          </w:p>
        </w:tc>
        <w:tc>
          <w:tcPr>
            <w:tcW w:w="1439" w:type="pct"/>
            <w:vAlign w:val="center"/>
          </w:tcPr>
          <w:p w14:paraId="08A49EC6"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14,47</w:t>
            </w:r>
          </w:p>
        </w:tc>
        <w:tc>
          <w:tcPr>
            <w:tcW w:w="1275" w:type="pct"/>
            <w:vAlign w:val="center"/>
          </w:tcPr>
          <w:p w14:paraId="2E6BB572"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7,93</w:t>
            </w:r>
          </w:p>
        </w:tc>
        <w:tc>
          <w:tcPr>
            <w:tcW w:w="1238" w:type="pct"/>
            <w:vAlign w:val="center"/>
          </w:tcPr>
          <w:p w14:paraId="751CB3FF"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54,9</w:t>
            </w:r>
          </w:p>
        </w:tc>
      </w:tr>
      <w:tr w:rsidR="00F842B7" w:rsidRPr="00F175A7" w14:paraId="52AA7630"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46BA9B71"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Centre-Sud</w:t>
            </w:r>
          </w:p>
        </w:tc>
        <w:tc>
          <w:tcPr>
            <w:tcW w:w="1439" w:type="pct"/>
            <w:vAlign w:val="center"/>
          </w:tcPr>
          <w:p w14:paraId="7FEA1F01"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11,60</w:t>
            </w:r>
          </w:p>
        </w:tc>
        <w:tc>
          <w:tcPr>
            <w:tcW w:w="1275" w:type="pct"/>
            <w:vAlign w:val="center"/>
          </w:tcPr>
          <w:p w14:paraId="53B46B37"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4,63</w:t>
            </w:r>
          </w:p>
        </w:tc>
        <w:tc>
          <w:tcPr>
            <w:tcW w:w="1238" w:type="pct"/>
            <w:vAlign w:val="center"/>
          </w:tcPr>
          <w:p w14:paraId="4B81EE94"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40,0</w:t>
            </w:r>
          </w:p>
        </w:tc>
      </w:tr>
      <w:tr w:rsidR="00F842B7" w:rsidRPr="00F175A7" w14:paraId="30CB058C"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7084E1C8"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Est</w:t>
            </w:r>
          </w:p>
        </w:tc>
        <w:tc>
          <w:tcPr>
            <w:tcW w:w="1439" w:type="pct"/>
            <w:vAlign w:val="center"/>
          </w:tcPr>
          <w:p w14:paraId="34D6A766"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140,77</w:t>
            </w:r>
          </w:p>
        </w:tc>
        <w:tc>
          <w:tcPr>
            <w:tcW w:w="1275" w:type="pct"/>
            <w:vAlign w:val="center"/>
          </w:tcPr>
          <w:p w14:paraId="29E0C3B5"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40,11</w:t>
            </w:r>
          </w:p>
        </w:tc>
        <w:tc>
          <w:tcPr>
            <w:tcW w:w="1238" w:type="pct"/>
            <w:vAlign w:val="center"/>
          </w:tcPr>
          <w:p w14:paraId="2EC0AD74"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28,5</w:t>
            </w:r>
          </w:p>
        </w:tc>
      </w:tr>
      <w:tr w:rsidR="00F842B7" w:rsidRPr="00F175A7" w14:paraId="565D488A"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77A08D7E"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Haut-Bassins</w:t>
            </w:r>
          </w:p>
        </w:tc>
        <w:tc>
          <w:tcPr>
            <w:tcW w:w="1439" w:type="pct"/>
            <w:vAlign w:val="center"/>
          </w:tcPr>
          <w:p w14:paraId="65611F78"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63,29</w:t>
            </w:r>
          </w:p>
        </w:tc>
        <w:tc>
          <w:tcPr>
            <w:tcW w:w="1275" w:type="pct"/>
            <w:vAlign w:val="center"/>
          </w:tcPr>
          <w:p w14:paraId="5A0132CE"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44,73</w:t>
            </w:r>
          </w:p>
        </w:tc>
        <w:tc>
          <w:tcPr>
            <w:tcW w:w="1238" w:type="pct"/>
            <w:vAlign w:val="center"/>
          </w:tcPr>
          <w:p w14:paraId="7B06FE78"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70,7</w:t>
            </w:r>
          </w:p>
        </w:tc>
      </w:tr>
      <w:tr w:rsidR="00F842B7" w:rsidRPr="00F175A7" w14:paraId="4D400BD0"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53B4B537"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Nord</w:t>
            </w:r>
          </w:p>
        </w:tc>
        <w:tc>
          <w:tcPr>
            <w:tcW w:w="1439" w:type="pct"/>
            <w:vAlign w:val="center"/>
          </w:tcPr>
          <w:p w14:paraId="5698EC13"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21,56</w:t>
            </w:r>
          </w:p>
        </w:tc>
        <w:tc>
          <w:tcPr>
            <w:tcW w:w="1275" w:type="pct"/>
            <w:vAlign w:val="center"/>
          </w:tcPr>
          <w:p w14:paraId="43A580B9"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18,33</w:t>
            </w:r>
          </w:p>
        </w:tc>
        <w:tc>
          <w:tcPr>
            <w:tcW w:w="1238" w:type="pct"/>
            <w:vAlign w:val="center"/>
          </w:tcPr>
          <w:p w14:paraId="3F4821A8"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85,0</w:t>
            </w:r>
          </w:p>
        </w:tc>
      </w:tr>
      <w:tr w:rsidR="00F842B7" w:rsidRPr="00F175A7" w14:paraId="1F61028A"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2D1205FA"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Plateau-Central</w:t>
            </w:r>
          </w:p>
        </w:tc>
        <w:tc>
          <w:tcPr>
            <w:tcW w:w="1439" w:type="pct"/>
            <w:vAlign w:val="center"/>
          </w:tcPr>
          <w:p w14:paraId="277C1260"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18,37</w:t>
            </w:r>
          </w:p>
        </w:tc>
        <w:tc>
          <w:tcPr>
            <w:tcW w:w="1275" w:type="pct"/>
            <w:vAlign w:val="center"/>
          </w:tcPr>
          <w:p w14:paraId="5DD9BC73"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5,61</w:t>
            </w:r>
          </w:p>
        </w:tc>
        <w:tc>
          <w:tcPr>
            <w:tcW w:w="1238" w:type="pct"/>
            <w:vAlign w:val="center"/>
          </w:tcPr>
          <w:p w14:paraId="051F5DE0"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30,5</w:t>
            </w:r>
          </w:p>
        </w:tc>
      </w:tr>
      <w:tr w:rsidR="00F842B7" w:rsidRPr="00F175A7" w14:paraId="403C68F4"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67AB2965"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Sahel</w:t>
            </w:r>
          </w:p>
        </w:tc>
        <w:tc>
          <w:tcPr>
            <w:tcW w:w="1439" w:type="pct"/>
            <w:vAlign w:val="center"/>
          </w:tcPr>
          <w:p w14:paraId="2C5FE98D"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24,03</w:t>
            </w:r>
          </w:p>
        </w:tc>
        <w:tc>
          <w:tcPr>
            <w:tcW w:w="1275" w:type="pct"/>
            <w:vAlign w:val="center"/>
          </w:tcPr>
          <w:p w14:paraId="768F823D"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13,07</w:t>
            </w:r>
          </w:p>
        </w:tc>
        <w:tc>
          <w:tcPr>
            <w:tcW w:w="1238" w:type="pct"/>
            <w:vAlign w:val="center"/>
          </w:tcPr>
          <w:p w14:paraId="7A844AF4"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color w:val="000000"/>
              </w:rPr>
            </w:pPr>
            <w:r w:rsidRPr="00635ACE">
              <w:rPr>
                <w:rFonts w:cs="Calibri"/>
                <w:color w:val="000000"/>
              </w:rPr>
              <w:t>54,4</w:t>
            </w:r>
          </w:p>
        </w:tc>
      </w:tr>
      <w:tr w:rsidR="00F842B7" w:rsidRPr="00F175A7" w14:paraId="52621E90" w14:textId="77777777" w:rsidTr="0001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pct"/>
            <w:vAlign w:val="center"/>
          </w:tcPr>
          <w:p w14:paraId="68932B49" w14:textId="77777777" w:rsidR="00F842B7" w:rsidRPr="00635ACE" w:rsidRDefault="00F842B7" w:rsidP="009A288B">
            <w:pPr>
              <w:spacing w:after="0" w:line="240" w:lineRule="auto"/>
              <w:ind w:firstLine="0"/>
              <w:jc w:val="left"/>
              <w:rPr>
                <w:rFonts w:cs="Calibri"/>
                <w:color w:val="000000"/>
                <w:sz w:val="20"/>
                <w:szCs w:val="20"/>
              </w:rPr>
            </w:pPr>
            <w:r w:rsidRPr="00635ACE">
              <w:rPr>
                <w:rFonts w:cs="Calibri"/>
                <w:bCs w:val="0"/>
                <w:color w:val="000000"/>
                <w:sz w:val="20"/>
                <w:szCs w:val="20"/>
              </w:rPr>
              <w:t>Sud-Ouest</w:t>
            </w:r>
          </w:p>
        </w:tc>
        <w:tc>
          <w:tcPr>
            <w:tcW w:w="1439" w:type="pct"/>
            <w:vAlign w:val="center"/>
          </w:tcPr>
          <w:p w14:paraId="70F076C5"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16,90</w:t>
            </w:r>
          </w:p>
        </w:tc>
        <w:tc>
          <w:tcPr>
            <w:tcW w:w="1275" w:type="pct"/>
            <w:vAlign w:val="center"/>
          </w:tcPr>
          <w:p w14:paraId="540948F2"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13,52</w:t>
            </w:r>
          </w:p>
        </w:tc>
        <w:tc>
          <w:tcPr>
            <w:tcW w:w="1238" w:type="pct"/>
            <w:vAlign w:val="center"/>
          </w:tcPr>
          <w:p w14:paraId="03403C9E" w14:textId="77777777" w:rsidR="00F842B7" w:rsidRPr="00635ACE" w:rsidRDefault="00F842B7" w:rsidP="009A288B">
            <w:pPr>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000000"/>
              </w:rPr>
            </w:pPr>
            <w:r w:rsidRPr="00635ACE">
              <w:rPr>
                <w:rFonts w:cs="Calibri"/>
                <w:color w:val="000000"/>
              </w:rPr>
              <w:t>80,0</w:t>
            </w:r>
          </w:p>
        </w:tc>
      </w:tr>
      <w:tr w:rsidR="00F842B7" w:rsidRPr="00F175A7" w14:paraId="0BAC4381" w14:textId="77777777" w:rsidTr="00010F7D">
        <w:tc>
          <w:tcPr>
            <w:cnfStyle w:val="001000000000" w:firstRow="0" w:lastRow="0" w:firstColumn="1" w:lastColumn="0" w:oddVBand="0" w:evenVBand="0" w:oddHBand="0" w:evenHBand="0" w:firstRowFirstColumn="0" w:firstRowLastColumn="0" w:lastRowFirstColumn="0" w:lastRowLastColumn="0"/>
            <w:tcW w:w="1048" w:type="pct"/>
            <w:vAlign w:val="center"/>
          </w:tcPr>
          <w:p w14:paraId="193B57C1" w14:textId="77777777" w:rsidR="00F842B7" w:rsidRPr="00635ACE" w:rsidRDefault="00F842B7" w:rsidP="009A288B">
            <w:pPr>
              <w:spacing w:after="0" w:line="240" w:lineRule="auto"/>
              <w:ind w:firstLine="0"/>
              <w:rPr>
                <w:rFonts w:cs="Calibri"/>
                <w:color w:val="000000"/>
                <w:szCs w:val="20"/>
              </w:rPr>
            </w:pPr>
            <w:r w:rsidRPr="00635ACE">
              <w:rPr>
                <w:rFonts w:cs="Calibri"/>
                <w:bCs w:val="0"/>
                <w:color w:val="000000"/>
                <w:szCs w:val="20"/>
              </w:rPr>
              <w:t>Total</w:t>
            </w:r>
          </w:p>
        </w:tc>
        <w:tc>
          <w:tcPr>
            <w:tcW w:w="1439" w:type="pct"/>
            <w:vAlign w:val="center"/>
          </w:tcPr>
          <w:p w14:paraId="14A23EA3"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b/>
                <w:bCs/>
                <w:color w:val="000000"/>
              </w:rPr>
            </w:pPr>
            <w:r w:rsidRPr="00635ACE">
              <w:rPr>
                <w:rFonts w:cs="Calibri"/>
                <w:b/>
                <w:bCs/>
                <w:color w:val="000000"/>
              </w:rPr>
              <w:t>574,74</w:t>
            </w:r>
          </w:p>
        </w:tc>
        <w:tc>
          <w:tcPr>
            <w:tcW w:w="1275" w:type="pct"/>
            <w:vAlign w:val="center"/>
          </w:tcPr>
          <w:p w14:paraId="2F49BD8C"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b/>
                <w:bCs/>
                <w:color w:val="000000"/>
              </w:rPr>
            </w:pPr>
            <w:r w:rsidRPr="00635ACE">
              <w:rPr>
                <w:rFonts w:cs="Calibri"/>
                <w:b/>
                <w:bCs/>
                <w:color w:val="000000"/>
              </w:rPr>
              <w:t>251,67</w:t>
            </w:r>
          </w:p>
        </w:tc>
        <w:tc>
          <w:tcPr>
            <w:tcW w:w="1238" w:type="pct"/>
            <w:vAlign w:val="center"/>
          </w:tcPr>
          <w:p w14:paraId="3AF95E87" w14:textId="77777777" w:rsidR="00F842B7" w:rsidRPr="00635ACE" w:rsidRDefault="00F842B7" w:rsidP="009A288B">
            <w:pPr>
              <w:spacing w:after="0" w:line="240" w:lineRule="auto"/>
              <w:cnfStyle w:val="000000000000" w:firstRow="0" w:lastRow="0" w:firstColumn="0" w:lastColumn="0" w:oddVBand="0" w:evenVBand="0" w:oddHBand="0" w:evenHBand="0" w:firstRowFirstColumn="0" w:firstRowLastColumn="0" w:lastRowFirstColumn="0" w:lastRowLastColumn="0"/>
              <w:rPr>
                <w:rFonts w:cs="Calibri"/>
                <w:b/>
                <w:bCs/>
                <w:color w:val="000000"/>
              </w:rPr>
            </w:pPr>
            <w:r w:rsidRPr="00635ACE">
              <w:rPr>
                <w:rFonts w:cs="Calibri"/>
                <w:b/>
                <w:bCs/>
                <w:color w:val="000000"/>
              </w:rPr>
              <w:t>53,2</w:t>
            </w:r>
          </w:p>
        </w:tc>
      </w:tr>
    </w:tbl>
    <w:p w14:paraId="6AA652E6" w14:textId="77777777" w:rsidR="00F842B7" w:rsidRPr="008D20C6" w:rsidRDefault="00F842B7" w:rsidP="00F842B7">
      <w:pPr>
        <w:shd w:val="clear" w:color="auto" w:fill="FFFFFF"/>
        <w:spacing w:before="240" w:after="240" w:line="240" w:lineRule="auto"/>
        <w:rPr>
          <w:rFonts w:eastAsia="Times New Roman" w:cs="Times New Roman"/>
          <w:sz w:val="20"/>
          <w:szCs w:val="20"/>
        </w:rPr>
      </w:pPr>
      <w:r w:rsidRPr="008D20C6">
        <w:rPr>
          <w:rFonts w:eastAsia="Times New Roman" w:cs="Times New Roman"/>
          <w:b/>
          <w:sz w:val="20"/>
          <w:szCs w:val="20"/>
          <w:u w:val="single"/>
        </w:rPr>
        <w:t>Source</w:t>
      </w:r>
      <w:r w:rsidRPr="008D20C6">
        <w:rPr>
          <w:rFonts w:eastAsia="Times New Roman" w:cs="Times New Roman"/>
          <w:sz w:val="20"/>
          <w:szCs w:val="20"/>
        </w:rPr>
        <w:t xml:space="preserve"> : </w:t>
      </w:r>
      <w:r>
        <w:rPr>
          <w:rFonts w:eastAsia="Times New Roman" w:cs="Times New Roman"/>
          <w:sz w:val="20"/>
          <w:szCs w:val="20"/>
        </w:rPr>
        <w:t>conçu à partir des 13</w:t>
      </w:r>
      <w:r w:rsidRPr="008D20C6">
        <w:rPr>
          <w:rFonts w:eastAsia="Times New Roman" w:cs="Times New Roman"/>
          <w:sz w:val="20"/>
          <w:szCs w:val="20"/>
        </w:rPr>
        <w:t xml:space="preserve"> rapports </w:t>
      </w:r>
      <w:r>
        <w:rPr>
          <w:rFonts w:eastAsia="Times New Roman" w:cs="Times New Roman"/>
          <w:sz w:val="20"/>
          <w:szCs w:val="20"/>
        </w:rPr>
        <w:t xml:space="preserve">régionaux </w:t>
      </w:r>
      <w:r w:rsidRPr="008D20C6">
        <w:rPr>
          <w:rFonts w:eastAsia="Times New Roman" w:cs="Times New Roman"/>
          <w:sz w:val="20"/>
          <w:szCs w:val="20"/>
        </w:rPr>
        <w:t>de performance 2023, SEN</w:t>
      </w:r>
      <w:r>
        <w:rPr>
          <w:rFonts w:eastAsia="Times New Roman" w:cs="Times New Roman"/>
          <w:sz w:val="20"/>
          <w:szCs w:val="20"/>
        </w:rPr>
        <w:t>-</w:t>
      </w:r>
      <w:r w:rsidRPr="008D20C6">
        <w:rPr>
          <w:rFonts w:eastAsia="Times New Roman" w:cs="Times New Roman"/>
          <w:sz w:val="20"/>
          <w:szCs w:val="20"/>
        </w:rPr>
        <w:t>PND</w:t>
      </w:r>
    </w:p>
    <w:p w14:paraId="09C733C0" w14:textId="2E8505FC" w:rsidR="00F842B7" w:rsidRPr="009A288B" w:rsidRDefault="00F842B7" w:rsidP="00BB002E">
      <w:pPr>
        <w:numPr>
          <w:ilvl w:val="0"/>
          <w:numId w:val="8"/>
        </w:numPr>
        <w:shd w:val="clear" w:color="auto" w:fill="FFFFFF"/>
        <w:spacing w:before="120" w:after="120" w:line="240" w:lineRule="auto"/>
        <w:ind w:left="0"/>
        <w:rPr>
          <w:rFonts w:eastAsia="Calibri"/>
          <w:szCs w:val="24"/>
        </w:rPr>
      </w:pPr>
      <w:r w:rsidRPr="00BB002E">
        <w:rPr>
          <w:rFonts w:eastAsia="Calibri"/>
          <w:szCs w:val="24"/>
        </w:rPr>
        <w:lastRenderedPageBreak/>
        <w:t xml:space="preserve">Les </w:t>
      </w:r>
      <w:r w:rsidR="009257ED" w:rsidRPr="00BB002E">
        <w:rPr>
          <w:rFonts w:eastAsia="Calibri"/>
          <w:szCs w:val="24"/>
        </w:rPr>
        <w:t>difficultés re</w:t>
      </w:r>
      <w:r w:rsidR="009257ED" w:rsidRPr="00400326">
        <w:rPr>
          <w:rFonts w:eastAsia="Calibri"/>
          <w:szCs w:val="24"/>
        </w:rPr>
        <w:t>n</w:t>
      </w:r>
      <w:r w:rsidR="009257ED" w:rsidRPr="009A288B">
        <w:rPr>
          <w:rFonts w:eastAsia="Calibri"/>
          <w:szCs w:val="24"/>
        </w:rPr>
        <w:t xml:space="preserve">contrées </w:t>
      </w:r>
      <w:r w:rsidR="00BB002E" w:rsidRPr="009A288B">
        <w:rPr>
          <w:rFonts w:eastAsia="Calibri"/>
          <w:szCs w:val="24"/>
        </w:rPr>
        <w:t>par les CT dans la mise en œuvre des PA-SD régionaux sont</w:t>
      </w:r>
      <w:r w:rsidRPr="009A288B">
        <w:rPr>
          <w:rFonts w:eastAsia="Calibri"/>
          <w:szCs w:val="24"/>
        </w:rPr>
        <w:t xml:space="preserve">, entre autres, </w:t>
      </w:r>
      <w:r w:rsidR="00BB002E" w:rsidRPr="009A288B">
        <w:rPr>
          <w:rFonts w:eastAsia="Calibri"/>
          <w:szCs w:val="24"/>
        </w:rPr>
        <w:t>(i) la crise sécuritaire marquée par la persistance des attaques terroristes ayant pour corollaire l’inaccessibilité de certains sites pour la réalisation des infrastructures, (ii) le manque de ressources financières, (iii) la circulaire (N°2023-01795/MEFP/MATDS du 15 juin 2023) interdisant les investissements sur fonds propres des collectivités territoriales, (iv) la défaillance de certains prestataires de services et le faible niveau de recouvrement des ressources propres.</w:t>
      </w:r>
    </w:p>
    <w:p w14:paraId="14BAAAB1" w14:textId="0F4B8423" w:rsidR="00FA0A98" w:rsidRDefault="00FA0A98">
      <w:pPr>
        <w:spacing w:after="0" w:line="240" w:lineRule="auto"/>
        <w:jc w:val="left"/>
        <w:rPr>
          <w:rFonts w:eastAsia="Calibri"/>
          <w:szCs w:val="24"/>
        </w:rPr>
      </w:pPr>
      <w:r>
        <w:rPr>
          <w:rFonts w:eastAsia="Calibri"/>
          <w:szCs w:val="24"/>
        </w:rPr>
        <w:br w:type="page"/>
      </w:r>
    </w:p>
    <w:p w14:paraId="704101B5" w14:textId="3B613E69" w:rsidR="00395AEC" w:rsidRPr="00395AEC" w:rsidRDefault="00023238" w:rsidP="00395AEC">
      <w:pPr>
        <w:pStyle w:val="Titre1"/>
        <w:rPr>
          <w:sz w:val="36"/>
          <w:szCs w:val="36"/>
        </w:rPr>
      </w:pPr>
      <w:bookmarkStart w:id="215" w:name="_Toc163141255"/>
      <w:bookmarkStart w:id="216" w:name="_Toc164692894"/>
      <w:bookmarkStart w:id="217" w:name="_GoBack"/>
      <w:bookmarkEnd w:id="217"/>
      <w:r w:rsidRPr="008D2129">
        <w:rPr>
          <w:sz w:val="36"/>
          <w:szCs w:val="36"/>
        </w:rPr>
        <w:lastRenderedPageBreak/>
        <w:t>Conclusion</w:t>
      </w:r>
      <w:bookmarkEnd w:id="215"/>
      <w:bookmarkEnd w:id="216"/>
      <w:r w:rsidRPr="008D2129">
        <w:rPr>
          <w:sz w:val="36"/>
          <w:szCs w:val="36"/>
        </w:rPr>
        <w:t xml:space="preserve"> </w:t>
      </w:r>
    </w:p>
    <w:p w14:paraId="127D3845" w14:textId="6BB54A43" w:rsidR="009A6050" w:rsidRDefault="00395AEC" w:rsidP="009A6050">
      <w:pPr>
        <w:numPr>
          <w:ilvl w:val="0"/>
          <w:numId w:val="8"/>
        </w:numPr>
        <w:shd w:val="clear" w:color="auto" w:fill="FFFFFF"/>
        <w:spacing w:before="120" w:after="120" w:line="240" w:lineRule="auto"/>
        <w:ind w:left="0"/>
        <w:rPr>
          <w:rFonts w:eastAsia="Calibri"/>
          <w:szCs w:val="24"/>
        </w:rPr>
      </w:pPr>
      <w:r w:rsidRPr="00395AEC">
        <w:rPr>
          <w:rFonts w:cs="Calibri"/>
          <w:color w:val="000000" w:themeColor="text1"/>
          <w:szCs w:val="24"/>
        </w:rPr>
        <w:t>La mise en œuvre du Plan d’action pour la stabilisation et le développement (PA-SD), instrument principal d’opérationnalisation de la PND</w:t>
      </w:r>
      <w:r w:rsidR="00526031">
        <w:rPr>
          <w:rFonts w:cs="Calibri"/>
          <w:color w:val="000000" w:themeColor="text1"/>
          <w:szCs w:val="24"/>
        </w:rPr>
        <w:t>,</w:t>
      </w:r>
      <w:r w:rsidRPr="00395AEC">
        <w:rPr>
          <w:rFonts w:cs="Calibri"/>
          <w:color w:val="000000" w:themeColor="text1"/>
          <w:szCs w:val="24"/>
        </w:rPr>
        <w:t xml:space="preserve"> s’est faite en 2023 dans un environnement difficile marqué</w:t>
      </w:r>
      <w:r w:rsidR="009A6050">
        <w:rPr>
          <w:rFonts w:cs="Calibri"/>
          <w:color w:val="000000" w:themeColor="text1"/>
          <w:szCs w:val="24"/>
        </w:rPr>
        <w:t xml:space="preserve"> par un </w:t>
      </w:r>
      <w:r w:rsidR="009A6050" w:rsidRPr="00896441">
        <w:rPr>
          <w:rFonts w:eastAsia="Calibri"/>
          <w:szCs w:val="24"/>
        </w:rPr>
        <w:t>contexte sécuritaire préoccupant</w:t>
      </w:r>
      <w:r w:rsidR="009A6050">
        <w:rPr>
          <w:rFonts w:eastAsia="Calibri"/>
          <w:szCs w:val="24"/>
        </w:rPr>
        <w:t xml:space="preserve"> </w:t>
      </w:r>
      <w:r w:rsidR="00526031">
        <w:rPr>
          <w:rFonts w:eastAsia="Calibri"/>
          <w:szCs w:val="24"/>
        </w:rPr>
        <w:t>sur le</w:t>
      </w:r>
      <w:r w:rsidR="009A6050">
        <w:rPr>
          <w:rFonts w:eastAsia="Calibri"/>
          <w:szCs w:val="24"/>
        </w:rPr>
        <w:t xml:space="preserve"> plan national et sous régional ainsi que</w:t>
      </w:r>
      <w:r w:rsidR="009A6050" w:rsidRPr="00896441">
        <w:rPr>
          <w:rFonts w:eastAsia="Calibri"/>
          <w:szCs w:val="24"/>
        </w:rPr>
        <w:t xml:space="preserve"> </w:t>
      </w:r>
      <w:r w:rsidR="009A6050">
        <w:rPr>
          <w:rFonts w:eastAsia="Calibri"/>
          <w:szCs w:val="24"/>
        </w:rPr>
        <w:t>la persistance de</w:t>
      </w:r>
      <w:r w:rsidR="009A6050" w:rsidRPr="00896441">
        <w:rPr>
          <w:rFonts w:eastAsia="Calibri"/>
          <w:szCs w:val="24"/>
        </w:rPr>
        <w:t xml:space="preserve"> chocs exogènes résultant du conflit russo-ukrainien</w:t>
      </w:r>
      <w:r w:rsidR="009A6050">
        <w:rPr>
          <w:rFonts w:eastAsia="Calibri"/>
          <w:szCs w:val="24"/>
        </w:rPr>
        <w:t>.</w:t>
      </w:r>
    </w:p>
    <w:p w14:paraId="7C6B2852" w14:textId="24EEE37A" w:rsidR="009A6050" w:rsidRPr="009A6050" w:rsidRDefault="009A6050" w:rsidP="009A6050">
      <w:pPr>
        <w:numPr>
          <w:ilvl w:val="0"/>
          <w:numId w:val="8"/>
        </w:numPr>
        <w:shd w:val="clear" w:color="auto" w:fill="FFFFFF"/>
        <w:spacing w:before="120" w:after="120" w:line="240" w:lineRule="auto"/>
        <w:ind w:left="0"/>
        <w:rPr>
          <w:rFonts w:cs="Calibri"/>
          <w:color w:val="000000" w:themeColor="text1"/>
          <w:szCs w:val="24"/>
        </w:rPr>
      </w:pPr>
      <w:r>
        <w:rPr>
          <w:rFonts w:cs="Calibri"/>
          <w:color w:val="000000" w:themeColor="text1"/>
          <w:szCs w:val="24"/>
        </w:rPr>
        <w:t xml:space="preserve">Toutefois, grâce </w:t>
      </w:r>
      <w:r>
        <w:rPr>
          <w:rFonts w:eastAsia="Calibri"/>
          <w:szCs w:val="24"/>
        </w:rPr>
        <w:t>aux</w:t>
      </w:r>
      <w:r w:rsidRPr="00B21CEC">
        <w:rPr>
          <w:rFonts w:eastAsia="Calibri"/>
          <w:szCs w:val="24"/>
        </w:rPr>
        <w:t xml:space="preserve"> efforts en cours dans la dynamique de reconquête du territoire et la campagne agro-</w:t>
      </w:r>
      <w:proofErr w:type="spellStart"/>
      <w:r w:rsidRPr="00B21CEC">
        <w:rPr>
          <w:rFonts w:eastAsia="Calibri"/>
          <w:szCs w:val="24"/>
        </w:rPr>
        <w:t>sylvo</w:t>
      </w:r>
      <w:proofErr w:type="spellEnd"/>
      <w:r w:rsidRPr="00B21CEC">
        <w:rPr>
          <w:rFonts w:eastAsia="Calibri"/>
          <w:szCs w:val="24"/>
        </w:rPr>
        <w:t>-pastorale jugée favorable</w:t>
      </w:r>
      <w:r w:rsidR="00526031">
        <w:rPr>
          <w:rFonts w:eastAsia="Calibri"/>
          <w:szCs w:val="24"/>
        </w:rPr>
        <w:t>,</w:t>
      </w:r>
      <w:r>
        <w:rPr>
          <w:rFonts w:eastAsia="Calibri"/>
          <w:szCs w:val="24"/>
        </w:rPr>
        <w:t xml:space="preserve"> des résultats importants ont été enregistrés tant </w:t>
      </w:r>
      <w:r w:rsidR="00526031">
        <w:rPr>
          <w:rFonts w:eastAsia="Calibri"/>
          <w:szCs w:val="24"/>
        </w:rPr>
        <w:t>sur le</w:t>
      </w:r>
      <w:r>
        <w:rPr>
          <w:rFonts w:eastAsia="Calibri"/>
          <w:szCs w:val="24"/>
        </w:rPr>
        <w:t xml:space="preserve"> plan économique que dans la mise en œuvre du PA-SD.</w:t>
      </w:r>
    </w:p>
    <w:p w14:paraId="1B108E0D" w14:textId="7B9991F7" w:rsidR="009A6050" w:rsidRPr="00395AEC" w:rsidRDefault="009A6050" w:rsidP="0052128C">
      <w:pPr>
        <w:numPr>
          <w:ilvl w:val="0"/>
          <w:numId w:val="8"/>
        </w:numPr>
        <w:shd w:val="clear" w:color="auto" w:fill="FFFFFF"/>
        <w:spacing w:before="120" w:after="120" w:line="240" w:lineRule="auto"/>
        <w:ind w:left="0"/>
        <w:rPr>
          <w:rFonts w:cs="Calibri"/>
          <w:color w:val="000000" w:themeColor="text1"/>
          <w:szCs w:val="24"/>
        </w:rPr>
      </w:pPr>
      <w:r>
        <w:rPr>
          <w:rFonts w:cs="Calibri"/>
          <w:color w:val="000000" w:themeColor="text1"/>
          <w:szCs w:val="24"/>
        </w:rPr>
        <w:t xml:space="preserve">Ainsi, </w:t>
      </w:r>
      <w:r w:rsidR="00526031">
        <w:rPr>
          <w:rFonts w:cs="Calibri"/>
          <w:color w:val="000000" w:themeColor="text1"/>
          <w:szCs w:val="24"/>
        </w:rPr>
        <w:t>sur le</w:t>
      </w:r>
      <w:r>
        <w:rPr>
          <w:rFonts w:cs="Calibri"/>
          <w:color w:val="000000" w:themeColor="text1"/>
          <w:szCs w:val="24"/>
        </w:rPr>
        <w:t xml:space="preserve"> plan économique, l’activité s</w:t>
      </w:r>
      <w:r w:rsidR="0052128C">
        <w:rPr>
          <w:rFonts w:cs="Calibri"/>
          <w:color w:val="000000" w:themeColor="text1"/>
          <w:szCs w:val="24"/>
        </w:rPr>
        <w:t xml:space="preserve">’est </w:t>
      </w:r>
      <w:r>
        <w:rPr>
          <w:rFonts w:cs="Calibri"/>
          <w:color w:val="000000" w:themeColor="text1"/>
          <w:szCs w:val="24"/>
        </w:rPr>
        <w:t>repr</w:t>
      </w:r>
      <w:r w:rsidR="0052128C">
        <w:rPr>
          <w:rFonts w:cs="Calibri"/>
          <w:color w:val="000000" w:themeColor="text1"/>
          <w:szCs w:val="24"/>
        </w:rPr>
        <w:t xml:space="preserve">ise </w:t>
      </w:r>
      <w:r>
        <w:rPr>
          <w:rFonts w:cs="Calibri"/>
          <w:color w:val="000000" w:themeColor="text1"/>
          <w:szCs w:val="24"/>
        </w:rPr>
        <w:t>progressivement en 2023</w:t>
      </w:r>
      <w:r w:rsidR="0052128C">
        <w:rPr>
          <w:rFonts w:cs="Calibri"/>
          <w:color w:val="000000" w:themeColor="text1"/>
          <w:szCs w:val="24"/>
        </w:rPr>
        <w:t xml:space="preserve"> avec </w:t>
      </w:r>
      <w:r w:rsidR="0052128C">
        <w:rPr>
          <w:rFonts w:eastAsia="Calibri"/>
          <w:szCs w:val="24"/>
        </w:rPr>
        <w:t>un</w:t>
      </w:r>
      <w:r w:rsidR="00395AEC" w:rsidRPr="00395AEC">
        <w:rPr>
          <w:rFonts w:cs="Calibri"/>
          <w:color w:val="000000" w:themeColor="text1"/>
          <w:szCs w:val="24"/>
        </w:rPr>
        <w:t xml:space="preserve"> taux de croissance du PIB réel </w:t>
      </w:r>
      <w:r w:rsidR="0052128C">
        <w:rPr>
          <w:rFonts w:cs="Calibri"/>
          <w:color w:val="000000" w:themeColor="text1"/>
          <w:szCs w:val="24"/>
        </w:rPr>
        <w:t>de</w:t>
      </w:r>
      <w:r>
        <w:rPr>
          <w:rFonts w:cs="Calibri"/>
          <w:color w:val="000000" w:themeColor="text1"/>
          <w:szCs w:val="24"/>
        </w:rPr>
        <w:t xml:space="preserve"> </w:t>
      </w:r>
      <w:r w:rsidR="00395AEC" w:rsidRPr="00395AEC">
        <w:rPr>
          <w:rFonts w:cs="Calibri"/>
          <w:color w:val="000000" w:themeColor="text1"/>
          <w:szCs w:val="24"/>
        </w:rPr>
        <w:t>3,6% en 2023 contre 1,8% en 2022</w:t>
      </w:r>
      <w:r w:rsidR="0052128C">
        <w:rPr>
          <w:rFonts w:cs="Calibri"/>
          <w:color w:val="000000" w:themeColor="text1"/>
          <w:szCs w:val="24"/>
        </w:rPr>
        <w:t>,</w:t>
      </w:r>
      <w:r w:rsidR="00395AEC" w:rsidRPr="00395AEC">
        <w:rPr>
          <w:rFonts w:cs="Calibri"/>
          <w:color w:val="000000" w:themeColor="text1"/>
          <w:szCs w:val="24"/>
        </w:rPr>
        <w:t xml:space="preserve"> du fait de la croissance de la valeur ajoutée des secteurs tertiaire (4,9%), second</w:t>
      </w:r>
      <w:r w:rsidR="0052128C">
        <w:rPr>
          <w:rFonts w:cs="Calibri"/>
          <w:color w:val="000000" w:themeColor="text1"/>
          <w:szCs w:val="24"/>
        </w:rPr>
        <w:t>aire (3,7%) et primaire (1,8%).</w:t>
      </w:r>
      <w:r w:rsidR="00395AEC" w:rsidRPr="00395AEC">
        <w:rPr>
          <w:rFonts w:cs="Calibri"/>
          <w:color w:val="000000" w:themeColor="text1"/>
          <w:szCs w:val="24"/>
        </w:rPr>
        <w:t xml:space="preserve"> </w:t>
      </w:r>
      <w:r w:rsidR="00456856">
        <w:rPr>
          <w:rFonts w:cs="Calibri"/>
          <w:color w:val="000000" w:themeColor="text1"/>
          <w:szCs w:val="24"/>
        </w:rPr>
        <w:t xml:space="preserve">Aussi, </w:t>
      </w:r>
      <w:r w:rsidRPr="00395AEC">
        <w:rPr>
          <w:rFonts w:cs="Calibri"/>
          <w:color w:val="000000" w:themeColor="text1"/>
          <w:szCs w:val="24"/>
        </w:rPr>
        <w:t>l’inflation</w:t>
      </w:r>
      <w:r>
        <w:rPr>
          <w:rFonts w:cs="Calibri"/>
          <w:color w:val="000000" w:themeColor="text1"/>
          <w:szCs w:val="24"/>
        </w:rPr>
        <w:t xml:space="preserve">, </w:t>
      </w:r>
      <w:r w:rsidRPr="00C209F4">
        <w:rPr>
          <w:rFonts w:cs="Calibri"/>
          <w:color w:val="000000" w:themeColor="text1"/>
          <w:szCs w:val="24"/>
        </w:rPr>
        <w:t>en moyenne annuelle</w:t>
      </w:r>
      <w:r w:rsidRPr="00395AEC">
        <w:rPr>
          <w:rFonts w:cs="Calibri"/>
          <w:color w:val="000000" w:themeColor="text1"/>
          <w:szCs w:val="24"/>
        </w:rPr>
        <w:t xml:space="preserve">, </w:t>
      </w:r>
      <w:r>
        <w:rPr>
          <w:rFonts w:cs="Calibri"/>
          <w:color w:val="000000" w:themeColor="text1"/>
          <w:szCs w:val="24"/>
        </w:rPr>
        <w:t xml:space="preserve">a été </w:t>
      </w:r>
      <w:r w:rsidRPr="00C209F4">
        <w:rPr>
          <w:rFonts w:cs="Calibri"/>
          <w:color w:val="000000" w:themeColor="text1"/>
          <w:szCs w:val="24"/>
        </w:rPr>
        <w:t>maitrisée à 0,7% en 2023 contre 14,1% une année plu</w:t>
      </w:r>
      <w:r w:rsidR="00526031">
        <w:rPr>
          <w:rFonts w:cs="Calibri"/>
          <w:color w:val="000000" w:themeColor="text1"/>
          <w:szCs w:val="24"/>
        </w:rPr>
        <w:t xml:space="preserve">s </w:t>
      </w:r>
      <w:r w:rsidRPr="00C209F4">
        <w:rPr>
          <w:rFonts w:cs="Calibri"/>
          <w:color w:val="000000" w:themeColor="text1"/>
          <w:szCs w:val="24"/>
        </w:rPr>
        <w:t>tôt</w:t>
      </w:r>
      <w:r>
        <w:rPr>
          <w:rFonts w:cs="Calibri"/>
          <w:color w:val="000000" w:themeColor="text1"/>
          <w:szCs w:val="24"/>
        </w:rPr>
        <w:t>.</w:t>
      </w:r>
    </w:p>
    <w:p w14:paraId="3E6EF99A" w14:textId="2B91CEB9" w:rsidR="00395AEC" w:rsidRPr="00395AEC" w:rsidRDefault="00456856" w:rsidP="00F175A7">
      <w:pPr>
        <w:numPr>
          <w:ilvl w:val="0"/>
          <w:numId w:val="8"/>
        </w:numPr>
        <w:shd w:val="clear" w:color="auto" w:fill="FFFFFF"/>
        <w:spacing w:before="120" w:after="120" w:line="240" w:lineRule="auto"/>
        <w:ind w:left="0"/>
        <w:rPr>
          <w:rFonts w:cs="Calibri"/>
          <w:color w:val="000000" w:themeColor="text1"/>
          <w:szCs w:val="24"/>
        </w:rPr>
      </w:pPr>
      <w:r>
        <w:rPr>
          <w:rFonts w:cs="Calibri"/>
          <w:color w:val="000000" w:themeColor="text1"/>
          <w:szCs w:val="24"/>
        </w:rPr>
        <w:t>Quant au</w:t>
      </w:r>
      <w:r w:rsidR="00395AEC" w:rsidRPr="00395AEC">
        <w:rPr>
          <w:rFonts w:cs="Calibri"/>
          <w:color w:val="000000" w:themeColor="text1"/>
          <w:szCs w:val="24"/>
        </w:rPr>
        <w:t xml:space="preserve"> niveau global de mise en œuvre du PA-SD, </w:t>
      </w:r>
      <w:r>
        <w:rPr>
          <w:rFonts w:cs="Calibri"/>
          <w:color w:val="000000" w:themeColor="text1"/>
          <w:szCs w:val="24"/>
        </w:rPr>
        <w:t xml:space="preserve">eu égard </w:t>
      </w:r>
      <w:r w:rsidR="00526031">
        <w:rPr>
          <w:rFonts w:cs="Calibri"/>
          <w:color w:val="000000" w:themeColor="text1"/>
          <w:szCs w:val="24"/>
        </w:rPr>
        <w:t>a</w:t>
      </w:r>
      <w:r>
        <w:rPr>
          <w:rFonts w:cs="Calibri"/>
          <w:color w:val="000000" w:themeColor="text1"/>
          <w:szCs w:val="24"/>
        </w:rPr>
        <w:t>u contexte relativement peu favorable, il est jugé satisfaisant en 2023 avec un niveau d’exécution physique de</w:t>
      </w:r>
      <w:r w:rsidR="00395AEC" w:rsidRPr="00395AEC">
        <w:rPr>
          <w:rFonts w:cs="Calibri"/>
          <w:color w:val="000000" w:themeColor="text1"/>
          <w:szCs w:val="24"/>
        </w:rPr>
        <w:t xml:space="preserve"> 7</w:t>
      </w:r>
      <w:r w:rsidR="00846D1F">
        <w:rPr>
          <w:rFonts w:cs="Calibri"/>
          <w:color w:val="000000" w:themeColor="text1"/>
          <w:szCs w:val="24"/>
        </w:rPr>
        <w:t>3</w:t>
      </w:r>
      <w:r w:rsidR="00395AEC" w:rsidRPr="00395AEC">
        <w:rPr>
          <w:rFonts w:cs="Calibri"/>
          <w:color w:val="000000" w:themeColor="text1"/>
          <w:szCs w:val="24"/>
        </w:rPr>
        <w:t>,</w:t>
      </w:r>
      <w:r w:rsidR="00846D1F">
        <w:rPr>
          <w:rFonts w:cs="Calibri"/>
          <w:color w:val="000000" w:themeColor="text1"/>
          <w:szCs w:val="24"/>
        </w:rPr>
        <w:t>39</w:t>
      </w:r>
      <w:r w:rsidR="00395AEC" w:rsidRPr="00395AEC">
        <w:rPr>
          <w:rFonts w:cs="Calibri"/>
          <w:color w:val="000000" w:themeColor="text1"/>
          <w:szCs w:val="24"/>
        </w:rPr>
        <w:t xml:space="preserve">% et </w:t>
      </w:r>
      <w:r>
        <w:rPr>
          <w:rFonts w:cs="Calibri"/>
          <w:color w:val="000000" w:themeColor="text1"/>
          <w:szCs w:val="24"/>
        </w:rPr>
        <w:t xml:space="preserve">une réalisation financière de </w:t>
      </w:r>
      <w:r w:rsidR="00395AEC" w:rsidRPr="00395AEC">
        <w:rPr>
          <w:rFonts w:cs="Calibri"/>
          <w:color w:val="000000" w:themeColor="text1"/>
          <w:szCs w:val="24"/>
        </w:rPr>
        <w:t>59,</w:t>
      </w:r>
      <w:r w:rsidR="00846D1F">
        <w:rPr>
          <w:rFonts w:cs="Calibri"/>
          <w:color w:val="000000" w:themeColor="text1"/>
          <w:szCs w:val="24"/>
        </w:rPr>
        <w:t>21</w:t>
      </w:r>
      <w:r w:rsidR="00395AEC" w:rsidRPr="00395AEC">
        <w:rPr>
          <w:rFonts w:cs="Calibri"/>
          <w:color w:val="000000" w:themeColor="text1"/>
          <w:szCs w:val="24"/>
        </w:rPr>
        <w:t>%. Les acquis majeurs enregistrés sont présentés suivant les piliers du Plan.</w:t>
      </w:r>
    </w:p>
    <w:p w14:paraId="426A62DC" w14:textId="7A2C2516"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En matière de lutte contre le terrorisme et la restauration de l’intégrité territoriale (Pilier 1), les principaux résultats obtenus ont concerné</w:t>
      </w:r>
      <w:r w:rsidR="00FD16B9">
        <w:rPr>
          <w:rFonts w:cs="Calibri"/>
          <w:color w:val="000000" w:themeColor="text1"/>
          <w:szCs w:val="24"/>
        </w:rPr>
        <w:t> :</w:t>
      </w:r>
      <w:r w:rsidRPr="00395AEC">
        <w:rPr>
          <w:rFonts w:cs="Calibri"/>
          <w:color w:val="000000" w:themeColor="text1"/>
          <w:szCs w:val="24"/>
        </w:rPr>
        <w:t xml:space="preserve"> (i) </w:t>
      </w:r>
      <w:r w:rsidR="00FD16B9" w:rsidRPr="00395AEC">
        <w:rPr>
          <w:rFonts w:cs="Calibri"/>
          <w:color w:val="000000" w:themeColor="text1"/>
          <w:szCs w:val="24"/>
        </w:rPr>
        <w:t xml:space="preserve">le </w:t>
      </w:r>
      <w:r w:rsidRPr="00395AEC">
        <w:rPr>
          <w:rFonts w:cs="Calibri"/>
          <w:color w:val="000000" w:themeColor="text1"/>
          <w:szCs w:val="24"/>
        </w:rPr>
        <w:t>renforcement des capacités opérationnelles des Forces de défense et de sécurité</w:t>
      </w:r>
      <w:r w:rsidR="00526031">
        <w:rPr>
          <w:rFonts w:cs="Calibri"/>
          <w:color w:val="000000" w:themeColor="text1"/>
          <w:szCs w:val="24"/>
        </w:rPr>
        <w:t>,</w:t>
      </w:r>
      <w:r w:rsidRPr="00395AEC">
        <w:rPr>
          <w:rFonts w:cs="Calibri"/>
          <w:color w:val="000000" w:themeColor="text1"/>
          <w:szCs w:val="24"/>
        </w:rPr>
        <w:t xml:space="preserve"> (ii) la consolidation de la réorganisation de l’armé</w:t>
      </w:r>
      <w:r w:rsidR="00526031">
        <w:rPr>
          <w:rFonts w:cs="Calibri"/>
          <w:color w:val="000000" w:themeColor="text1"/>
          <w:szCs w:val="24"/>
        </w:rPr>
        <w:t>e</w:t>
      </w:r>
      <w:r w:rsidRPr="00395AEC">
        <w:rPr>
          <w:rFonts w:cs="Calibri"/>
          <w:color w:val="000000" w:themeColor="text1"/>
          <w:szCs w:val="24"/>
        </w:rPr>
        <w:t xml:space="preserve"> avec la création d’unités spéciales, notamment les BIR dans l’armée, les  GUMI à la </w:t>
      </w:r>
      <w:r w:rsidR="00DD1281">
        <w:rPr>
          <w:rFonts w:cs="Calibri"/>
          <w:color w:val="000000" w:themeColor="text1"/>
          <w:szCs w:val="24"/>
        </w:rPr>
        <w:t>P</w:t>
      </w:r>
      <w:r w:rsidRPr="00395AEC">
        <w:rPr>
          <w:rFonts w:cs="Calibri"/>
          <w:color w:val="000000" w:themeColor="text1"/>
          <w:szCs w:val="24"/>
        </w:rPr>
        <w:t>olice nationale et une unité spéciale des eaux et forêts, (iii) le renforcement en équipements adaptés composés de moyens volant</w:t>
      </w:r>
      <w:r w:rsidR="00DD1281">
        <w:rPr>
          <w:rFonts w:cs="Calibri"/>
          <w:color w:val="000000" w:themeColor="text1"/>
          <w:szCs w:val="24"/>
        </w:rPr>
        <w:t>s</w:t>
      </w:r>
      <w:r w:rsidRPr="00395AEC">
        <w:rPr>
          <w:rFonts w:cs="Calibri"/>
          <w:color w:val="000000" w:themeColor="text1"/>
          <w:szCs w:val="24"/>
        </w:rPr>
        <w:t>, roulant</w:t>
      </w:r>
      <w:r w:rsidR="00DD1281">
        <w:rPr>
          <w:rFonts w:cs="Calibri"/>
          <w:color w:val="000000" w:themeColor="text1"/>
          <w:szCs w:val="24"/>
        </w:rPr>
        <w:t>s</w:t>
      </w:r>
      <w:r w:rsidRPr="00395AEC">
        <w:rPr>
          <w:rFonts w:cs="Calibri"/>
          <w:color w:val="000000" w:themeColor="text1"/>
          <w:szCs w:val="24"/>
        </w:rPr>
        <w:t xml:space="preserve"> et tactiques, (iv) la diversification des partenariats en matière de défense et sécurité par la conclusion d’un nouveau partenariat en matière de défense et de sécurité spécifiquement dans la lutte contre le terrorisme dans le cadre de l’AES</w:t>
      </w:r>
      <w:r w:rsidR="00DD1281">
        <w:rPr>
          <w:rFonts w:cs="Calibri"/>
          <w:color w:val="000000" w:themeColor="text1"/>
          <w:szCs w:val="24"/>
        </w:rPr>
        <w:t>.</w:t>
      </w:r>
    </w:p>
    <w:p w14:paraId="065F6A91" w14:textId="32EA0173"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 xml:space="preserve">Concernant la réponse à la crise humanitaire (Pilier 2), les acquis observés en 2023 ont trait (i) </w:t>
      </w:r>
      <w:r w:rsidR="00DD1281">
        <w:rPr>
          <w:rFonts w:cs="Calibri"/>
          <w:color w:val="000000" w:themeColor="text1"/>
          <w:szCs w:val="24"/>
        </w:rPr>
        <w:t>au</w:t>
      </w:r>
      <w:r w:rsidRPr="00395AEC">
        <w:rPr>
          <w:rFonts w:cs="Calibri"/>
          <w:color w:val="000000" w:themeColor="text1"/>
          <w:szCs w:val="24"/>
        </w:rPr>
        <w:t xml:space="preserve"> soutien au retour volontaire des personnes déplacées dans leurs zones d'origine et garantie de leur sécurité avec l’accompagnement effectif de 76</w:t>
      </w:r>
      <w:r w:rsidR="005E1DC6" w:rsidRPr="009A288B">
        <w:rPr>
          <w:rFonts w:eastAsia="Calibri"/>
          <w:szCs w:val="24"/>
        </w:rPr>
        <w:t>°</w:t>
      </w:r>
      <w:r w:rsidRPr="00395AEC">
        <w:rPr>
          <w:rFonts w:cs="Calibri"/>
          <w:color w:val="000000" w:themeColor="text1"/>
          <w:szCs w:val="24"/>
        </w:rPr>
        <w:t xml:space="preserve">000 PDI volontairement retournées, intégrées ou réinstallées, (ii) la prise en charge psycho-sociale des victimes et personnes affectées par le terrorisme avec l’accompagnement de la totalité des gendarmes et policiers blessés ainsi que la prise en charge des familles de gendarmes et policiers portés </w:t>
      </w:r>
      <w:r w:rsidR="005E1DC6">
        <w:rPr>
          <w:rFonts w:cs="Calibri"/>
          <w:color w:val="000000" w:themeColor="text1"/>
          <w:szCs w:val="24"/>
        </w:rPr>
        <w:t>disparus, l’accompagnement de 3</w:t>
      </w:r>
      <w:r w:rsidR="005E1DC6" w:rsidRPr="009A288B">
        <w:rPr>
          <w:rFonts w:eastAsia="Calibri"/>
          <w:szCs w:val="24"/>
        </w:rPr>
        <w:t>°</w:t>
      </w:r>
      <w:r w:rsidR="005E1DC6">
        <w:rPr>
          <w:rFonts w:cs="Calibri"/>
          <w:color w:val="000000" w:themeColor="text1"/>
          <w:szCs w:val="24"/>
        </w:rPr>
        <w:t>327</w:t>
      </w:r>
      <w:r w:rsidR="005E1DC6" w:rsidRPr="009A288B">
        <w:rPr>
          <w:rFonts w:eastAsia="Calibri"/>
          <w:szCs w:val="24"/>
        </w:rPr>
        <w:t>°</w:t>
      </w:r>
      <w:r w:rsidRPr="00395AEC">
        <w:rPr>
          <w:rFonts w:cs="Calibri"/>
          <w:color w:val="000000" w:themeColor="text1"/>
          <w:szCs w:val="24"/>
        </w:rPr>
        <w:t>721 personnes, (iii) le maintie</w:t>
      </w:r>
      <w:r w:rsidR="003563BC">
        <w:rPr>
          <w:rFonts w:cs="Calibri"/>
          <w:color w:val="000000" w:themeColor="text1"/>
          <w:szCs w:val="24"/>
        </w:rPr>
        <w:t>n du niveau de l’inflation à 0,7</w:t>
      </w:r>
      <w:r w:rsidRPr="00395AEC">
        <w:rPr>
          <w:rFonts w:cs="Calibri"/>
          <w:color w:val="000000" w:themeColor="text1"/>
          <w:szCs w:val="24"/>
        </w:rPr>
        <w:t xml:space="preserve">% en moyenne annuelle pour une cible annuelle de ≤3% en 2023 contre 14,1 en 2022. </w:t>
      </w:r>
    </w:p>
    <w:p w14:paraId="1587EB95" w14:textId="43A7B192"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 xml:space="preserve">Pour ce qui est de la refondation de l’Etat et l’amélioration de la gouvernance (Pilier 3), </w:t>
      </w:r>
      <w:r w:rsidR="00DD1281">
        <w:rPr>
          <w:rFonts w:cs="Calibri"/>
          <w:color w:val="000000" w:themeColor="text1"/>
          <w:szCs w:val="24"/>
        </w:rPr>
        <w:t xml:space="preserve">on note </w:t>
      </w:r>
      <w:r w:rsidRPr="00395AEC">
        <w:rPr>
          <w:rFonts w:cs="Calibri"/>
          <w:color w:val="000000" w:themeColor="text1"/>
          <w:szCs w:val="24"/>
        </w:rPr>
        <w:t xml:space="preserve">des acquis notables en matière de réformes institutionnelles et de modernisation de l’administration publique, de développement du capital humain, ou encore de la dynamisation des secteurs porteurs pour l’économie et les emplois. </w:t>
      </w:r>
    </w:p>
    <w:p w14:paraId="1A6581BB" w14:textId="074A202B"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lastRenderedPageBreak/>
        <w:t xml:space="preserve">S’agissant de réformes institutionnelles et de modernisation de l’administration publique, on enregistre comme acquis, (i) l’amélioration du fonctionnement des juridictions avec l'exécution à </w:t>
      </w:r>
      <w:r w:rsidR="00752D1C">
        <w:rPr>
          <w:rFonts w:cs="Calibri"/>
          <w:color w:val="000000" w:themeColor="text1"/>
          <w:szCs w:val="24"/>
        </w:rPr>
        <w:t>10</w:t>
      </w:r>
      <w:r w:rsidRPr="00395AEC">
        <w:rPr>
          <w:rFonts w:cs="Calibri"/>
          <w:color w:val="000000" w:themeColor="text1"/>
          <w:szCs w:val="24"/>
        </w:rPr>
        <w:t xml:space="preserve">0% du programme d'équipement des juridictions et le recouvrement à </w:t>
      </w:r>
      <w:r w:rsidR="00752D1C">
        <w:rPr>
          <w:rFonts w:cs="Calibri"/>
          <w:color w:val="000000" w:themeColor="text1"/>
          <w:szCs w:val="24"/>
        </w:rPr>
        <w:t>84</w:t>
      </w:r>
      <w:r w:rsidRPr="00395AEC">
        <w:rPr>
          <w:rFonts w:cs="Calibri"/>
          <w:color w:val="000000" w:themeColor="text1"/>
          <w:szCs w:val="24"/>
        </w:rPr>
        <w:t xml:space="preserve">,5% des amendes pénales ; (ii) la dépolitisation de l'administration publique et promotion du mérite avec l’adoption de la loi n°002-2023/ALT du 16 mars 2023 portant renforcement de la neutralité politique et de la méritocratie dans l’administration publique,(iii) l’optimisation de la mobilisation des ressources financières </w:t>
      </w:r>
      <w:r w:rsidR="0046758C">
        <w:rPr>
          <w:rFonts w:eastAsia="Calibri"/>
          <w:szCs w:val="24"/>
        </w:rPr>
        <w:t>avec un taux de réalisation du recouvrement des recettes intérieures de 99,23%</w:t>
      </w:r>
      <w:r w:rsidRPr="00395AEC">
        <w:rPr>
          <w:rFonts w:cs="Calibri"/>
          <w:color w:val="000000" w:themeColor="text1"/>
          <w:szCs w:val="24"/>
        </w:rPr>
        <w:t>.</w:t>
      </w:r>
    </w:p>
    <w:p w14:paraId="2EFFC717" w14:textId="044CAB28" w:rsidR="00946B46"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Quant au développement du capital humain, les efforts se sont traduits entre autres dans le domaine de la santé par</w:t>
      </w:r>
      <w:r w:rsidR="00DD1281">
        <w:rPr>
          <w:rFonts w:cs="Calibri"/>
          <w:color w:val="000000" w:themeColor="text1"/>
          <w:szCs w:val="24"/>
        </w:rPr>
        <w:t xml:space="preserve"> </w:t>
      </w:r>
      <w:r w:rsidRPr="00395AEC">
        <w:rPr>
          <w:rFonts w:cs="Calibri"/>
          <w:color w:val="000000" w:themeColor="text1"/>
          <w:szCs w:val="24"/>
        </w:rPr>
        <w:t xml:space="preserve">(i) la poursuite des réformes en matière de santé (03049), avec notamment l’octroi de prestations gratuites de santé à </w:t>
      </w:r>
      <w:r w:rsidR="00946B46" w:rsidRPr="00946B46">
        <w:rPr>
          <w:rFonts w:cs="Calibri"/>
          <w:color w:val="000000" w:themeColor="text1"/>
          <w:szCs w:val="24"/>
        </w:rPr>
        <w:t>10</w:t>
      </w:r>
      <w:r w:rsidR="00946B46">
        <w:rPr>
          <w:rFonts w:cs="Calibri"/>
          <w:color w:val="000000" w:themeColor="text1"/>
          <w:szCs w:val="24"/>
        </w:rPr>
        <w:t> </w:t>
      </w:r>
      <w:r w:rsidR="00946B46" w:rsidRPr="00946B46">
        <w:rPr>
          <w:rFonts w:cs="Calibri"/>
          <w:color w:val="000000" w:themeColor="text1"/>
          <w:szCs w:val="24"/>
        </w:rPr>
        <w:t>306</w:t>
      </w:r>
      <w:r w:rsidR="00946B46" w:rsidRPr="00345EBE">
        <w:rPr>
          <w:rFonts w:cs="Calibri"/>
          <w:color w:val="000000" w:themeColor="text1"/>
          <w:szCs w:val="24"/>
        </w:rPr>
        <w:t> </w:t>
      </w:r>
      <w:r w:rsidR="00946B46" w:rsidRPr="0042784A">
        <w:rPr>
          <w:rFonts w:cs="Calibri"/>
          <w:color w:val="000000" w:themeColor="text1"/>
          <w:szCs w:val="24"/>
        </w:rPr>
        <w:t>739</w:t>
      </w:r>
      <w:r w:rsidRPr="00946B46">
        <w:rPr>
          <w:rFonts w:cs="Calibri"/>
          <w:color w:val="000000" w:themeColor="text1"/>
          <w:szCs w:val="24"/>
        </w:rPr>
        <w:t xml:space="preserve"> enfants</w:t>
      </w:r>
      <w:r w:rsidRPr="00395AEC">
        <w:rPr>
          <w:rFonts w:cs="Calibri"/>
          <w:color w:val="000000" w:themeColor="text1"/>
          <w:szCs w:val="24"/>
        </w:rPr>
        <w:t xml:space="preserve"> de moins de 05 ans et à </w:t>
      </w:r>
      <w:r w:rsidR="00946B46" w:rsidRPr="00946B46">
        <w:rPr>
          <w:rFonts w:cs="Calibri"/>
          <w:color w:val="000000" w:themeColor="text1"/>
          <w:szCs w:val="24"/>
        </w:rPr>
        <w:t>9</w:t>
      </w:r>
      <w:r w:rsidR="00946B46" w:rsidRPr="00345EBE">
        <w:rPr>
          <w:rFonts w:cs="Calibri"/>
          <w:color w:val="000000" w:themeColor="text1"/>
          <w:szCs w:val="24"/>
        </w:rPr>
        <w:t> </w:t>
      </w:r>
      <w:r w:rsidR="00946B46" w:rsidRPr="0042784A">
        <w:rPr>
          <w:rFonts w:cs="Calibri"/>
          <w:color w:val="000000" w:themeColor="text1"/>
          <w:szCs w:val="24"/>
        </w:rPr>
        <w:t xml:space="preserve">228 233 </w:t>
      </w:r>
      <w:r w:rsidRPr="00395AEC">
        <w:rPr>
          <w:rFonts w:cs="Calibri"/>
          <w:color w:val="000000" w:themeColor="text1"/>
          <w:szCs w:val="24"/>
        </w:rPr>
        <w:t>femmes, (ii) la poursuite des investissements en matière de santé (</w:t>
      </w:r>
      <w:r w:rsidR="00946B46">
        <w:rPr>
          <w:rFonts w:cs="Calibri"/>
          <w:color w:val="000000" w:themeColor="text1"/>
          <w:szCs w:val="24"/>
        </w:rPr>
        <w:t>0</w:t>
      </w:r>
      <w:r w:rsidRPr="00395AEC">
        <w:rPr>
          <w:rFonts w:cs="Calibri"/>
          <w:color w:val="000000" w:themeColor="text1"/>
          <w:szCs w:val="24"/>
        </w:rPr>
        <w:t xml:space="preserve">3051) </w:t>
      </w:r>
      <w:r w:rsidRPr="00946B46">
        <w:rPr>
          <w:rFonts w:cs="Calibri"/>
          <w:color w:val="000000" w:themeColor="text1"/>
          <w:szCs w:val="24"/>
        </w:rPr>
        <w:t xml:space="preserve">avec </w:t>
      </w:r>
      <w:r w:rsidR="00946B46" w:rsidRPr="0042784A">
        <w:rPr>
          <w:rFonts w:cs="Calibri"/>
          <w:color w:val="000000" w:themeColor="text1"/>
          <w:szCs w:val="24"/>
        </w:rPr>
        <w:t xml:space="preserve">la construction de 50 nouveaux CSPS, </w:t>
      </w:r>
      <w:r w:rsidRPr="00946B46">
        <w:rPr>
          <w:rFonts w:cs="Calibri"/>
          <w:color w:val="000000" w:themeColor="text1"/>
          <w:szCs w:val="24"/>
        </w:rPr>
        <w:t>la réalisation</w:t>
      </w:r>
      <w:r w:rsidRPr="00395AEC">
        <w:rPr>
          <w:rFonts w:cs="Calibri"/>
          <w:color w:val="000000" w:themeColor="text1"/>
          <w:szCs w:val="24"/>
        </w:rPr>
        <w:t xml:space="preserve"> de la première phase du centre de cancérologie de </w:t>
      </w:r>
      <w:proofErr w:type="spellStart"/>
      <w:r w:rsidRPr="00395AEC">
        <w:rPr>
          <w:rFonts w:cs="Calibri"/>
          <w:color w:val="000000" w:themeColor="text1"/>
          <w:szCs w:val="24"/>
        </w:rPr>
        <w:t>Tengandogo</w:t>
      </w:r>
      <w:proofErr w:type="spellEnd"/>
      <w:r w:rsidRPr="00395AEC">
        <w:rPr>
          <w:rFonts w:cs="Calibri"/>
          <w:color w:val="000000" w:themeColor="text1"/>
          <w:szCs w:val="24"/>
        </w:rPr>
        <w:t xml:space="preserve"> à 98%</w:t>
      </w:r>
      <w:r w:rsidR="00946B46">
        <w:rPr>
          <w:rFonts w:cs="Calibri"/>
          <w:color w:val="000000" w:themeColor="text1"/>
          <w:szCs w:val="24"/>
        </w:rPr>
        <w:t xml:space="preserve"> et </w:t>
      </w:r>
      <w:r w:rsidRPr="00395AEC">
        <w:rPr>
          <w:rFonts w:cs="Calibri"/>
          <w:color w:val="000000" w:themeColor="text1"/>
          <w:szCs w:val="24"/>
        </w:rPr>
        <w:t xml:space="preserve">du CHR de Manga à </w:t>
      </w:r>
      <w:r w:rsidR="00946B46">
        <w:rPr>
          <w:rFonts w:cs="Calibri"/>
          <w:color w:val="000000" w:themeColor="text1"/>
          <w:szCs w:val="24"/>
        </w:rPr>
        <w:t>95</w:t>
      </w:r>
      <w:r w:rsidRPr="00395AEC">
        <w:rPr>
          <w:rFonts w:cs="Calibri"/>
          <w:color w:val="000000" w:themeColor="text1"/>
          <w:szCs w:val="24"/>
        </w:rPr>
        <w:t>,5</w:t>
      </w:r>
      <w:r w:rsidR="00946B46">
        <w:rPr>
          <w:rFonts w:cs="Calibri"/>
          <w:color w:val="000000" w:themeColor="text1"/>
          <w:szCs w:val="24"/>
        </w:rPr>
        <w:t>3</w:t>
      </w:r>
      <w:r w:rsidRPr="00395AEC">
        <w:rPr>
          <w:rFonts w:cs="Calibri"/>
          <w:color w:val="000000" w:themeColor="text1"/>
          <w:szCs w:val="24"/>
        </w:rPr>
        <w:t>%</w:t>
      </w:r>
      <w:r w:rsidR="00946B46">
        <w:rPr>
          <w:rFonts w:cs="Calibri"/>
          <w:color w:val="000000" w:themeColor="text1"/>
          <w:szCs w:val="24"/>
        </w:rPr>
        <w:t>.</w:t>
      </w:r>
    </w:p>
    <w:p w14:paraId="706947FE" w14:textId="7F167F56" w:rsidR="00395AEC" w:rsidRPr="00946B46"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 xml:space="preserve">Dans le domaine de l’enseignement, la formation et l’enseignement supérieur, les acquis sont observés dans la formation </w:t>
      </w:r>
      <w:r w:rsidRPr="00946B46">
        <w:rPr>
          <w:rFonts w:cs="Calibri"/>
          <w:color w:val="000000" w:themeColor="text1"/>
          <w:szCs w:val="24"/>
        </w:rPr>
        <w:t xml:space="preserve">de </w:t>
      </w:r>
      <w:r w:rsidRPr="00BC0FC8">
        <w:rPr>
          <w:rFonts w:cs="Calibri"/>
          <w:color w:val="000000" w:themeColor="text1"/>
          <w:szCs w:val="24"/>
        </w:rPr>
        <w:t>5</w:t>
      </w:r>
      <w:r w:rsidR="00BC0FC8" w:rsidRPr="0042784A">
        <w:rPr>
          <w:rFonts w:cs="Calibri"/>
          <w:color w:val="000000" w:themeColor="text1"/>
          <w:szCs w:val="24"/>
        </w:rPr>
        <w:t> </w:t>
      </w:r>
      <w:r w:rsidRPr="00BC0FC8">
        <w:rPr>
          <w:rFonts w:cs="Calibri"/>
          <w:color w:val="000000" w:themeColor="text1"/>
          <w:szCs w:val="24"/>
        </w:rPr>
        <w:t>847</w:t>
      </w:r>
      <w:r w:rsidR="00BC0FC8" w:rsidRPr="00BC0FC8">
        <w:rPr>
          <w:rFonts w:cs="Calibri"/>
          <w:color w:val="000000" w:themeColor="text1"/>
          <w:szCs w:val="24"/>
        </w:rPr>
        <w:t xml:space="preserve"> apprenants</w:t>
      </w:r>
      <w:r w:rsidR="00BC0FC8">
        <w:rPr>
          <w:rFonts w:cs="Calibri"/>
          <w:color w:val="000000" w:themeColor="text1"/>
          <w:szCs w:val="24"/>
        </w:rPr>
        <w:t xml:space="preserve"> issus des centres de formation professionnelle</w:t>
      </w:r>
      <w:r w:rsidRPr="00946B46">
        <w:rPr>
          <w:rFonts w:cs="Calibri"/>
          <w:color w:val="000000" w:themeColor="text1"/>
          <w:szCs w:val="24"/>
        </w:rPr>
        <w:t xml:space="preserve">, le recrutement de </w:t>
      </w:r>
      <w:r w:rsidR="00946B46" w:rsidRPr="00946B46">
        <w:rPr>
          <w:rFonts w:cs="Calibri"/>
          <w:color w:val="000000" w:themeColor="text1"/>
          <w:szCs w:val="24"/>
        </w:rPr>
        <w:t>1</w:t>
      </w:r>
      <w:r w:rsidR="00946B46" w:rsidRPr="000F3324">
        <w:rPr>
          <w:rFonts w:cs="Calibri"/>
          <w:color w:val="000000" w:themeColor="text1"/>
          <w:szCs w:val="24"/>
        </w:rPr>
        <w:t>8</w:t>
      </w:r>
      <w:r w:rsidR="00946B46" w:rsidRPr="008F3FB8">
        <w:rPr>
          <w:rFonts w:cs="Calibri"/>
          <w:color w:val="000000" w:themeColor="text1"/>
          <w:szCs w:val="24"/>
        </w:rPr>
        <w:t>7</w:t>
      </w:r>
      <w:r w:rsidRPr="008F3FB8">
        <w:rPr>
          <w:rFonts w:cs="Calibri"/>
          <w:color w:val="000000" w:themeColor="text1"/>
          <w:szCs w:val="24"/>
        </w:rPr>
        <w:t xml:space="preserve"> assistants, assistants hospitalo-universitaires et attachés de recherche, l’accord des aides et des prêts à </w:t>
      </w:r>
      <w:r w:rsidR="00946B46" w:rsidRPr="0042784A">
        <w:rPr>
          <w:rFonts w:cs="Calibri"/>
          <w:color w:val="000000" w:themeColor="text1"/>
          <w:szCs w:val="24"/>
        </w:rPr>
        <w:t xml:space="preserve">98 467 </w:t>
      </w:r>
      <w:r w:rsidRPr="00946B46">
        <w:rPr>
          <w:rFonts w:cs="Calibri"/>
          <w:color w:val="000000" w:themeColor="text1"/>
          <w:szCs w:val="24"/>
        </w:rPr>
        <w:t xml:space="preserve">étudiants, des </w:t>
      </w:r>
      <w:r w:rsidRPr="000F3324">
        <w:rPr>
          <w:rFonts w:cs="Calibri"/>
          <w:color w:val="000000" w:themeColor="text1"/>
          <w:szCs w:val="24"/>
        </w:rPr>
        <w:t xml:space="preserve">bourses à </w:t>
      </w:r>
      <w:r w:rsidR="00946B46" w:rsidRPr="0042784A">
        <w:rPr>
          <w:rFonts w:cs="Calibri"/>
          <w:color w:val="000000" w:themeColor="text1"/>
          <w:szCs w:val="24"/>
        </w:rPr>
        <w:t xml:space="preserve">8 630 </w:t>
      </w:r>
      <w:r w:rsidRPr="00946B46">
        <w:rPr>
          <w:rFonts w:cs="Calibri"/>
          <w:color w:val="000000" w:themeColor="text1"/>
          <w:szCs w:val="24"/>
        </w:rPr>
        <w:t xml:space="preserve">étudiants, l’hébergement de </w:t>
      </w:r>
      <w:r w:rsidR="00946B46" w:rsidRPr="0042784A">
        <w:rPr>
          <w:rFonts w:cs="Calibri"/>
          <w:color w:val="000000" w:themeColor="text1"/>
          <w:szCs w:val="24"/>
        </w:rPr>
        <w:t xml:space="preserve">7 812 </w:t>
      </w:r>
      <w:r w:rsidRPr="00946B46">
        <w:rPr>
          <w:rFonts w:cs="Calibri"/>
          <w:color w:val="000000" w:themeColor="text1"/>
          <w:szCs w:val="24"/>
        </w:rPr>
        <w:t xml:space="preserve">étudiants, la fourniture de </w:t>
      </w:r>
      <w:r w:rsidR="00946B46" w:rsidRPr="0042784A">
        <w:rPr>
          <w:rFonts w:cs="Calibri"/>
          <w:color w:val="000000" w:themeColor="text1"/>
          <w:szCs w:val="24"/>
        </w:rPr>
        <w:t>12 139</w:t>
      </w:r>
      <w:r w:rsidR="00BC0FC8">
        <w:rPr>
          <w:rFonts w:cs="Calibri"/>
          <w:color w:val="000000" w:themeColor="text1"/>
          <w:szCs w:val="24"/>
        </w:rPr>
        <w:t> </w:t>
      </w:r>
      <w:r w:rsidR="00946B46" w:rsidRPr="0042784A">
        <w:rPr>
          <w:rFonts w:cs="Calibri"/>
          <w:color w:val="000000" w:themeColor="text1"/>
          <w:szCs w:val="24"/>
        </w:rPr>
        <w:t>668</w:t>
      </w:r>
      <w:r w:rsidR="00BC0FC8">
        <w:rPr>
          <w:rFonts w:cs="Calibri"/>
          <w:color w:val="000000" w:themeColor="text1"/>
          <w:szCs w:val="24"/>
        </w:rPr>
        <w:t xml:space="preserve"> </w:t>
      </w:r>
      <w:r w:rsidRPr="00946B46">
        <w:rPr>
          <w:rFonts w:cs="Calibri"/>
          <w:color w:val="000000" w:themeColor="text1"/>
          <w:szCs w:val="24"/>
        </w:rPr>
        <w:t xml:space="preserve">plats par les restaurants universitaires et la subvention de </w:t>
      </w:r>
      <w:r w:rsidR="00946B46" w:rsidRPr="0042784A">
        <w:rPr>
          <w:rFonts w:cs="Calibri"/>
          <w:color w:val="000000" w:themeColor="text1"/>
          <w:szCs w:val="24"/>
        </w:rPr>
        <w:t xml:space="preserve">10 294 </w:t>
      </w:r>
      <w:r w:rsidRPr="00946B46">
        <w:rPr>
          <w:rFonts w:cs="Calibri"/>
          <w:color w:val="000000" w:themeColor="text1"/>
          <w:szCs w:val="24"/>
        </w:rPr>
        <w:t xml:space="preserve">ordinateurs au profit des étudiants.  </w:t>
      </w:r>
    </w:p>
    <w:p w14:paraId="11FBBE08" w14:textId="2F2D517C"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 xml:space="preserve">S’agissant du développement des secteurs de production et de soutien à la production, les progrès se sont traduits entre l’aménagement de </w:t>
      </w:r>
      <w:r w:rsidR="005E1DC6">
        <w:rPr>
          <w:rFonts w:eastAsia="Calibri"/>
          <w:szCs w:val="24"/>
        </w:rPr>
        <w:t>1</w:t>
      </w:r>
      <w:r w:rsidR="005E1DC6" w:rsidRPr="009A288B">
        <w:rPr>
          <w:rFonts w:eastAsia="Calibri"/>
          <w:szCs w:val="24"/>
        </w:rPr>
        <w:t>°</w:t>
      </w:r>
      <w:r w:rsidR="00D435E1" w:rsidRPr="00C54CA7">
        <w:rPr>
          <w:rFonts w:eastAsia="Calibri"/>
          <w:szCs w:val="24"/>
        </w:rPr>
        <w:t>624,5 ha de bas-fonds et de 374,6 ha de périmètres irrigués</w:t>
      </w:r>
      <w:r w:rsidR="00D435E1" w:rsidRPr="00395AEC" w:rsidDel="00D435E1">
        <w:rPr>
          <w:rFonts w:cs="Calibri"/>
          <w:color w:val="000000" w:themeColor="text1"/>
          <w:szCs w:val="24"/>
        </w:rPr>
        <w:t xml:space="preserve"> </w:t>
      </w:r>
      <w:r w:rsidRPr="00395AEC">
        <w:rPr>
          <w:rFonts w:cs="Calibri"/>
          <w:color w:val="000000" w:themeColor="text1"/>
          <w:szCs w:val="24"/>
        </w:rPr>
        <w:t xml:space="preserve">au profit des producteurs, la subvention </w:t>
      </w:r>
      <w:r w:rsidR="005E1DC6">
        <w:rPr>
          <w:rFonts w:cs="Calibri"/>
          <w:color w:val="000000" w:themeColor="text1"/>
          <w:szCs w:val="24"/>
        </w:rPr>
        <w:t>39</w:t>
      </w:r>
      <w:r w:rsidR="005E1DC6" w:rsidRPr="009A288B">
        <w:rPr>
          <w:rFonts w:eastAsia="Calibri"/>
          <w:szCs w:val="24"/>
        </w:rPr>
        <w:t>°</w:t>
      </w:r>
      <w:r w:rsidR="00D435E1">
        <w:rPr>
          <w:rFonts w:cs="Calibri"/>
          <w:color w:val="000000" w:themeColor="text1"/>
          <w:szCs w:val="24"/>
        </w:rPr>
        <w:t>766</w:t>
      </w:r>
      <w:r w:rsidRPr="00395AEC">
        <w:rPr>
          <w:rFonts w:cs="Calibri"/>
          <w:color w:val="000000" w:themeColor="text1"/>
          <w:szCs w:val="24"/>
        </w:rPr>
        <w:t xml:space="preserve"> tonnes d’intrants agricoles (engrais et semences) accordée aux producteurs. </w:t>
      </w:r>
    </w:p>
    <w:p w14:paraId="01B5FBF9" w14:textId="1D200A58"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Du côté du développement de l’industrie minière, on note l</w:t>
      </w:r>
      <w:r w:rsidR="00D435E1">
        <w:rPr>
          <w:rFonts w:cs="Calibri"/>
          <w:color w:val="000000" w:themeColor="text1"/>
          <w:szCs w:val="24"/>
        </w:rPr>
        <w:t>e démarrage des travaux d’importan</w:t>
      </w:r>
      <w:r w:rsidR="00BC0FC8">
        <w:rPr>
          <w:rFonts w:cs="Calibri"/>
          <w:color w:val="000000" w:themeColor="text1"/>
          <w:szCs w:val="24"/>
        </w:rPr>
        <w:t>ce</w:t>
      </w:r>
      <w:r w:rsidR="00D435E1">
        <w:rPr>
          <w:rFonts w:cs="Calibri"/>
          <w:color w:val="000000" w:themeColor="text1"/>
          <w:szCs w:val="24"/>
        </w:rPr>
        <w:t xml:space="preserve"> d’unités stratégiques</w:t>
      </w:r>
      <w:r w:rsidRPr="00395AEC">
        <w:rPr>
          <w:rFonts w:cs="Calibri"/>
          <w:color w:val="000000" w:themeColor="text1"/>
          <w:szCs w:val="24"/>
        </w:rPr>
        <w:t xml:space="preserve"> </w:t>
      </w:r>
      <w:r w:rsidR="00D435E1">
        <w:rPr>
          <w:rFonts w:cs="Calibri"/>
          <w:color w:val="000000" w:themeColor="text1"/>
          <w:szCs w:val="24"/>
        </w:rPr>
        <w:t>tel</w:t>
      </w:r>
      <w:r w:rsidR="00BC0FC8">
        <w:rPr>
          <w:rFonts w:cs="Calibri"/>
          <w:color w:val="000000" w:themeColor="text1"/>
          <w:szCs w:val="24"/>
        </w:rPr>
        <w:t>les</w:t>
      </w:r>
      <w:r w:rsidR="00D435E1">
        <w:rPr>
          <w:rFonts w:cs="Calibri"/>
          <w:color w:val="000000" w:themeColor="text1"/>
          <w:szCs w:val="24"/>
        </w:rPr>
        <w:t xml:space="preserve"> que la </w:t>
      </w:r>
      <w:r w:rsidRPr="00395AEC">
        <w:rPr>
          <w:rFonts w:cs="Calibri"/>
          <w:color w:val="000000" w:themeColor="text1"/>
          <w:szCs w:val="24"/>
        </w:rPr>
        <w:t>mise en place d’une raffinerie d’or et d'une unité de traitement des rejets des mines.</w:t>
      </w:r>
    </w:p>
    <w:p w14:paraId="3D902260" w14:textId="15E5F607" w:rsidR="00395AEC" w:rsidRPr="007158E2" w:rsidRDefault="00395AEC" w:rsidP="007158E2">
      <w:pPr>
        <w:numPr>
          <w:ilvl w:val="0"/>
          <w:numId w:val="8"/>
        </w:numPr>
        <w:shd w:val="clear" w:color="auto" w:fill="FFFFFF"/>
        <w:spacing w:before="120" w:after="120" w:line="240" w:lineRule="auto"/>
        <w:ind w:left="0"/>
        <w:rPr>
          <w:rFonts w:cs="Calibri"/>
          <w:color w:val="000000" w:themeColor="text1"/>
          <w:szCs w:val="24"/>
        </w:rPr>
      </w:pPr>
      <w:r w:rsidRPr="007158E2">
        <w:rPr>
          <w:rFonts w:cs="Calibri"/>
          <w:color w:val="000000" w:themeColor="text1"/>
          <w:szCs w:val="24"/>
        </w:rPr>
        <w:t>S’agissant de la réconciliation nationale et de la cohésion sociale (Pilier 4), les acquis enregistrés portent sur la prévention et la gestion des conflits communautaires et intercommunautaires (04004) avec la formation de 1 492 membres des démembrements de l'ONAPREGECC</w:t>
      </w:r>
      <w:r w:rsidR="0046758C" w:rsidRPr="007158E2">
        <w:rPr>
          <w:rFonts w:cs="Calibri"/>
          <w:color w:val="000000" w:themeColor="text1"/>
          <w:szCs w:val="24"/>
        </w:rPr>
        <w:t>,</w:t>
      </w:r>
      <w:r w:rsidR="005E1DC6">
        <w:rPr>
          <w:rFonts w:cs="Calibri"/>
          <w:color w:val="000000" w:themeColor="text1"/>
          <w:szCs w:val="24"/>
        </w:rPr>
        <w:t xml:space="preserve"> (ii) la sensibilisation de 180</w:t>
      </w:r>
      <w:r w:rsidR="005E1DC6" w:rsidRPr="009A288B">
        <w:rPr>
          <w:rFonts w:eastAsia="Calibri"/>
          <w:szCs w:val="24"/>
        </w:rPr>
        <w:t>°</w:t>
      </w:r>
      <w:r w:rsidRPr="007158E2">
        <w:rPr>
          <w:rFonts w:cs="Calibri"/>
          <w:color w:val="000000" w:themeColor="text1"/>
          <w:szCs w:val="24"/>
        </w:rPr>
        <w:t>000 membres des différentes catégories socio-professionnelle</w:t>
      </w:r>
      <w:r w:rsidRPr="00E9139A">
        <w:rPr>
          <w:rFonts w:cs="Calibri"/>
          <w:color w:val="000000" w:themeColor="text1"/>
          <w:szCs w:val="24"/>
        </w:rPr>
        <w:t>s sur</w:t>
      </w:r>
      <w:r w:rsidRPr="007158E2">
        <w:rPr>
          <w:rFonts w:cs="Calibri"/>
          <w:color w:val="000000" w:themeColor="text1"/>
          <w:szCs w:val="24"/>
        </w:rPr>
        <w:t xml:space="preserve"> les thématiques liées à la prévention et à la gestion des conflits communautaires</w:t>
      </w:r>
      <w:r w:rsidR="0046758C" w:rsidRPr="007158E2">
        <w:rPr>
          <w:rFonts w:cs="Calibri"/>
          <w:color w:val="000000" w:themeColor="text1"/>
          <w:szCs w:val="24"/>
        </w:rPr>
        <w:t xml:space="preserve"> et sur </w:t>
      </w:r>
      <w:r w:rsidR="0046758C" w:rsidRPr="007158E2">
        <w:rPr>
          <w:rFonts w:eastAsia="Calibri"/>
          <w:szCs w:val="24"/>
        </w:rPr>
        <w:t>le traitement des dossiers pendants en justice (action 04008) avec le jugement de 336 dossiers pendants en justice dont 04 dits emblématiques.</w:t>
      </w:r>
    </w:p>
    <w:p w14:paraId="5D838914" w14:textId="77777777"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Malgré ces acquis énumérés ci-dessus, de nombreuses difficultés ont entravé la mise en œuvre du PA-SD en 2023. Il s’agit essentiellement :</w:t>
      </w:r>
    </w:p>
    <w:p w14:paraId="1A2EAAB2"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l’insécurité qui freine la réalisation de certains chantiers ;</w:t>
      </w:r>
    </w:p>
    <w:p w14:paraId="0B572DC2"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ascii="Times New Roman" w:eastAsia="Times New Roman" w:hAnsi="Times New Roman" w:cs="Times New Roman"/>
        </w:rPr>
        <w:t>des</w:t>
      </w:r>
      <w:proofErr w:type="gramEnd"/>
      <w:r w:rsidRPr="00395AEC">
        <w:rPr>
          <w:rFonts w:ascii="Times New Roman" w:eastAsia="Times New Roman" w:hAnsi="Times New Roman" w:cs="Times New Roman"/>
        </w:rPr>
        <w:t xml:space="preserve"> litiges avec les propriétaires terriens ;</w:t>
      </w:r>
    </w:p>
    <w:p w14:paraId="2A831CB5"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ascii="Times New Roman" w:eastAsia="Times New Roman" w:hAnsi="Times New Roman" w:cs="Times New Roman"/>
        </w:rPr>
        <w:t>de</w:t>
      </w:r>
      <w:proofErr w:type="gramEnd"/>
      <w:r w:rsidRPr="00395AEC">
        <w:rPr>
          <w:rFonts w:ascii="Times New Roman" w:eastAsia="Times New Roman" w:hAnsi="Times New Roman" w:cs="Times New Roman"/>
        </w:rPr>
        <w:t xml:space="preserve"> l’inaccessibilité de certaines localités ; </w:t>
      </w:r>
    </w:p>
    <w:p w14:paraId="02F10C32" w14:textId="2E93206A" w:rsidR="00395AEC" w:rsidRPr="00395AEC" w:rsidRDefault="00395AEC" w:rsidP="00F175A7">
      <w:pPr>
        <w:numPr>
          <w:ilvl w:val="0"/>
          <w:numId w:val="7"/>
        </w:numPr>
        <w:shd w:val="clear" w:color="auto" w:fill="FFFFFF"/>
        <w:spacing w:before="120" w:after="120" w:line="276" w:lineRule="auto"/>
        <w:rPr>
          <w:rFonts w:eastAsia="Merriweather"/>
        </w:rPr>
      </w:pPr>
      <w:proofErr w:type="gramStart"/>
      <w:r w:rsidRPr="00395AEC">
        <w:rPr>
          <w:rFonts w:ascii="Times New Roman" w:eastAsia="Times New Roman" w:hAnsi="Times New Roman" w:cs="Times New Roman"/>
        </w:rPr>
        <w:lastRenderedPageBreak/>
        <w:t>de</w:t>
      </w:r>
      <w:proofErr w:type="gramEnd"/>
      <w:r w:rsidRPr="00395AEC">
        <w:rPr>
          <w:rFonts w:ascii="Times New Roman" w:eastAsia="Times New Roman" w:hAnsi="Times New Roman" w:cs="Times New Roman"/>
        </w:rPr>
        <w:t xml:space="preserve"> l’insuffisance des crédits budgétaires et </w:t>
      </w:r>
      <w:r w:rsidR="00BC0FC8">
        <w:rPr>
          <w:rFonts w:ascii="Times New Roman" w:eastAsia="Times New Roman" w:hAnsi="Times New Roman" w:cs="Times New Roman"/>
        </w:rPr>
        <w:t>d</w:t>
      </w:r>
      <w:r w:rsidRPr="00395AEC">
        <w:rPr>
          <w:rFonts w:ascii="Times New Roman" w:eastAsia="Times New Roman" w:hAnsi="Times New Roman" w:cs="Times New Roman"/>
        </w:rPr>
        <w:t>es régulations budgétaires ;</w:t>
      </w:r>
    </w:p>
    <w:p w14:paraId="746D95BB"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ascii="Times New Roman" w:eastAsia="Times New Roman" w:hAnsi="Times New Roman" w:cs="Times New Roman"/>
        </w:rPr>
        <w:t>des</w:t>
      </w:r>
      <w:proofErr w:type="gramEnd"/>
      <w:r w:rsidRPr="00395AEC">
        <w:rPr>
          <w:rFonts w:ascii="Times New Roman" w:eastAsia="Times New Roman" w:hAnsi="Times New Roman" w:cs="Times New Roman"/>
        </w:rPr>
        <w:t xml:space="preserve"> retards dans les passations de marchés ;</w:t>
      </w:r>
    </w:p>
    <w:p w14:paraId="2B161049" w14:textId="77777777" w:rsidR="00395AEC" w:rsidRPr="00395AEC" w:rsidRDefault="00395AEC" w:rsidP="00F175A7">
      <w:pPr>
        <w:numPr>
          <w:ilvl w:val="0"/>
          <w:numId w:val="7"/>
        </w:numPr>
        <w:shd w:val="clear" w:color="auto" w:fill="FFFFFF"/>
        <w:spacing w:before="120" w:after="120" w:line="276" w:lineRule="auto"/>
        <w:rPr>
          <w:rFonts w:eastAsia="Merriweather"/>
        </w:rPr>
      </w:pPr>
      <w:proofErr w:type="gramStart"/>
      <w:r w:rsidRPr="00395AEC">
        <w:rPr>
          <w:rFonts w:ascii="Times New Roman" w:eastAsia="Times New Roman" w:hAnsi="Times New Roman" w:cs="Times New Roman"/>
        </w:rPr>
        <w:t>des</w:t>
      </w:r>
      <w:proofErr w:type="gramEnd"/>
      <w:r w:rsidRPr="00395AEC">
        <w:rPr>
          <w:rFonts w:ascii="Times New Roman" w:eastAsia="Times New Roman" w:hAnsi="Times New Roman" w:cs="Times New Roman"/>
        </w:rPr>
        <w:t xml:space="preserve"> lourdeurs dans le processus de contractualisation ; </w:t>
      </w:r>
    </w:p>
    <w:p w14:paraId="087B99EA"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des</w:t>
      </w:r>
      <w:proofErr w:type="gramEnd"/>
      <w:r w:rsidRPr="00395AEC">
        <w:rPr>
          <w:rFonts w:eastAsia="Merriweather" w:cs="Calibri"/>
          <w:color w:val="000000" w:themeColor="text1"/>
          <w:szCs w:val="24"/>
        </w:rPr>
        <w:t xml:space="preserve"> longs délais de livraison des infrastructures ;</w:t>
      </w:r>
    </w:p>
    <w:p w14:paraId="08CC4DE0"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viabilité et l’exploitation des investissements ;</w:t>
      </w:r>
    </w:p>
    <w:p w14:paraId="20D42FC4"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faiblesse des capacités techniques de certaines entreprises ou les MOD pour exécuter les chantiers à eux confiés ;</w:t>
      </w:r>
    </w:p>
    <w:p w14:paraId="07393E2F"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faiblesse du financement pour la relance de l’activité économique ;</w:t>
      </w:r>
    </w:p>
    <w:p w14:paraId="3A134B98"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flambée des coûts des matières premières qui impacte l’exécution de certains chantiers ;</w:t>
      </w:r>
    </w:p>
    <w:p w14:paraId="1147DABE"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mobilisation et la sécurisation du foncier pour la réalisation des investissements socioéconomiques ;</w:t>
      </w:r>
    </w:p>
    <w:p w14:paraId="0C9F5A4F"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lenteur dans le transfert effectif des ressources aux collectivités territoriales dans les délais convenus ;</w:t>
      </w:r>
    </w:p>
    <w:p w14:paraId="58582D6A" w14:textId="77777777" w:rsidR="00395AEC" w:rsidRPr="00395AEC" w:rsidRDefault="00395AEC" w:rsidP="00F175A7">
      <w:pPr>
        <w:numPr>
          <w:ilvl w:val="0"/>
          <w:numId w:val="7"/>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de</w:t>
      </w:r>
      <w:proofErr w:type="gramEnd"/>
      <w:r w:rsidRPr="00395AEC">
        <w:rPr>
          <w:rFonts w:eastAsia="Merriweather" w:cs="Calibri"/>
          <w:color w:val="000000" w:themeColor="text1"/>
          <w:szCs w:val="24"/>
        </w:rPr>
        <w:t xml:space="preserve"> la faiblesse du financement pour le fonctionnement des secrétariats techniques des CSD&amp;CRD et les groupes thématiques.</w:t>
      </w:r>
    </w:p>
    <w:p w14:paraId="49D3157F" w14:textId="77777777" w:rsidR="00395AEC" w:rsidRPr="00395AEC" w:rsidRDefault="00395AEC" w:rsidP="00F175A7">
      <w:pPr>
        <w:numPr>
          <w:ilvl w:val="0"/>
          <w:numId w:val="8"/>
        </w:numPr>
        <w:shd w:val="clear" w:color="auto" w:fill="FFFFFF"/>
        <w:spacing w:before="120" w:after="120" w:line="240" w:lineRule="auto"/>
        <w:ind w:left="0"/>
        <w:rPr>
          <w:rFonts w:cs="Calibri"/>
          <w:color w:val="000000" w:themeColor="text1"/>
          <w:szCs w:val="24"/>
        </w:rPr>
      </w:pPr>
      <w:r w:rsidRPr="00395AEC">
        <w:rPr>
          <w:rFonts w:cs="Calibri"/>
          <w:color w:val="000000" w:themeColor="text1"/>
          <w:szCs w:val="24"/>
        </w:rPr>
        <w:t>Aussi, afin de mitiger ces difficultés ci-dessus présentées, il est impérieux de mettre en œuvre les recommandations suivantes :</w:t>
      </w:r>
    </w:p>
    <w:p w14:paraId="41EC88BF" w14:textId="77777777" w:rsidR="00395AEC"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poursuivre</w:t>
      </w:r>
      <w:proofErr w:type="gramEnd"/>
      <w:r w:rsidRPr="00395AEC">
        <w:rPr>
          <w:rFonts w:eastAsia="Merriweather" w:cs="Calibri"/>
          <w:color w:val="000000" w:themeColor="text1"/>
          <w:szCs w:val="24"/>
        </w:rPr>
        <w:t xml:space="preserve"> les efforts de sécurisation du territoire, de réinstallation des populations et des services de l’Etat ;</w:t>
      </w:r>
    </w:p>
    <w:p w14:paraId="2A46D889" w14:textId="77777777" w:rsidR="00395AEC"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poursuivre</w:t>
      </w:r>
      <w:proofErr w:type="gramEnd"/>
      <w:r w:rsidRPr="00395AEC">
        <w:rPr>
          <w:rFonts w:eastAsia="Merriweather" w:cs="Calibri"/>
          <w:color w:val="000000" w:themeColor="text1"/>
          <w:szCs w:val="24"/>
        </w:rPr>
        <w:t xml:space="preserve"> les interventions de développement au profit des communautés des zones à fort défi sécuritaire ;</w:t>
      </w:r>
    </w:p>
    <w:p w14:paraId="7AEDCEBE" w14:textId="77777777" w:rsidR="00395AEC"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renforcer</w:t>
      </w:r>
      <w:proofErr w:type="gramEnd"/>
      <w:r w:rsidRPr="00395AEC">
        <w:rPr>
          <w:rFonts w:eastAsia="Merriweather" w:cs="Calibri"/>
          <w:color w:val="000000" w:themeColor="text1"/>
          <w:szCs w:val="24"/>
        </w:rPr>
        <w:t xml:space="preserve"> la sécurisation des investissements ;</w:t>
      </w:r>
    </w:p>
    <w:p w14:paraId="10213A19" w14:textId="0A0A2945" w:rsid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systématiser</w:t>
      </w:r>
      <w:proofErr w:type="gramEnd"/>
      <w:r w:rsidRPr="00395AEC">
        <w:rPr>
          <w:rFonts w:eastAsia="Merriweather" w:cs="Calibri"/>
          <w:color w:val="000000" w:themeColor="text1"/>
          <w:szCs w:val="24"/>
        </w:rPr>
        <w:t xml:space="preserve"> le nexus HDP dans la définition et la mise en œuvre des actions de développement ;</w:t>
      </w:r>
    </w:p>
    <w:p w14:paraId="42DDFCBB" w14:textId="73E7B12F" w:rsidR="00366B5F" w:rsidRPr="00395AEC" w:rsidRDefault="00366B5F"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Pr>
          <w:rFonts w:eastAsia="Merriweather" w:cs="Calibri"/>
          <w:color w:val="000000" w:themeColor="text1"/>
          <w:szCs w:val="24"/>
        </w:rPr>
        <w:t>m</w:t>
      </w:r>
      <w:r w:rsidRPr="009A288B">
        <w:rPr>
          <w:rFonts w:eastAsia="Merriweather" w:cs="Calibri"/>
          <w:color w:val="000000" w:themeColor="text1"/>
          <w:szCs w:val="24"/>
        </w:rPr>
        <w:t>aintenir</w:t>
      </w:r>
      <w:proofErr w:type="gramEnd"/>
      <w:r w:rsidRPr="009A288B">
        <w:rPr>
          <w:rFonts w:eastAsia="Merriweather" w:cs="Calibri"/>
          <w:color w:val="000000" w:themeColor="text1"/>
          <w:szCs w:val="24"/>
        </w:rPr>
        <w:t xml:space="preserve"> l’élan de la relance économique à travers le renforcement du tissu industriel, la réalisation des infrastructures de soutien et la dynamisation des secteurs de production tout en visant l’amélioration du bien-être des populations ;</w:t>
      </w:r>
    </w:p>
    <w:p w14:paraId="5C31CE1D" w14:textId="5D4F3EE6" w:rsidR="00395AEC"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accélérer</w:t>
      </w:r>
      <w:proofErr w:type="gramEnd"/>
      <w:r w:rsidRPr="00395AEC">
        <w:rPr>
          <w:rFonts w:eastAsia="Merriweather" w:cs="Calibri"/>
          <w:color w:val="000000" w:themeColor="text1"/>
          <w:szCs w:val="24"/>
        </w:rPr>
        <w:t xml:space="preserve"> la mise en œuvre des réformes engagées visant le renforcement de la gouvernance sur toutes ces dimensions</w:t>
      </w:r>
      <w:r w:rsidR="00BC0FC8">
        <w:rPr>
          <w:rFonts w:eastAsia="Merriweather" w:cs="Calibri"/>
          <w:color w:val="000000" w:themeColor="text1"/>
          <w:szCs w:val="24"/>
        </w:rPr>
        <w:t> ;</w:t>
      </w:r>
      <w:r w:rsidRPr="00395AEC">
        <w:rPr>
          <w:rFonts w:eastAsia="Merriweather" w:cs="Calibri"/>
          <w:color w:val="000000" w:themeColor="text1"/>
          <w:szCs w:val="24"/>
        </w:rPr>
        <w:t xml:space="preserve"> </w:t>
      </w:r>
    </w:p>
    <w:p w14:paraId="7DBD2871" w14:textId="77777777" w:rsidR="00395AEC"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maintenir</w:t>
      </w:r>
      <w:proofErr w:type="gramEnd"/>
      <w:r w:rsidRPr="00395AEC">
        <w:rPr>
          <w:rFonts w:eastAsia="Merriweather" w:cs="Calibri"/>
          <w:color w:val="000000" w:themeColor="text1"/>
          <w:szCs w:val="24"/>
        </w:rPr>
        <w:t xml:space="preserve"> la dynamique de dématérialisation des procédures afin d’améliorer la productivité de l’administration et la compétitivité des services ;</w:t>
      </w:r>
    </w:p>
    <w:p w14:paraId="5CC56532" w14:textId="2130F3B2" w:rsid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améliorer</w:t>
      </w:r>
      <w:proofErr w:type="gramEnd"/>
      <w:r w:rsidRPr="00395AEC">
        <w:rPr>
          <w:rFonts w:eastAsia="Merriweather" w:cs="Calibri"/>
          <w:color w:val="000000" w:themeColor="text1"/>
          <w:szCs w:val="24"/>
        </w:rPr>
        <w:t xml:space="preserve"> le financement du PA-SD pour combler le </w:t>
      </w:r>
      <w:r w:rsidR="00BC0FC8">
        <w:rPr>
          <w:rFonts w:eastAsia="Merriweather" w:cs="Calibri"/>
          <w:color w:val="000000" w:themeColor="text1"/>
          <w:szCs w:val="24"/>
        </w:rPr>
        <w:t>gap</w:t>
      </w:r>
      <w:r w:rsidRPr="00395AEC">
        <w:rPr>
          <w:rFonts w:eastAsia="Merriweather" w:cs="Calibri"/>
          <w:color w:val="000000" w:themeColor="text1"/>
          <w:szCs w:val="24"/>
        </w:rPr>
        <w:t xml:space="preserve"> à travers l’accompagnement des PTF</w:t>
      </w:r>
      <w:r w:rsidR="00366B5F">
        <w:rPr>
          <w:rFonts w:eastAsia="Merriweather" w:cs="Calibri"/>
          <w:color w:val="000000" w:themeColor="text1"/>
          <w:szCs w:val="24"/>
        </w:rPr>
        <w:t xml:space="preserve">, du secteur privé et </w:t>
      </w:r>
      <w:r w:rsidRPr="00395AEC">
        <w:rPr>
          <w:rFonts w:eastAsia="Merriweather" w:cs="Calibri"/>
          <w:color w:val="000000" w:themeColor="text1"/>
          <w:szCs w:val="24"/>
        </w:rPr>
        <w:t xml:space="preserve">la mise en place d’un mécanisme de suivi concerté avec les partenaires, des délais de réaction aux demandes d’avis de </w:t>
      </w:r>
      <w:r w:rsidRPr="00395AEC">
        <w:rPr>
          <w:rFonts w:eastAsia="Merriweather" w:cs="Calibri"/>
          <w:color w:val="000000" w:themeColor="text1"/>
          <w:szCs w:val="24"/>
        </w:rPr>
        <w:lastRenderedPageBreak/>
        <w:t>non-objection</w:t>
      </w:r>
      <w:r w:rsidR="00366B5F">
        <w:rPr>
          <w:rFonts w:eastAsia="Merriweather" w:cs="Calibri"/>
          <w:color w:val="000000" w:themeColor="text1"/>
          <w:szCs w:val="24"/>
        </w:rPr>
        <w:t>, en soutien aux efforts d’</w:t>
      </w:r>
      <w:r w:rsidR="00366B5F" w:rsidRPr="00395AEC">
        <w:rPr>
          <w:rFonts w:eastAsia="Merriweather" w:cs="Calibri"/>
          <w:color w:val="000000" w:themeColor="text1"/>
          <w:szCs w:val="24"/>
        </w:rPr>
        <w:t>accroissement de la mobilisation des ressources domestiques</w:t>
      </w:r>
      <w:r w:rsidRPr="00395AEC">
        <w:rPr>
          <w:rFonts w:eastAsia="Merriweather" w:cs="Calibri"/>
          <w:color w:val="000000" w:themeColor="text1"/>
          <w:szCs w:val="24"/>
        </w:rPr>
        <w:t> ;</w:t>
      </w:r>
    </w:p>
    <w:p w14:paraId="447F652C" w14:textId="1DAF62AF" w:rsidR="00366B5F" w:rsidRPr="009A288B" w:rsidRDefault="00366B5F" w:rsidP="00366B5F">
      <w:pPr>
        <w:numPr>
          <w:ilvl w:val="0"/>
          <w:numId w:val="6"/>
        </w:numPr>
        <w:spacing w:before="120" w:after="0" w:line="256" w:lineRule="auto"/>
        <w:contextualSpacing/>
        <w:rPr>
          <w:rFonts w:eastAsia="Merriweather" w:cs="Calibri"/>
          <w:color w:val="000000" w:themeColor="text1"/>
          <w:szCs w:val="24"/>
        </w:rPr>
      </w:pPr>
      <w:proofErr w:type="gramStart"/>
      <w:r>
        <w:rPr>
          <w:rFonts w:eastAsia="Merriweather" w:cs="Calibri"/>
          <w:color w:val="000000" w:themeColor="text1"/>
          <w:szCs w:val="24"/>
        </w:rPr>
        <w:t>p</w:t>
      </w:r>
      <w:r w:rsidRPr="009A288B">
        <w:rPr>
          <w:rFonts w:eastAsia="Merriweather" w:cs="Calibri"/>
          <w:color w:val="000000" w:themeColor="text1"/>
          <w:szCs w:val="24"/>
        </w:rPr>
        <w:t>oursuivre</w:t>
      </w:r>
      <w:proofErr w:type="gramEnd"/>
      <w:r w:rsidRPr="009A288B">
        <w:rPr>
          <w:rFonts w:eastAsia="Merriweather" w:cs="Calibri"/>
          <w:color w:val="000000" w:themeColor="text1"/>
          <w:szCs w:val="24"/>
        </w:rPr>
        <w:t xml:space="preserve"> les efforts d’apurement de la dette intérieure ;</w:t>
      </w:r>
    </w:p>
    <w:p w14:paraId="1BC8099B" w14:textId="53A127E3" w:rsid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restructurer</w:t>
      </w:r>
      <w:proofErr w:type="gramEnd"/>
      <w:r w:rsidRPr="00395AEC">
        <w:rPr>
          <w:rFonts w:eastAsia="Merriweather" w:cs="Calibri"/>
          <w:color w:val="000000" w:themeColor="text1"/>
          <w:szCs w:val="24"/>
        </w:rPr>
        <w:t xml:space="preserve"> la dette publique en vue de dégager un espace budgétaire favorable à l’investissement ;</w:t>
      </w:r>
    </w:p>
    <w:p w14:paraId="4B693BB2" w14:textId="6A2077A8" w:rsidR="00366B5F" w:rsidRPr="009A288B" w:rsidRDefault="00366B5F" w:rsidP="00366B5F">
      <w:pPr>
        <w:numPr>
          <w:ilvl w:val="0"/>
          <w:numId w:val="6"/>
        </w:numPr>
        <w:spacing w:before="120" w:after="0" w:line="256" w:lineRule="auto"/>
        <w:contextualSpacing/>
        <w:rPr>
          <w:rFonts w:eastAsia="Merriweather" w:cs="Calibri"/>
          <w:color w:val="000000" w:themeColor="text1"/>
          <w:szCs w:val="24"/>
        </w:rPr>
      </w:pPr>
      <w:proofErr w:type="gramStart"/>
      <w:r>
        <w:rPr>
          <w:rFonts w:eastAsia="Merriweather" w:cs="Calibri"/>
          <w:color w:val="000000" w:themeColor="text1"/>
          <w:szCs w:val="24"/>
        </w:rPr>
        <w:t>a</w:t>
      </w:r>
      <w:r w:rsidRPr="009A288B">
        <w:rPr>
          <w:rFonts w:eastAsia="Merriweather" w:cs="Calibri"/>
          <w:color w:val="000000" w:themeColor="text1"/>
          <w:szCs w:val="24"/>
        </w:rPr>
        <w:t>ccélérer</w:t>
      </w:r>
      <w:proofErr w:type="gramEnd"/>
      <w:r w:rsidRPr="009A288B">
        <w:rPr>
          <w:rFonts w:eastAsia="Merriweather" w:cs="Calibri"/>
          <w:color w:val="000000" w:themeColor="text1"/>
          <w:szCs w:val="24"/>
        </w:rPr>
        <w:t xml:space="preserve"> la mise en œuvre des actions qui rencontrent des difficultés ;</w:t>
      </w:r>
    </w:p>
    <w:p w14:paraId="1F240BFC" w14:textId="40B0D0A1" w:rsidR="00366B5F" w:rsidRPr="009A288B" w:rsidRDefault="00366B5F" w:rsidP="00366B5F">
      <w:pPr>
        <w:numPr>
          <w:ilvl w:val="0"/>
          <w:numId w:val="6"/>
        </w:numPr>
        <w:spacing w:before="120" w:after="0" w:line="256" w:lineRule="auto"/>
        <w:contextualSpacing/>
        <w:rPr>
          <w:rFonts w:eastAsia="Merriweather" w:cs="Calibri"/>
          <w:color w:val="000000" w:themeColor="text1"/>
          <w:szCs w:val="24"/>
        </w:rPr>
      </w:pPr>
      <w:proofErr w:type="gramStart"/>
      <w:r>
        <w:rPr>
          <w:rFonts w:eastAsia="Merriweather" w:cs="Calibri"/>
          <w:color w:val="000000" w:themeColor="text1"/>
          <w:szCs w:val="24"/>
        </w:rPr>
        <w:t>a</w:t>
      </w:r>
      <w:r w:rsidRPr="009A288B">
        <w:rPr>
          <w:rFonts w:eastAsia="Merriweather" w:cs="Calibri"/>
          <w:color w:val="000000" w:themeColor="text1"/>
          <w:szCs w:val="24"/>
        </w:rPr>
        <w:t>méliorer</w:t>
      </w:r>
      <w:proofErr w:type="gramEnd"/>
      <w:r w:rsidRPr="009A288B">
        <w:rPr>
          <w:rFonts w:eastAsia="Merriweather" w:cs="Calibri"/>
          <w:color w:val="000000" w:themeColor="text1"/>
          <w:szCs w:val="24"/>
        </w:rPr>
        <w:t xml:space="preserve"> les progrès dans la réalisation de certaines actions ; </w:t>
      </w:r>
    </w:p>
    <w:p w14:paraId="44EC80BD" w14:textId="790AAA07" w:rsidR="00366B5F" w:rsidRPr="009A288B" w:rsidRDefault="00366B5F" w:rsidP="00366B5F">
      <w:pPr>
        <w:numPr>
          <w:ilvl w:val="0"/>
          <w:numId w:val="6"/>
        </w:numPr>
        <w:spacing w:before="120" w:after="0" w:line="256" w:lineRule="auto"/>
        <w:contextualSpacing/>
        <w:rPr>
          <w:rFonts w:eastAsia="Merriweather" w:cs="Calibri"/>
          <w:color w:val="000000" w:themeColor="text1"/>
          <w:szCs w:val="24"/>
        </w:rPr>
      </w:pPr>
      <w:proofErr w:type="gramStart"/>
      <w:r>
        <w:rPr>
          <w:rFonts w:eastAsia="Merriweather" w:cs="Calibri"/>
          <w:color w:val="000000" w:themeColor="text1"/>
          <w:szCs w:val="24"/>
        </w:rPr>
        <w:t>c</w:t>
      </w:r>
      <w:r w:rsidRPr="009A288B">
        <w:rPr>
          <w:rFonts w:eastAsia="Merriweather" w:cs="Calibri"/>
          <w:color w:val="000000" w:themeColor="text1"/>
          <w:szCs w:val="24"/>
        </w:rPr>
        <w:t>onsolider</w:t>
      </w:r>
      <w:proofErr w:type="gramEnd"/>
      <w:r w:rsidRPr="009A288B">
        <w:rPr>
          <w:rFonts w:eastAsia="Merriweather" w:cs="Calibri"/>
          <w:color w:val="000000" w:themeColor="text1"/>
          <w:szCs w:val="24"/>
        </w:rPr>
        <w:t xml:space="preserve"> le processus de la décentralisation ;</w:t>
      </w:r>
    </w:p>
    <w:p w14:paraId="64253C00" w14:textId="77777777" w:rsidR="00395AEC"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renforcer</w:t>
      </w:r>
      <w:proofErr w:type="gramEnd"/>
      <w:r w:rsidRPr="00395AEC">
        <w:rPr>
          <w:rFonts w:eastAsia="Merriweather" w:cs="Calibri"/>
          <w:color w:val="000000" w:themeColor="text1"/>
          <w:szCs w:val="24"/>
        </w:rPr>
        <w:t xml:space="preserve"> la contribution des CT dans la mise en œuvre du PA-SD à travers l’amélioration des ressources transférées pour le financement de la décentralisation et le renforcement des capacités des délégations spéciales en vue d’exécuter efficacement les investissements sous leur maîtrise d’ouvrage ;</w:t>
      </w:r>
    </w:p>
    <w:p w14:paraId="7DCF7BDC" w14:textId="6E01C256" w:rsidR="00530882" w:rsidRPr="00395AEC" w:rsidRDefault="00395AEC" w:rsidP="00F175A7">
      <w:pPr>
        <w:numPr>
          <w:ilvl w:val="0"/>
          <w:numId w:val="6"/>
        </w:numPr>
        <w:shd w:val="clear" w:color="auto" w:fill="FFFFFF" w:themeFill="background1"/>
        <w:spacing w:before="120" w:after="120" w:line="240" w:lineRule="auto"/>
        <w:rPr>
          <w:rFonts w:eastAsia="Merriweather" w:cs="Calibri"/>
          <w:color w:val="000000" w:themeColor="text1"/>
          <w:szCs w:val="24"/>
        </w:rPr>
      </w:pPr>
      <w:proofErr w:type="gramStart"/>
      <w:r w:rsidRPr="00395AEC">
        <w:rPr>
          <w:rFonts w:eastAsia="Merriweather" w:cs="Calibri"/>
          <w:color w:val="000000" w:themeColor="text1"/>
          <w:szCs w:val="24"/>
        </w:rPr>
        <w:t>poursuivre</w:t>
      </w:r>
      <w:proofErr w:type="gramEnd"/>
      <w:r w:rsidRPr="00395AEC">
        <w:rPr>
          <w:rFonts w:eastAsia="Merriweather" w:cs="Calibri"/>
          <w:color w:val="000000" w:themeColor="text1"/>
          <w:szCs w:val="24"/>
        </w:rPr>
        <w:t xml:space="preserve"> les efforts de renforcement du dispositif de suivi-évaluation à travers </w:t>
      </w:r>
      <w:r w:rsidR="00366B5F" w:rsidRPr="009A288B">
        <w:rPr>
          <w:rFonts w:eastAsia="Merriweather" w:cs="Calibri"/>
          <w:color w:val="000000" w:themeColor="text1"/>
          <w:szCs w:val="24"/>
        </w:rPr>
        <w:t>l’opérationnalisation des groupes thématiques, l’amélioration de la production statistique</w:t>
      </w:r>
      <w:r w:rsidR="00366B5F">
        <w:rPr>
          <w:rFonts w:eastAsia="Merriweather" w:cs="Calibri"/>
          <w:color w:val="000000" w:themeColor="text1"/>
          <w:szCs w:val="24"/>
        </w:rPr>
        <w:t xml:space="preserve"> et</w:t>
      </w:r>
      <w:r w:rsidR="00366B5F" w:rsidRPr="009A288B">
        <w:rPr>
          <w:rFonts w:eastAsia="Merriweather" w:cs="Calibri"/>
          <w:color w:val="000000" w:themeColor="text1"/>
          <w:szCs w:val="24"/>
        </w:rPr>
        <w:t xml:space="preserve"> le financement </w:t>
      </w:r>
      <w:r w:rsidRPr="00395AEC">
        <w:rPr>
          <w:rFonts w:eastAsia="Merriweather" w:cs="Calibri"/>
          <w:color w:val="000000" w:themeColor="text1"/>
          <w:szCs w:val="24"/>
        </w:rPr>
        <w:t>conséquent des organes du dispositif de suivi.</w:t>
      </w:r>
    </w:p>
    <w:p w14:paraId="31919093" w14:textId="77777777" w:rsidR="00930AE2" w:rsidRPr="008D2129" w:rsidRDefault="00930AE2">
      <w:pPr>
        <w:spacing w:after="0" w:line="240" w:lineRule="auto"/>
      </w:pPr>
    </w:p>
    <w:p w14:paraId="5C76B583" w14:textId="77777777" w:rsidR="00E5717E" w:rsidRPr="008D2129" w:rsidRDefault="00E5717E">
      <w:pPr>
        <w:spacing w:after="0" w:line="240" w:lineRule="auto"/>
        <w:sectPr w:rsidR="00E5717E" w:rsidRPr="008D2129" w:rsidSect="007E167D">
          <w:pgSz w:w="11906" w:h="16838"/>
          <w:pgMar w:top="1440" w:right="1440" w:bottom="1440" w:left="1440" w:header="708" w:footer="708" w:gutter="0"/>
          <w:cols w:space="708"/>
          <w:docGrid w:linePitch="360"/>
        </w:sectPr>
      </w:pPr>
    </w:p>
    <w:sdt>
      <w:sdtPr>
        <w:rPr>
          <w:rFonts w:ascii="Sylfaen" w:eastAsiaTheme="minorHAnsi" w:hAnsi="Sylfaen" w:cs="Times New Roman (Corps CS)"/>
          <w:color w:val="auto"/>
          <w:sz w:val="24"/>
          <w:szCs w:val="22"/>
          <w:lang w:val="fr-FR"/>
        </w:rPr>
        <w:id w:val="-1731066611"/>
        <w:docPartObj>
          <w:docPartGallery w:val="Table of Contents"/>
          <w:docPartUnique/>
        </w:docPartObj>
      </w:sdtPr>
      <w:sdtEndPr>
        <w:rPr>
          <w:b/>
          <w:bCs/>
        </w:rPr>
      </w:sdtEndPr>
      <w:sdtContent>
        <w:p w14:paraId="6D9045F4" w14:textId="6BC43BFA" w:rsidR="001655C1" w:rsidRPr="008D2129" w:rsidRDefault="001655C1">
          <w:pPr>
            <w:pStyle w:val="En-ttedetabledesmatires"/>
          </w:pPr>
          <w:r w:rsidRPr="008D2129">
            <w:rPr>
              <w:lang w:val="fr-FR"/>
            </w:rPr>
            <w:t>Table des matières</w:t>
          </w:r>
        </w:p>
        <w:p w14:paraId="75825507" w14:textId="054FAA51" w:rsidR="00A733FA" w:rsidRDefault="00F84D97">
          <w:pPr>
            <w:pStyle w:val="TM1"/>
            <w:rPr>
              <w:rFonts w:asciiTheme="minorHAnsi" w:eastAsiaTheme="minorEastAsia" w:hAnsiTheme="minorHAnsi" w:cstheme="minorBidi"/>
              <w:noProof/>
              <w:sz w:val="22"/>
              <w:lang w:eastAsia="fr-FR"/>
            </w:rPr>
          </w:pPr>
          <w:r w:rsidRPr="008D2129">
            <w:rPr>
              <w:b/>
              <w:bCs/>
            </w:rPr>
            <w:fldChar w:fldCharType="begin"/>
          </w:r>
          <w:r w:rsidRPr="008D2129">
            <w:rPr>
              <w:b/>
              <w:bCs/>
            </w:rPr>
            <w:instrText xml:space="preserve"> TOC \o "1-4" \h \z \u </w:instrText>
          </w:r>
          <w:r w:rsidRPr="008D2129">
            <w:rPr>
              <w:b/>
              <w:bCs/>
            </w:rPr>
            <w:fldChar w:fldCharType="separate"/>
          </w:r>
          <w:hyperlink w:anchor="_Toc163141198" w:history="1">
            <w:r w:rsidR="00A733FA" w:rsidRPr="0037363D">
              <w:rPr>
                <w:rStyle w:val="Lienhypertexte"/>
                <w:noProof/>
              </w:rPr>
              <w:t>Sommaire</w:t>
            </w:r>
            <w:r w:rsidR="00A733FA">
              <w:rPr>
                <w:noProof/>
                <w:webHidden/>
              </w:rPr>
              <w:tab/>
            </w:r>
            <w:r w:rsidR="00A733FA">
              <w:rPr>
                <w:noProof/>
                <w:webHidden/>
              </w:rPr>
              <w:fldChar w:fldCharType="begin"/>
            </w:r>
            <w:r w:rsidR="00A733FA">
              <w:rPr>
                <w:noProof/>
                <w:webHidden/>
              </w:rPr>
              <w:instrText xml:space="preserve"> PAGEREF _Toc163141198 \h </w:instrText>
            </w:r>
            <w:r w:rsidR="00A733FA">
              <w:rPr>
                <w:noProof/>
                <w:webHidden/>
              </w:rPr>
            </w:r>
            <w:r w:rsidR="00A733FA">
              <w:rPr>
                <w:noProof/>
                <w:webHidden/>
              </w:rPr>
              <w:fldChar w:fldCharType="separate"/>
            </w:r>
            <w:r w:rsidR="007C2E4E">
              <w:rPr>
                <w:noProof/>
                <w:webHidden/>
              </w:rPr>
              <w:t>i</w:t>
            </w:r>
            <w:r w:rsidR="00A733FA">
              <w:rPr>
                <w:noProof/>
                <w:webHidden/>
              </w:rPr>
              <w:fldChar w:fldCharType="end"/>
            </w:r>
          </w:hyperlink>
        </w:p>
        <w:p w14:paraId="2404E8CD" w14:textId="729223E9" w:rsidR="00A733FA" w:rsidRDefault="00183DC5">
          <w:pPr>
            <w:pStyle w:val="TM1"/>
            <w:rPr>
              <w:rFonts w:asciiTheme="minorHAnsi" w:eastAsiaTheme="minorEastAsia" w:hAnsiTheme="minorHAnsi" w:cstheme="minorBidi"/>
              <w:noProof/>
              <w:sz w:val="22"/>
              <w:lang w:eastAsia="fr-FR"/>
            </w:rPr>
          </w:pPr>
          <w:hyperlink w:anchor="_Toc163141199" w:history="1">
            <w:r w:rsidR="00A733FA" w:rsidRPr="0037363D">
              <w:rPr>
                <w:rStyle w:val="Lienhypertexte"/>
                <w:noProof/>
              </w:rPr>
              <w:t>Liste des tableaux</w:t>
            </w:r>
            <w:r w:rsidR="00A733FA">
              <w:rPr>
                <w:noProof/>
                <w:webHidden/>
              </w:rPr>
              <w:tab/>
            </w:r>
            <w:r w:rsidR="00A733FA">
              <w:rPr>
                <w:noProof/>
                <w:webHidden/>
              </w:rPr>
              <w:fldChar w:fldCharType="begin"/>
            </w:r>
            <w:r w:rsidR="00A733FA">
              <w:rPr>
                <w:noProof/>
                <w:webHidden/>
              </w:rPr>
              <w:instrText xml:space="preserve"> PAGEREF _Toc163141199 \h </w:instrText>
            </w:r>
            <w:r w:rsidR="00A733FA">
              <w:rPr>
                <w:noProof/>
                <w:webHidden/>
              </w:rPr>
            </w:r>
            <w:r w:rsidR="00A733FA">
              <w:rPr>
                <w:noProof/>
                <w:webHidden/>
              </w:rPr>
              <w:fldChar w:fldCharType="separate"/>
            </w:r>
            <w:r w:rsidR="007C2E4E">
              <w:rPr>
                <w:noProof/>
                <w:webHidden/>
              </w:rPr>
              <w:t>ii</w:t>
            </w:r>
            <w:r w:rsidR="00A733FA">
              <w:rPr>
                <w:noProof/>
                <w:webHidden/>
              </w:rPr>
              <w:fldChar w:fldCharType="end"/>
            </w:r>
          </w:hyperlink>
        </w:p>
        <w:p w14:paraId="6B63D2AB" w14:textId="0B1A13DC" w:rsidR="00A733FA" w:rsidRDefault="00183DC5">
          <w:pPr>
            <w:pStyle w:val="TM1"/>
            <w:rPr>
              <w:rFonts w:asciiTheme="minorHAnsi" w:eastAsiaTheme="minorEastAsia" w:hAnsiTheme="minorHAnsi" w:cstheme="minorBidi"/>
              <w:noProof/>
              <w:sz w:val="22"/>
              <w:lang w:eastAsia="fr-FR"/>
            </w:rPr>
          </w:pPr>
          <w:hyperlink w:anchor="_Toc163141200" w:history="1">
            <w:r w:rsidR="00A733FA" w:rsidRPr="0037363D">
              <w:rPr>
                <w:rStyle w:val="Lienhypertexte"/>
                <w:noProof/>
              </w:rPr>
              <w:t>Sigles et abréviations</w:t>
            </w:r>
            <w:r w:rsidR="00A733FA">
              <w:rPr>
                <w:noProof/>
                <w:webHidden/>
              </w:rPr>
              <w:tab/>
            </w:r>
            <w:r w:rsidR="00A733FA">
              <w:rPr>
                <w:noProof/>
                <w:webHidden/>
              </w:rPr>
              <w:fldChar w:fldCharType="begin"/>
            </w:r>
            <w:r w:rsidR="00A733FA">
              <w:rPr>
                <w:noProof/>
                <w:webHidden/>
              </w:rPr>
              <w:instrText xml:space="preserve"> PAGEREF _Toc163141200 \h </w:instrText>
            </w:r>
            <w:r w:rsidR="00A733FA">
              <w:rPr>
                <w:noProof/>
                <w:webHidden/>
              </w:rPr>
            </w:r>
            <w:r w:rsidR="00A733FA">
              <w:rPr>
                <w:noProof/>
                <w:webHidden/>
              </w:rPr>
              <w:fldChar w:fldCharType="separate"/>
            </w:r>
            <w:r w:rsidR="007C2E4E">
              <w:rPr>
                <w:noProof/>
                <w:webHidden/>
              </w:rPr>
              <w:t>vii</w:t>
            </w:r>
            <w:r w:rsidR="00A733FA">
              <w:rPr>
                <w:noProof/>
                <w:webHidden/>
              </w:rPr>
              <w:fldChar w:fldCharType="end"/>
            </w:r>
          </w:hyperlink>
        </w:p>
        <w:p w14:paraId="6F95CDEC" w14:textId="672A9E00" w:rsidR="00A733FA" w:rsidRDefault="00183DC5">
          <w:pPr>
            <w:pStyle w:val="TM1"/>
            <w:rPr>
              <w:rFonts w:asciiTheme="minorHAnsi" w:eastAsiaTheme="minorEastAsia" w:hAnsiTheme="minorHAnsi" w:cstheme="minorBidi"/>
              <w:noProof/>
              <w:sz w:val="22"/>
              <w:lang w:eastAsia="fr-FR"/>
            </w:rPr>
          </w:pPr>
          <w:hyperlink w:anchor="_Toc163141201" w:history="1">
            <w:r w:rsidR="00A733FA" w:rsidRPr="0037363D">
              <w:rPr>
                <w:rStyle w:val="Lienhypertexte"/>
                <w:noProof/>
              </w:rPr>
              <w:t>Résumé</w:t>
            </w:r>
            <w:r w:rsidR="00A733FA">
              <w:rPr>
                <w:noProof/>
                <w:webHidden/>
              </w:rPr>
              <w:tab/>
            </w:r>
            <w:r w:rsidR="00A733FA">
              <w:rPr>
                <w:noProof/>
                <w:webHidden/>
              </w:rPr>
              <w:fldChar w:fldCharType="begin"/>
            </w:r>
            <w:r w:rsidR="00A733FA">
              <w:rPr>
                <w:noProof/>
                <w:webHidden/>
              </w:rPr>
              <w:instrText xml:space="preserve"> PAGEREF _Toc163141201 \h </w:instrText>
            </w:r>
            <w:r w:rsidR="00A733FA">
              <w:rPr>
                <w:noProof/>
                <w:webHidden/>
              </w:rPr>
            </w:r>
            <w:r w:rsidR="00A733FA">
              <w:rPr>
                <w:noProof/>
                <w:webHidden/>
              </w:rPr>
              <w:fldChar w:fldCharType="separate"/>
            </w:r>
            <w:r w:rsidR="007C2E4E">
              <w:rPr>
                <w:noProof/>
                <w:webHidden/>
              </w:rPr>
              <w:t>x</w:t>
            </w:r>
            <w:r w:rsidR="00A733FA">
              <w:rPr>
                <w:noProof/>
                <w:webHidden/>
              </w:rPr>
              <w:fldChar w:fldCharType="end"/>
            </w:r>
          </w:hyperlink>
        </w:p>
        <w:p w14:paraId="6109D4D6" w14:textId="327A2924" w:rsidR="00A733FA" w:rsidRDefault="00183DC5">
          <w:pPr>
            <w:pStyle w:val="TM1"/>
            <w:rPr>
              <w:rFonts w:asciiTheme="minorHAnsi" w:eastAsiaTheme="minorEastAsia" w:hAnsiTheme="minorHAnsi" w:cstheme="minorBidi"/>
              <w:noProof/>
              <w:sz w:val="22"/>
              <w:lang w:eastAsia="fr-FR"/>
            </w:rPr>
          </w:pPr>
          <w:hyperlink w:anchor="_Toc163141202" w:history="1">
            <w:r w:rsidR="00A733FA" w:rsidRPr="0037363D">
              <w:rPr>
                <w:rStyle w:val="Lienhypertexte"/>
                <w:noProof/>
              </w:rPr>
              <w:t>Introduction</w:t>
            </w:r>
            <w:r w:rsidR="00A733FA">
              <w:rPr>
                <w:noProof/>
                <w:webHidden/>
              </w:rPr>
              <w:tab/>
            </w:r>
            <w:r w:rsidR="00A733FA">
              <w:rPr>
                <w:noProof/>
                <w:webHidden/>
              </w:rPr>
              <w:fldChar w:fldCharType="begin"/>
            </w:r>
            <w:r w:rsidR="00A733FA">
              <w:rPr>
                <w:noProof/>
                <w:webHidden/>
              </w:rPr>
              <w:instrText xml:space="preserve"> PAGEREF _Toc163141202 \h </w:instrText>
            </w:r>
            <w:r w:rsidR="00A733FA">
              <w:rPr>
                <w:noProof/>
                <w:webHidden/>
              </w:rPr>
            </w:r>
            <w:r w:rsidR="00A733FA">
              <w:rPr>
                <w:noProof/>
                <w:webHidden/>
              </w:rPr>
              <w:fldChar w:fldCharType="separate"/>
            </w:r>
            <w:r w:rsidR="007C2E4E">
              <w:rPr>
                <w:noProof/>
                <w:webHidden/>
              </w:rPr>
              <w:t>1</w:t>
            </w:r>
            <w:r w:rsidR="00A733FA">
              <w:rPr>
                <w:noProof/>
                <w:webHidden/>
              </w:rPr>
              <w:fldChar w:fldCharType="end"/>
            </w:r>
          </w:hyperlink>
        </w:p>
        <w:p w14:paraId="51370A8E" w14:textId="0D08F902" w:rsidR="00A733FA" w:rsidRDefault="00183DC5">
          <w:pPr>
            <w:pStyle w:val="TM1"/>
            <w:tabs>
              <w:tab w:val="left" w:pos="480"/>
            </w:tabs>
            <w:rPr>
              <w:rFonts w:asciiTheme="minorHAnsi" w:eastAsiaTheme="minorEastAsia" w:hAnsiTheme="minorHAnsi" w:cstheme="minorBidi"/>
              <w:noProof/>
              <w:sz w:val="22"/>
              <w:lang w:eastAsia="fr-FR"/>
            </w:rPr>
          </w:pPr>
          <w:hyperlink w:anchor="_Toc163141203" w:history="1">
            <w:r w:rsidR="00A733FA" w:rsidRPr="0037363D">
              <w:rPr>
                <w:rStyle w:val="Lienhypertexte"/>
                <w:rFonts w:cstheme="majorBidi"/>
                <w:noProof/>
              </w:rPr>
              <w:t>I.</w:t>
            </w:r>
            <w:r w:rsidR="00A733FA">
              <w:rPr>
                <w:rFonts w:asciiTheme="minorHAnsi" w:eastAsiaTheme="minorEastAsia" w:hAnsiTheme="minorHAnsi" w:cstheme="minorBidi"/>
                <w:noProof/>
                <w:sz w:val="22"/>
                <w:lang w:eastAsia="fr-FR"/>
              </w:rPr>
              <w:tab/>
            </w:r>
            <w:r w:rsidR="00A733FA" w:rsidRPr="0037363D">
              <w:rPr>
                <w:rStyle w:val="Lienhypertexte"/>
                <w:noProof/>
              </w:rPr>
              <w:t>Evolution de l’économie burkinabè en 2023</w:t>
            </w:r>
            <w:r w:rsidR="00A733FA">
              <w:rPr>
                <w:noProof/>
                <w:webHidden/>
              </w:rPr>
              <w:tab/>
            </w:r>
            <w:r w:rsidR="00A733FA">
              <w:rPr>
                <w:noProof/>
                <w:webHidden/>
              </w:rPr>
              <w:fldChar w:fldCharType="begin"/>
            </w:r>
            <w:r w:rsidR="00A733FA">
              <w:rPr>
                <w:noProof/>
                <w:webHidden/>
              </w:rPr>
              <w:instrText xml:space="preserve"> PAGEREF _Toc163141203 \h </w:instrText>
            </w:r>
            <w:r w:rsidR="00A733FA">
              <w:rPr>
                <w:noProof/>
                <w:webHidden/>
              </w:rPr>
            </w:r>
            <w:r w:rsidR="00A733FA">
              <w:rPr>
                <w:noProof/>
                <w:webHidden/>
              </w:rPr>
              <w:fldChar w:fldCharType="separate"/>
            </w:r>
            <w:r w:rsidR="007C2E4E">
              <w:rPr>
                <w:noProof/>
                <w:webHidden/>
              </w:rPr>
              <w:t>2</w:t>
            </w:r>
            <w:r w:rsidR="00A733FA">
              <w:rPr>
                <w:noProof/>
                <w:webHidden/>
              </w:rPr>
              <w:fldChar w:fldCharType="end"/>
            </w:r>
          </w:hyperlink>
        </w:p>
        <w:p w14:paraId="479CCA3E" w14:textId="7E13100D" w:rsidR="00A733FA" w:rsidRDefault="00183DC5">
          <w:pPr>
            <w:pStyle w:val="TM1"/>
            <w:tabs>
              <w:tab w:val="left" w:pos="480"/>
            </w:tabs>
            <w:rPr>
              <w:rFonts w:asciiTheme="minorHAnsi" w:eastAsiaTheme="minorEastAsia" w:hAnsiTheme="minorHAnsi" w:cstheme="minorBidi"/>
              <w:noProof/>
              <w:sz w:val="22"/>
              <w:lang w:eastAsia="fr-FR"/>
            </w:rPr>
          </w:pPr>
          <w:hyperlink w:anchor="_Toc163141204" w:history="1">
            <w:r w:rsidR="00A733FA" w:rsidRPr="0037363D">
              <w:rPr>
                <w:rStyle w:val="Lienhypertexte"/>
                <w:rFonts w:cstheme="majorBidi"/>
                <w:noProof/>
              </w:rPr>
              <w:t>II.</w:t>
            </w:r>
            <w:r w:rsidR="00A733FA">
              <w:rPr>
                <w:rFonts w:asciiTheme="minorHAnsi" w:eastAsiaTheme="minorEastAsia" w:hAnsiTheme="minorHAnsi" w:cstheme="minorBidi"/>
                <w:noProof/>
                <w:sz w:val="22"/>
                <w:lang w:eastAsia="fr-FR"/>
              </w:rPr>
              <w:tab/>
            </w:r>
            <w:r w:rsidR="00A733FA" w:rsidRPr="0037363D">
              <w:rPr>
                <w:rStyle w:val="Lienhypertexte"/>
                <w:noProof/>
              </w:rPr>
              <w:t>Performances au 31 décembre 2023 de la mise en œuvre du PA-SD par pilier</w:t>
            </w:r>
            <w:r w:rsidR="00A733FA">
              <w:rPr>
                <w:noProof/>
                <w:webHidden/>
              </w:rPr>
              <w:tab/>
            </w:r>
            <w:r w:rsidR="00A733FA">
              <w:rPr>
                <w:noProof/>
                <w:webHidden/>
              </w:rPr>
              <w:fldChar w:fldCharType="begin"/>
            </w:r>
            <w:r w:rsidR="00A733FA">
              <w:rPr>
                <w:noProof/>
                <w:webHidden/>
              </w:rPr>
              <w:instrText xml:space="preserve"> PAGEREF _Toc163141204 \h </w:instrText>
            </w:r>
            <w:r w:rsidR="00A733FA">
              <w:rPr>
                <w:noProof/>
                <w:webHidden/>
              </w:rPr>
            </w:r>
            <w:r w:rsidR="00A733FA">
              <w:rPr>
                <w:noProof/>
                <w:webHidden/>
              </w:rPr>
              <w:fldChar w:fldCharType="separate"/>
            </w:r>
            <w:r w:rsidR="007C2E4E">
              <w:rPr>
                <w:noProof/>
                <w:webHidden/>
              </w:rPr>
              <w:t>4</w:t>
            </w:r>
            <w:r w:rsidR="00A733FA">
              <w:rPr>
                <w:noProof/>
                <w:webHidden/>
              </w:rPr>
              <w:fldChar w:fldCharType="end"/>
            </w:r>
          </w:hyperlink>
        </w:p>
        <w:p w14:paraId="65079280" w14:textId="295458C6" w:rsidR="00A733FA"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3141205" w:history="1">
            <w:r w:rsidR="00A733FA" w:rsidRPr="0037363D">
              <w:rPr>
                <w:rStyle w:val="Lienhypertexte"/>
                <w:rFonts w:cstheme="majorBidi"/>
                <w:noProof/>
              </w:rPr>
              <w:t>II.1.</w:t>
            </w:r>
            <w:r w:rsidR="00A733FA">
              <w:rPr>
                <w:rFonts w:asciiTheme="minorHAnsi" w:eastAsiaTheme="minorEastAsia" w:hAnsiTheme="minorHAnsi" w:cstheme="minorBidi"/>
                <w:noProof/>
                <w:sz w:val="22"/>
                <w:lang w:eastAsia="fr-FR"/>
              </w:rPr>
              <w:tab/>
            </w:r>
            <w:r w:rsidR="00A733FA" w:rsidRPr="0037363D">
              <w:rPr>
                <w:rStyle w:val="Lienhypertexte"/>
                <w:noProof/>
              </w:rPr>
              <w:t>Pilier 1 : Lutter contre le terrorisme et restaurer l’intégrité territoriale</w:t>
            </w:r>
            <w:r w:rsidR="00A733FA">
              <w:rPr>
                <w:noProof/>
                <w:webHidden/>
              </w:rPr>
              <w:tab/>
            </w:r>
            <w:r w:rsidR="00A733FA">
              <w:rPr>
                <w:noProof/>
                <w:webHidden/>
              </w:rPr>
              <w:fldChar w:fldCharType="begin"/>
            </w:r>
            <w:r w:rsidR="00A733FA">
              <w:rPr>
                <w:noProof/>
                <w:webHidden/>
              </w:rPr>
              <w:instrText xml:space="preserve"> PAGEREF _Toc163141205 \h </w:instrText>
            </w:r>
            <w:r w:rsidR="00A733FA">
              <w:rPr>
                <w:noProof/>
                <w:webHidden/>
              </w:rPr>
            </w:r>
            <w:r w:rsidR="00A733FA">
              <w:rPr>
                <w:noProof/>
                <w:webHidden/>
              </w:rPr>
              <w:fldChar w:fldCharType="separate"/>
            </w:r>
            <w:r w:rsidR="007C2E4E">
              <w:rPr>
                <w:noProof/>
                <w:webHidden/>
              </w:rPr>
              <w:t>4</w:t>
            </w:r>
            <w:r w:rsidR="00A733FA">
              <w:rPr>
                <w:noProof/>
                <w:webHidden/>
              </w:rPr>
              <w:fldChar w:fldCharType="end"/>
            </w:r>
          </w:hyperlink>
        </w:p>
        <w:p w14:paraId="6E8C1A81" w14:textId="24811A4F" w:rsidR="00A733FA" w:rsidRDefault="00183DC5">
          <w:pPr>
            <w:pStyle w:val="TM3"/>
            <w:rPr>
              <w:rFonts w:asciiTheme="minorHAnsi" w:eastAsiaTheme="minorEastAsia" w:hAnsiTheme="minorHAnsi" w:cstheme="minorBidi"/>
              <w:noProof/>
              <w:sz w:val="22"/>
              <w:lang w:eastAsia="fr-FR"/>
            </w:rPr>
          </w:pPr>
          <w:hyperlink w:anchor="_Toc163141206" w:history="1">
            <w:r w:rsidR="00A733FA" w:rsidRPr="0037363D">
              <w:rPr>
                <w:rStyle w:val="Lienhypertexte"/>
                <w:rFonts w:cstheme="majorBidi"/>
                <w:noProof/>
              </w:rPr>
              <w:t>II.1.1.</w:t>
            </w:r>
            <w:r w:rsidR="00A733FA">
              <w:rPr>
                <w:rFonts w:asciiTheme="minorHAnsi" w:eastAsiaTheme="minorEastAsia" w:hAnsiTheme="minorHAnsi" w:cstheme="minorBidi"/>
                <w:noProof/>
                <w:sz w:val="22"/>
                <w:lang w:eastAsia="fr-FR"/>
              </w:rPr>
              <w:tab/>
            </w:r>
            <w:r w:rsidR="00A733FA" w:rsidRPr="0037363D">
              <w:rPr>
                <w:rStyle w:val="Lienhypertexte"/>
                <w:noProof/>
              </w:rPr>
              <w:t>Axe 1 : Consolider la résilience, la sécurité, la cohésion sociale et la paix</w:t>
            </w:r>
            <w:r w:rsidR="00A733FA">
              <w:rPr>
                <w:noProof/>
                <w:webHidden/>
              </w:rPr>
              <w:tab/>
            </w:r>
            <w:r w:rsidR="00A733FA">
              <w:rPr>
                <w:noProof/>
                <w:webHidden/>
              </w:rPr>
              <w:fldChar w:fldCharType="begin"/>
            </w:r>
            <w:r w:rsidR="00A733FA">
              <w:rPr>
                <w:noProof/>
                <w:webHidden/>
              </w:rPr>
              <w:instrText xml:space="preserve"> PAGEREF _Toc163141206 \h </w:instrText>
            </w:r>
            <w:r w:rsidR="00A733FA">
              <w:rPr>
                <w:noProof/>
                <w:webHidden/>
              </w:rPr>
            </w:r>
            <w:r w:rsidR="00A733FA">
              <w:rPr>
                <w:noProof/>
                <w:webHidden/>
              </w:rPr>
              <w:fldChar w:fldCharType="separate"/>
            </w:r>
            <w:r w:rsidR="007C2E4E">
              <w:rPr>
                <w:noProof/>
                <w:webHidden/>
              </w:rPr>
              <w:t>4</w:t>
            </w:r>
            <w:r w:rsidR="00A733FA">
              <w:rPr>
                <w:noProof/>
                <w:webHidden/>
              </w:rPr>
              <w:fldChar w:fldCharType="end"/>
            </w:r>
          </w:hyperlink>
        </w:p>
        <w:p w14:paraId="0FE1B72F" w14:textId="784DED67"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07" w:history="1">
            <w:r w:rsidR="00A733FA" w:rsidRPr="0037363D">
              <w:rPr>
                <w:rStyle w:val="Lienhypertexte"/>
                <w:rFonts w:cstheme="majorBidi"/>
                <w:noProof/>
              </w:rPr>
              <w:t>II.1.1.1.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1.2 : Renforcer la sécurité intérieure du pays et la défense du territoire national</w:t>
            </w:r>
            <w:r w:rsidR="00A733FA">
              <w:rPr>
                <w:noProof/>
                <w:webHidden/>
              </w:rPr>
              <w:tab/>
            </w:r>
            <w:r w:rsidR="00A733FA">
              <w:rPr>
                <w:noProof/>
                <w:webHidden/>
              </w:rPr>
              <w:fldChar w:fldCharType="begin"/>
            </w:r>
            <w:r w:rsidR="00A733FA">
              <w:rPr>
                <w:noProof/>
                <w:webHidden/>
              </w:rPr>
              <w:instrText xml:space="preserve"> PAGEREF _Toc163141207 \h </w:instrText>
            </w:r>
            <w:r w:rsidR="00A733FA">
              <w:rPr>
                <w:noProof/>
                <w:webHidden/>
              </w:rPr>
            </w:r>
            <w:r w:rsidR="00A733FA">
              <w:rPr>
                <w:noProof/>
                <w:webHidden/>
              </w:rPr>
              <w:fldChar w:fldCharType="separate"/>
            </w:r>
            <w:r w:rsidR="007C2E4E">
              <w:rPr>
                <w:noProof/>
                <w:webHidden/>
              </w:rPr>
              <w:t>4</w:t>
            </w:r>
            <w:r w:rsidR="00A733FA">
              <w:rPr>
                <w:noProof/>
                <w:webHidden/>
              </w:rPr>
              <w:fldChar w:fldCharType="end"/>
            </w:r>
          </w:hyperlink>
        </w:p>
        <w:p w14:paraId="613D4457" w14:textId="7C3DB78A" w:rsidR="00A733FA" w:rsidRDefault="00183DC5">
          <w:pPr>
            <w:pStyle w:val="TM3"/>
            <w:rPr>
              <w:rFonts w:asciiTheme="minorHAnsi" w:eastAsiaTheme="minorEastAsia" w:hAnsiTheme="minorHAnsi" w:cstheme="minorBidi"/>
              <w:noProof/>
              <w:sz w:val="22"/>
              <w:lang w:eastAsia="fr-FR"/>
            </w:rPr>
          </w:pPr>
          <w:hyperlink w:anchor="_Toc163141208" w:history="1">
            <w:r w:rsidR="00A733FA" w:rsidRPr="0037363D">
              <w:rPr>
                <w:rStyle w:val="Lienhypertexte"/>
                <w:rFonts w:cstheme="majorBidi"/>
                <w:noProof/>
              </w:rPr>
              <w:t>II.1.2.</w:t>
            </w:r>
            <w:r w:rsidR="00A733FA">
              <w:rPr>
                <w:rFonts w:asciiTheme="minorHAnsi" w:eastAsiaTheme="minorEastAsia" w:hAnsiTheme="minorHAnsi" w:cstheme="minorBidi"/>
                <w:noProof/>
                <w:sz w:val="22"/>
                <w:lang w:eastAsia="fr-FR"/>
              </w:rPr>
              <w:tab/>
            </w:r>
            <w:r w:rsidR="00A733FA" w:rsidRPr="0037363D">
              <w:rPr>
                <w:rStyle w:val="Lienhypertexte"/>
                <w:noProof/>
              </w:rPr>
              <w:t>Axe 4 : Dynamiser les secteurs porteurs pour l'économie et les emplois</w:t>
            </w:r>
            <w:r w:rsidR="00A733FA">
              <w:rPr>
                <w:noProof/>
                <w:webHidden/>
              </w:rPr>
              <w:tab/>
            </w:r>
            <w:r w:rsidR="00A733FA">
              <w:rPr>
                <w:noProof/>
                <w:webHidden/>
              </w:rPr>
              <w:fldChar w:fldCharType="begin"/>
            </w:r>
            <w:r w:rsidR="00A733FA">
              <w:rPr>
                <w:noProof/>
                <w:webHidden/>
              </w:rPr>
              <w:instrText xml:space="preserve"> PAGEREF _Toc163141208 \h </w:instrText>
            </w:r>
            <w:r w:rsidR="00A733FA">
              <w:rPr>
                <w:noProof/>
                <w:webHidden/>
              </w:rPr>
            </w:r>
            <w:r w:rsidR="00A733FA">
              <w:rPr>
                <w:noProof/>
                <w:webHidden/>
              </w:rPr>
              <w:fldChar w:fldCharType="separate"/>
            </w:r>
            <w:r w:rsidR="007C2E4E">
              <w:rPr>
                <w:noProof/>
                <w:webHidden/>
              </w:rPr>
              <w:t>18</w:t>
            </w:r>
            <w:r w:rsidR="00A733FA">
              <w:rPr>
                <w:noProof/>
                <w:webHidden/>
              </w:rPr>
              <w:fldChar w:fldCharType="end"/>
            </w:r>
          </w:hyperlink>
        </w:p>
        <w:p w14:paraId="06739547" w14:textId="198ED307"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09" w:history="1">
            <w:r w:rsidR="00A733FA" w:rsidRPr="0037363D">
              <w:rPr>
                <w:rStyle w:val="Lienhypertexte"/>
                <w:rFonts w:cstheme="majorBidi"/>
                <w:noProof/>
              </w:rPr>
              <w:t>II.1.2.1.</w:t>
            </w:r>
            <w:r w:rsidR="00A733FA">
              <w:rPr>
                <w:rFonts w:asciiTheme="minorHAnsi" w:eastAsiaTheme="minorEastAsia" w:hAnsiTheme="minorHAnsi" w:cstheme="minorBidi"/>
                <w:noProof/>
                <w:sz w:val="22"/>
                <w:lang w:eastAsia="fr-FR"/>
              </w:rPr>
              <w:tab/>
            </w:r>
            <w:r w:rsidR="00A733FA" w:rsidRPr="0037363D">
              <w:rPr>
                <w:rStyle w:val="Lienhypertexte"/>
                <w:noProof/>
              </w:rPr>
              <w:t>OS 4.1 : Développer durablement un secteur agro-sylvo-pastoral, faunique et halieutique productif et résilient, davantage orienté vers le marché</w:t>
            </w:r>
            <w:r w:rsidR="00A733FA">
              <w:rPr>
                <w:noProof/>
                <w:webHidden/>
              </w:rPr>
              <w:tab/>
            </w:r>
            <w:r w:rsidR="00A733FA">
              <w:rPr>
                <w:noProof/>
                <w:webHidden/>
              </w:rPr>
              <w:fldChar w:fldCharType="begin"/>
            </w:r>
            <w:r w:rsidR="00A733FA">
              <w:rPr>
                <w:noProof/>
                <w:webHidden/>
              </w:rPr>
              <w:instrText xml:space="preserve"> PAGEREF _Toc163141209 \h </w:instrText>
            </w:r>
            <w:r w:rsidR="00A733FA">
              <w:rPr>
                <w:noProof/>
                <w:webHidden/>
              </w:rPr>
            </w:r>
            <w:r w:rsidR="00A733FA">
              <w:rPr>
                <w:noProof/>
                <w:webHidden/>
              </w:rPr>
              <w:fldChar w:fldCharType="separate"/>
            </w:r>
            <w:r w:rsidR="007C2E4E">
              <w:rPr>
                <w:noProof/>
                <w:webHidden/>
              </w:rPr>
              <w:t>18</w:t>
            </w:r>
            <w:r w:rsidR="00A733FA">
              <w:rPr>
                <w:noProof/>
                <w:webHidden/>
              </w:rPr>
              <w:fldChar w:fldCharType="end"/>
            </w:r>
          </w:hyperlink>
        </w:p>
        <w:p w14:paraId="1B3265D7" w14:textId="69F296ED" w:rsidR="00A733FA" w:rsidRDefault="00183DC5">
          <w:pPr>
            <w:pStyle w:val="TM3"/>
            <w:rPr>
              <w:rFonts w:asciiTheme="minorHAnsi" w:eastAsiaTheme="minorEastAsia" w:hAnsiTheme="minorHAnsi" w:cstheme="minorBidi"/>
              <w:noProof/>
              <w:sz w:val="22"/>
              <w:lang w:eastAsia="fr-FR"/>
            </w:rPr>
          </w:pPr>
          <w:hyperlink w:anchor="_Toc163141210" w:history="1">
            <w:r w:rsidR="00A733FA" w:rsidRPr="0037363D">
              <w:rPr>
                <w:rStyle w:val="Lienhypertexte"/>
                <w:rFonts w:cstheme="majorBidi"/>
                <w:noProof/>
              </w:rPr>
              <w:t>II.1.3.</w:t>
            </w:r>
            <w:r w:rsidR="00A733FA">
              <w:rPr>
                <w:rFonts w:asciiTheme="minorHAnsi" w:eastAsiaTheme="minorEastAsia" w:hAnsiTheme="minorHAnsi" w:cstheme="minorBidi"/>
                <w:noProof/>
                <w:sz w:val="22"/>
                <w:lang w:eastAsia="fr-FR"/>
              </w:rPr>
              <w:tab/>
            </w:r>
            <w:r w:rsidR="00A733FA" w:rsidRPr="0037363D">
              <w:rPr>
                <w:rStyle w:val="Lienhypertexte"/>
                <w:noProof/>
              </w:rPr>
              <w:t>Contribution des collectivités territoriales au renforcement de la sécurité intérieure et à la lutte contre le terrorisme</w:t>
            </w:r>
            <w:r w:rsidR="00A733FA">
              <w:rPr>
                <w:noProof/>
                <w:webHidden/>
              </w:rPr>
              <w:tab/>
            </w:r>
            <w:r w:rsidR="00A733FA">
              <w:rPr>
                <w:noProof/>
                <w:webHidden/>
              </w:rPr>
              <w:fldChar w:fldCharType="begin"/>
            </w:r>
            <w:r w:rsidR="00A733FA">
              <w:rPr>
                <w:noProof/>
                <w:webHidden/>
              </w:rPr>
              <w:instrText xml:space="preserve"> PAGEREF _Toc163141210 \h </w:instrText>
            </w:r>
            <w:r w:rsidR="00A733FA">
              <w:rPr>
                <w:noProof/>
                <w:webHidden/>
              </w:rPr>
            </w:r>
            <w:r w:rsidR="00A733FA">
              <w:rPr>
                <w:noProof/>
                <w:webHidden/>
              </w:rPr>
              <w:fldChar w:fldCharType="separate"/>
            </w:r>
            <w:r w:rsidR="007C2E4E">
              <w:rPr>
                <w:noProof/>
                <w:webHidden/>
              </w:rPr>
              <w:t>19</w:t>
            </w:r>
            <w:r w:rsidR="00A733FA">
              <w:rPr>
                <w:noProof/>
                <w:webHidden/>
              </w:rPr>
              <w:fldChar w:fldCharType="end"/>
            </w:r>
          </w:hyperlink>
        </w:p>
        <w:p w14:paraId="7779A08D" w14:textId="5DE59F6A" w:rsidR="00A733FA" w:rsidRDefault="00183DC5">
          <w:pPr>
            <w:pStyle w:val="TM3"/>
            <w:rPr>
              <w:rFonts w:asciiTheme="minorHAnsi" w:eastAsiaTheme="minorEastAsia" w:hAnsiTheme="minorHAnsi" w:cstheme="minorBidi"/>
              <w:noProof/>
              <w:sz w:val="22"/>
              <w:lang w:eastAsia="fr-FR"/>
            </w:rPr>
          </w:pPr>
          <w:hyperlink w:anchor="_Toc163141211" w:history="1">
            <w:r w:rsidR="00A733FA" w:rsidRPr="0037363D">
              <w:rPr>
                <w:rStyle w:val="Lienhypertexte"/>
                <w:rFonts w:cstheme="majorBidi"/>
                <w:noProof/>
              </w:rPr>
              <w:t>II.1.4.</w:t>
            </w:r>
            <w:r w:rsidR="00A733FA">
              <w:rPr>
                <w:rFonts w:asciiTheme="minorHAnsi" w:eastAsiaTheme="minorEastAsia" w:hAnsiTheme="minorHAnsi" w:cstheme="minorBidi"/>
                <w:noProof/>
                <w:sz w:val="22"/>
                <w:lang w:eastAsia="fr-FR"/>
              </w:rPr>
              <w:tab/>
            </w:r>
            <w:r w:rsidR="00A733FA" w:rsidRPr="0037363D">
              <w:rPr>
                <w:rStyle w:val="Lienhypertexte"/>
                <w:noProof/>
              </w:rPr>
              <w:t>Synthèse du Pilier 1 : Lutter contre le terrorisme et restaurer l’intégrité territoriale</w:t>
            </w:r>
            <w:r w:rsidR="00A733FA">
              <w:rPr>
                <w:noProof/>
                <w:webHidden/>
              </w:rPr>
              <w:tab/>
            </w:r>
            <w:r w:rsidR="00A733FA">
              <w:rPr>
                <w:noProof/>
                <w:webHidden/>
              </w:rPr>
              <w:fldChar w:fldCharType="begin"/>
            </w:r>
            <w:r w:rsidR="00A733FA">
              <w:rPr>
                <w:noProof/>
                <w:webHidden/>
              </w:rPr>
              <w:instrText xml:space="preserve"> PAGEREF _Toc163141211 \h </w:instrText>
            </w:r>
            <w:r w:rsidR="00A733FA">
              <w:rPr>
                <w:noProof/>
                <w:webHidden/>
              </w:rPr>
            </w:r>
            <w:r w:rsidR="00A733FA">
              <w:rPr>
                <w:noProof/>
                <w:webHidden/>
              </w:rPr>
              <w:fldChar w:fldCharType="separate"/>
            </w:r>
            <w:r w:rsidR="007C2E4E">
              <w:rPr>
                <w:noProof/>
                <w:webHidden/>
              </w:rPr>
              <w:t>20</w:t>
            </w:r>
            <w:r w:rsidR="00A733FA">
              <w:rPr>
                <w:noProof/>
                <w:webHidden/>
              </w:rPr>
              <w:fldChar w:fldCharType="end"/>
            </w:r>
          </w:hyperlink>
        </w:p>
        <w:p w14:paraId="10112AF3" w14:textId="1D103D9D" w:rsidR="00A733FA"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3141212" w:history="1">
            <w:r w:rsidR="00A733FA" w:rsidRPr="0037363D">
              <w:rPr>
                <w:rStyle w:val="Lienhypertexte"/>
                <w:rFonts w:cstheme="majorBidi"/>
                <w:noProof/>
              </w:rPr>
              <w:t>II.2.</w:t>
            </w:r>
            <w:r w:rsidR="00A733FA">
              <w:rPr>
                <w:rFonts w:asciiTheme="minorHAnsi" w:eastAsiaTheme="minorEastAsia" w:hAnsiTheme="minorHAnsi" w:cstheme="minorBidi"/>
                <w:noProof/>
                <w:sz w:val="22"/>
                <w:lang w:eastAsia="fr-FR"/>
              </w:rPr>
              <w:tab/>
            </w:r>
            <w:r w:rsidR="00A733FA" w:rsidRPr="0037363D">
              <w:rPr>
                <w:rStyle w:val="Lienhypertexte"/>
                <w:noProof/>
              </w:rPr>
              <w:t>Pilier 2 : Répondre à la crise humanitaire</w:t>
            </w:r>
            <w:r w:rsidR="00A733FA">
              <w:rPr>
                <w:noProof/>
                <w:webHidden/>
              </w:rPr>
              <w:tab/>
            </w:r>
            <w:r w:rsidR="00A733FA">
              <w:rPr>
                <w:noProof/>
                <w:webHidden/>
              </w:rPr>
              <w:fldChar w:fldCharType="begin"/>
            </w:r>
            <w:r w:rsidR="00A733FA">
              <w:rPr>
                <w:noProof/>
                <w:webHidden/>
              </w:rPr>
              <w:instrText xml:space="preserve"> PAGEREF _Toc163141212 \h </w:instrText>
            </w:r>
            <w:r w:rsidR="00A733FA">
              <w:rPr>
                <w:noProof/>
                <w:webHidden/>
              </w:rPr>
            </w:r>
            <w:r w:rsidR="00A733FA">
              <w:rPr>
                <w:noProof/>
                <w:webHidden/>
              </w:rPr>
              <w:fldChar w:fldCharType="separate"/>
            </w:r>
            <w:r w:rsidR="007C2E4E">
              <w:rPr>
                <w:noProof/>
                <w:webHidden/>
              </w:rPr>
              <w:t>22</w:t>
            </w:r>
            <w:r w:rsidR="00A733FA">
              <w:rPr>
                <w:noProof/>
                <w:webHidden/>
              </w:rPr>
              <w:fldChar w:fldCharType="end"/>
            </w:r>
          </w:hyperlink>
        </w:p>
        <w:p w14:paraId="7DA96B24" w14:textId="2B4F3783" w:rsidR="00A733FA" w:rsidRDefault="00183DC5">
          <w:pPr>
            <w:pStyle w:val="TM3"/>
            <w:rPr>
              <w:rFonts w:asciiTheme="minorHAnsi" w:eastAsiaTheme="minorEastAsia" w:hAnsiTheme="minorHAnsi" w:cstheme="minorBidi"/>
              <w:noProof/>
              <w:sz w:val="22"/>
              <w:lang w:eastAsia="fr-FR"/>
            </w:rPr>
          </w:pPr>
          <w:hyperlink w:anchor="_Toc163141213" w:history="1">
            <w:r w:rsidR="00A733FA" w:rsidRPr="0037363D">
              <w:rPr>
                <w:rStyle w:val="Lienhypertexte"/>
                <w:rFonts w:cstheme="majorBidi"/>
                <w:noProof/>
              </w:rPr>
              <w:t>II.2.1.</w:t>
            </w:r>
            <w:r w:rsidR="00A733FA">
              <w:rPr>
                <w:rFonts w:asciiTheme="minorHAnsi" w:eastAsiaTheme="minorEastAsia" w:hAnsiTheme="minorHAnsi" w:cstheme="minorBidi"/>
                <w:noProof/>
                <w:sz w:val="22"/>
                <w:lang w:eastAsia="fr-FR"/>
              </w:rPr>
              <w:tab/>
            </w:r>
            <w:r w:rsidR="00A733FA" w:rsidRPr="0037363D">
              <w:rPr>
                <w:rStyle w:val="Lienhypertexte"/>
                <w:noProof/>
              </w:rPr>
              <w:t>Axe 1 : Consolider la résilience, la sécurité, la cohésion sociale et la paix</w:t>
            </w:r>
            <w:r w:rsidR="00A733FA">
              <w:rPr>
                <w:noProof/>
                <w:webHidden/>
              </w:rPr>
              <w:tab/>
            </w:r>
            <w:r w:rsidR="00A733FA">
              <w:rPr>
                <w:noProof/>
                <w:webHidden/>
              </w:rPr>
              <w:fldChar w:fldCharType="begin"/>
            </w:r>
            <w:r w:rsidR="00A733FA">
              <w:rPr>
                <w:noProof/>
                <w:webHidden/>
              </w:rPr>
              <w:instrText xml:space="preserve"> PAGEREF _Toc163141213 \h </w:instrText>
            </w:r>
            <w:r w:rsidR="00A733FA">
              <w:rPr>
                <w:noProof/>
                <w:webHidden/>
              </w:rPr>
            </w:r>
            <w:r w:rsidR="00A733FA">
              <w:rPr>
                <w:noProof/>
                <w:webHidden/>
              </w:rPr>
              <w:fldChar w:fldCharType="separate"/>
            </w:r>
            <w:r w:rsidR="007C2E4E">
              <w:rPr>
                <w:noProof/>
                <w:webHidden/>
              </w:rPr>
              <w:t>22</w:t>
            </w:r>
            <w:r w:rsidR="00A733FA">
              <w:rPr>
                <w:noProof/>
                <w:webHidden/>
              </w:rPr>
              <w:fldChar w:fldCharType="end"/>
            </w:r>
          </w:hyperlink>
        </w:p>
        <w:p w14:paraId="67802D20" w14:textId="4A97F28F"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14" w:history="1">
            <w:r w:rsidR="00A733FA" w:rsidRPr="0037363D">
              <w:rPr>
                <w:rStyle w:val="Lienhypertexte"/>
                <w:rFonts w:cstheme="majorBidi"/>
                <w:noProof/>
              </w:rPr>
              <w:t>II.2.1.1.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1.1 : Renforcer la résilience des populations et des communautés au risque de basculement dans la radicalisation et l’extrémisme violent</w:t>
            </w:r>
            <w:r w:rsidR="00A733FA">
              <w:rPr>
                <w:noProof/>
                <w:webHidden/>
              </w:rPr>
              <w:tab/>
            </w:r>
            <w:r w:rsidR="00A733FA">
              <w:rPr>
                <w:noProof/>
                <w:webHidden/>
              </w:rPr>
              <w:fldChar w:fldCharType="begin"/>
            </w:r>
            <w:r w:rsidR="00A733FA">
              <w:rPr>
                <w:noProof/>
                <w:webHidden/>
              </w:rPr>
              <w:instrText xml:space="preserve"> PAGEREF _Toc163141214 \h </w:instrText>
            </w:r>
            <w:r w:rsidR="00A733FA">
              <w:rPr>
                <w:noProof/>
                <w:webHidden/>
              </w:rPr>
            </w:r>
            <w:r w:rsidR="00A733FA">
              <w:rPr>
                <w:noProof/>
                <w:webHidden/>
              </w:rPr>
              <w:fldChar w:fldCharType="separate"/>
            </w:r>
            <w:r w:rsidR="007C2E4E">
              <w:rPr>
                <w:noProof/>
                <w:webHidden/>
              </w:rPr>
              <w:t>22</w:t>
            </w:r>
            <w:r w:rsidR="00A733FA">
              <w:rPr>
                <w:noProof/>
                <w:webHidden/>
              </w:rPr>
              <w:fldChar w:fldCharType="end"/>
            </w:r>
          </w:hyperlink>
        </w:p>
        <w:p w14:paraId="3B5017F1" w14:textId="5BFA2EB7" w:rsidR="00A733FA" w:rsidRDefault="00183DC5">
          <w:pPr>
            <w:pStyle w:val="TM3"/>
            <w:rPr>
              <w:rFonts w:asciiTheme="minorHAnsi" w:eastAsiaTheme="minorEastAsia" w:hAnsiTheme="minorHAnsi" w:cstheme="minorBidi"/>
              <w:noProof/>
              <w:sz w:val="22"/>
              <w:lang w:eastAsia="fr-FR"/>
            </w:rPr>
          </w:pPr>
          <w:hyperlink w:anchor="_Toc163141215" w:history="1">
            <w:r w:rsidR="00A733FA" w:rsidRPr="0037363D">
              <w:rPr>
                <w:rStyle w:val="Lienhypertexte"/>
                <w:rFonts w:cstheme="majorBidi"/>
                <w:noProof/>
              </w:rPr>
              <w:t>II.2.2.</w:t>
            </w:r>
            <w:r w:rsidR="00A733FA">
              <w:rPr>
                <w:rFonts w:asciiTheme="minorHAnsi" w:eastAsiaTheme="minorEastAsia" w:hAnsiTheme="minorHAnsi" w:cstheme="minorBidi"/>
                <w:noProof/>
                <w:sz w:val="22"/>
                <w:lang w:eastAsia="fr-FR"/>
              </w:rPr>
              <w:tab/>
            </w:r>
            <w:r w:rsidR="00A733FA" w:rsidRPr="0037363D">
              <w:rPr>
                <w:rStyle w:val="Lienhypertexte"/>
                <w:noProof/>
              </w:rPr>
              <w:t>Axe 4 : Dynamiser les secteurs porteurs pour l'économie et les emplois</w:t>
            </w:r>
            <w:r w:rsidR="00A733FA">
              <w:rPr>
                <w:noProof/>
                <w:webHidden/>
              </w:rPr>
              <w:tab/>
            </w:r>
            <w:r w:rsidR="00A733FA">
              <w:rPr>
                <w:noProof/>
                <w:webHidden/>
              </w:rPr>
              <w:fldChar w:fldCharType="begin"/>
            </w:r>
            <w:r w:rsidR="00A733FA">
              <w:rPr>
                <w:noProof/>
                <w:webHidden/>
              </w:rPr>
              <w:instrText xml:space="preserve"> PAGEREF _Toc163141215 \h </w:instrText>
            </w:r>
            <w:r w:rsidR="00A733FA">
              <w:rPr>
                <w:noProof/>
                <w:webHidden/>
              </w:rPr>
            </w:r>
            <w:r w:rsidR="00A733FA">
              <w:rPr>
                <w:noProof/>
                <w:webHidden/>
              </w:rPr>
              <w:fldChar w:fldCharType="separate"/>
            </w:r>
            <w:r w:rsidR="007C2E4E">
              <w:rPr>
                <w:noProof/>
                <w:webHidden/>
              </w:rPr>
              <w:t>32</w:t>
            </w:r>
            <w:r w:rsidR="00A733FA">
              <w:rPr>
                <w:noProof/>
                <w:webHidden/>
              </w:rPr>
              <w:fldChar w:fldCharType="end"/>
            </w:r>
          </w:hyperlink>
        </w:p>
        <w:p w14:paraId="0AB340EF" w14:textId="3206B601"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16" w:history="1">
            <w:r w:rsidR="00A733FA" w:rsidRPr="0037363D">
              <w:rPr>
                <w:rStyle w:val="Lienhypertexte"/>
                <w:rFonts w:cstheme="majorBidi"/>
                <w:noProof/>
              </w:rPr>
              <w:t>II.2.2.1.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4.1 : Développer durablement un secteur agro-sylvo-pastoral, faunique et halieutique productif et résilient, davantage orienté vers le marché</w:t>
            </w:r>
            <w:r w:rsidR="00A733FA">
              <w:rPr>
                <w:noProof/>
                <w:webHidden/>
              </w:rPr>
              <w:tab/>
            </w:r>
            <w:r w:rsidR="00A733FA">
              <w:rPr>
                <w:noProof/>
                <w:webHidden/>
              </w:rPr>
              <w:fldChar w:fldCharType="begin"/>
            </w:r>
            <w:r w:rsidR="00A733FA">
              <w:rPr>
                <w:noProof/>
                <w:webHidden/>
              </w:rPr>
              <w:instrText xml:space="preserve"> PAGEREF _Toc163141216 \h </w:instrText>
            </w:r>
            <w:r w:rsidR="00A733FA">
              <w:rPr>
                <w:noProof/>
                <w:webHidden/>
              </w:rPr>
            </w:r>
            <w:r w:rsidR="00A733FA">
              <w:rPr>
                <w:noProof/>
                <w:webHidden/>
              </w:rPr>
              <w:fldChar w:fldCharType="separate"/>
            </w:r>
            <w:r w:rsidR="007C2E4E">
              <w:rPr>
                <w:noProof/>
                <w:webHidden/>
              </w:rPr>
              <w:t>32</w:t>
            </w:r>
            <w:r w:rsidR="00A733FA">
              <w:rPr>
                <w:noProof/>
                <w:webHidden/>
              </w:rPr>
              <w:fldChar w:fldCharType="end"/>
            </w:r>
          </w:hyperlink>
        </w:p>
        <w:p w14:paraId="19CED623" w14:textId="5F7C8493" w:rsidR="00A733FA" w:rsidRDefault="00183DC5">
          <w:pPr>
            <w:pStyle w:val="TM3"/>
            <w:rPr>
              <w:rFonts w:asciiTheme="minorHAnsi" w:eastAsiaTheme="minorEastAsia" w:hAnsiTheme="minorHAnsi" w:cstheme="minorBidi"/>
              <w:noProof/>
              <w:sz w:val="22"/>
              <w:lang w:eastAsia="fr-FR"/>
            </w:rPr>
          </w:pPr>
          <w:hyperlink w:anchor="_Toc163141217" w:history="1">
            <w:r w:rsidR="00A733FA" w:rsidRPr="0037363D">
              <w:rPr>
                <w:rStyle w:val="Lienhypertexte"/>
                <w:rFonts w:cstheme="majorBidi"/>
                <w:noProof/>
              </w:rPr>
              <w:t>II.2.3.</w:t>
            </w:r>
            <w:r w:rsidR="00A733FA">
              <w:rPr>
                <w:rFonts w:asciiTheme="minorHAnsi" w:eastAsiaTheme="minorEastAsia" w:hAnsiTheme="minorHAnsi" w:cstheme="minorBidi"/>
                <w:noProof/>
                <w:sz w:val="22"/>
                <w:lang w:eastAsia="fr-FR"/>
              </w:rPr>
              <w:tab/>
            </w:r>
            <w:r w:rsidR="00A733FA" w:rsidRPr="0037363D">
              <w:rPr>
                <w:rStyle w:val="Lienhypertexte"/>
                <w:noProof/>
              </w:rPr>
              <w:t>Contribution des collectivités territoriales à la réponse à la crise humanitaire</w:t>
            </w:r>
            <w:r w:rsidR="00A733FA">
              <w:rPr>
                <w:noProof/>
                <w:webHidden/>
              </w:rPr>
              <w:tab/>
            </w:r>
            <w:r w:rsidR="00A733FA">
              <w:rPr>
                <w:noProof/>
                <w:webHidden/>
              </w:rPr>
              <w:fldChar w:fldCharType="begin"/>
            </w:r>
            <w:r w:rsidR="00A733FA">
              <w:rPr>
                <w:noProof/>
                <w:webHidden/>
              </w:rPr>
              <w:instrText xml:space="preserve"> PAGEREF _Toc163141217 \h </w:instrText>
            </w:r>
            <w:r w:rsidR="00A733FA">
              <w:rPr>
                <w:noProof/>
                <w:webHidden/>
              </w:rPr>
            </w:r>
            <w:r w:rsidR="00A733FA">
              <w:rPr>
                <w:noProof/>
                <w:webHidden/>
              </w:rPr>
              <w:fldChar w:fldCharType="separate"/>
            </w:r>
            <w:r w:rsidR="007C2E4E">
              <w:rPr>
                <w:noProof/>
                <w:webHidden/>
              </w:rPr>
              <w:t>34</w:t>
            </w:r>
            <w:r w:rsidR="00A733FA">
              <w:rPr>
                <w:noProof/>
                <w:webHidden/>
              </w:rPr>
              <w:fldChar w:fldCharType="end"/>
            </w:r>
          </w:hyperlink>
        </w:p>
        <w:p w14:paraId="2EF9B0DE" w14:textId="07C10D4B" w:rsidR="00A733FA" w:rsidRDefault="00183DC5">
          <w:pPr>
            <w:pStyle w:val="TM3"/>
            <w:rPr>
              <w:rFonts w:asciiTheme="minorHAnsi" w:eastAsiaTheme="minorEastAsia" w:hAnsiTheme="minorHAnsi" w:cstheme="minorBidi"/>
              <w:noProof/>
              <w:sz w:val="22"/>
              <w:lang w:eastAsia="fr-FR"/>
            </w:rPr>
          </w:pPr>
          <w:hyperlink w:anchor="_Toc163141218" w:history="1">
            <w:r w:rsidR="00A733FA" w:rsidRPr="0037363D">
              <w:rPr>
                <w:rStyle w:val="Lienhypertexte"/>
                <w:rFonts w:eastAsia="Calibri" w:cstheme="majorBidi"/>
                <w:noProof/>
              </w:rPr>
              <w:t>II.2.4.</w:t>
            </w:r>
            <w:r w:rsidR="00A733FA">
              <w:rPr>
                <w:rFonts w:asciiTheme="minorHAnsi" w:eastAsiaTheme="minorEastAsia" w:hAnsiTheme="minorHAnsi" w:cstheme="minorBidi"/>
                <w:noProof/>
                <w:sz w:val="22"/>
                <w:lang w:eastAsia="fr-FR"/>
              </w:rPr>
              <w:tab/>
            </w:r>
            <w:r w:rsidR="00A733FA" w:rsidRPr="0037363D">
              <w:rPr>
                <w:rStyle w:val="Lienhypertexte"/>
                <w:noProof/>
              </w:rPr>
              <w:t>Synthèse de la réponse à la crise humanitaire</w:t>
            </w:r>
            <w:r w:rsidR="00A733FA">
              <w:rPr>
                <w:noProof/>
                <w:webHidden/>
              </w:rPr>
              <w:tab/>
            </w:r>
            <w:r w:rsidR="00A733FA">
              <w:rPr>
                <w:noProof/>
                <w:webHidden/>
              </w:rPr>
              <w:fldChar w:fldCharType="begin"/>
            </w:r>
            <w:r w:rsidR="00A733FA">
              <w:rPr>
                <w:noProof/>
                <w:webHidden/>
              </w:rPr>
              <w:instrText xml:space="preserve"> PAGEREF _Toc163141218 \h </w:instrText>
            </w:r>
            <w:r w:rsidR="00A733FA">
              <w:rPr>
                <w:noProof/>
                <w:webHidden/>
              </w:rPr>
            </w:r>
            <w:r w:rsidR="00A733FA">
              <w:rPr>
                <w:noProof/>
                <w:webHidden/>
              </w:rPr>
              <w:fldChar w:fldCharType="separate"/>
            </w:r>
            <w:r w:rsidR="007C2E4E">
              <w:rPr>
                <w:noProof/>
                <w:webHidden/>
              </w:rPr>
              <w:t>35</w:t>
            </w:r>
            <w:r w:rsidR="00A733FA">
              <w:rPr>
                <w:noProof/>
                <w:webHidden/>
              </w:rPr>
              <w:fldChar w:fldCharType="end"/>
            </w:r>
          </w:hyperlink>
        </w:p>
        <w:p w14:paraId="3C02F84F" w14:textId="4F5C5EC0" w:rsidR="00A733FA"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3141219" w:history="1">
            <w:r w:rsidR="00A733FA" w:rsidRPr="0037363D">
              <w:rPr>
                <w:rStyle w:val="Lienhypertexte"/>
                <w:rFonts w:cstheme="majorBidi"/>
                <w:noProof/>
              </w:rPr>
              <w:t>II.3.</w:t>
            </w:r>
            <w:r w:rsidR="00A733FA">
              <w:rPr>
                <w:rFonts w:asciiTheme="minorHAnsi" w:eastAsiaTheme="minorEastAsia" w:hAnsiTheme="minorHAnsi" w:cstheme="minorBidi"/>
                <w:noProof/>
                <w:sz w:val="22"/>
                <w:lang w:eastAsia="fr-FR"/>
              </w:rPr>
              <w:tab/>
            </w:r>
            <w:r w:rsidR="00A733FA" w:rsidRPr="0037363D">
              <w:rPr>
                <w:rStyle w:val="Lienhypertexte"/>
                <w:noProof/>
              </w:rPr>
              <w:t>Pilier 3 : Refonder l’Etat et améliorer la gouvernance</w:t>
            </w:r>
            <w:r w:rsidR="00A733FA">
              <w:rPr>
                <w:noProof/>
                <w:webHidden/>
              </w:rPr>
              <w:tab/>
            </w:r>
            <w:r w:rsidR="00A733FA">
              <w:rPr>
                <w:noProof/>
                <w:webHidden/>
              </w:rPr>
              <w:fldChar w:fldCharType="begin"/>
            </w:r>
            <w:r w:rsidR="00A733FA">
              <w:rPr>
                <w:noProof/>
                <w:webHidden/>
              </w:rPr>
              <w:instrText xml:space="preserve"> PAGEREF _Toc163141219 \h </w:instrText>
            </w:r>
            <w:r w:rsidR="00A733FA">
              <w:rPr>
                <w:noProof/>
                <w:webHidden/>
              </w:rPr>
            </w:r>
            <w:r w:rsidR="00A733FA">
              <w:rPr>
                <w:noProof/>
                <w:webHidden/>
              </w:rPr>
              <w:fldChar w:fldCharType="separate"/>
            </w:r>
            <w:r w:rsidR="007C2E4E">
              <w:rPr>
                <w:noProof/>
                <w:webHidden/>
              </w:rPr>
              <w:t>37</w:t>
            </w:r>
            <w:r w:rsidR="00A733FA">
              <w:rPr>
                <w:noProof/>
                <w:webHidden/>
              </w:rPr>
              <w:fldChar w:fldCharType="end"/>
            </w:r>
          </w:hyperlink>
        </w:p>
        <w:p w14:paraId="58FCC95C" w14:textId="4BBF0CE5" w:rsidR="00A733FA" w:rsidRDefault="00183DC5">
          <w:pPr>
            <w:pStyle w:val="TM3"/>
            <w:rPr>
              <w:rFonts w:asciiTheme="minorHAnsi" w:eastAsiaTheme="minorEastAsia" w:hAnsiTheme="minorHAnsi" w:cstheme="minorBidi"/>
              <w:noProof/>
              <w:sz w:val="22"/>
              <w:lang w:eastAsia="fr-FR"/>
            </w:rPr>
          </w:pPr>
          <w:hyperlink w:anchor="_Toc163141220" w:history="1">
            <w:r w:rsidR="00A733FA" w:rsidRPr="0037363D">
              <w:rPr>
                <w:rStyle w:val="Lienhypertexte"/>
                <w:rFonts w:cstheme="majorBidi"/>
                <w:noProof/>
              </w:rPr>
              <w:t>II.3.1.</w:t>
            </w:r>
            <w:r w:rsidR="00A733FA">
              <w:rPr>
                <w:rFonts w:asciiTheme="minorHAnsi" w:eastAsiaTheme="minorEastAsia" w:hAnsiTheme="minorHAnsi" w:cstheme="minorBidi"/>
                <w:noProof/>
                <w:sz w:val="22"/>
                <w:lang w:eastAsia="fr-FR"/>
              </w:rPr>
              <w:tab/>
            </w:r>
            <w:r w:rsidR="00A733FA" w:rsidRPr="0037363D">
              <w:rPr>
                <w:rStyle w:val="Lienhypertexte"/>
                <w:noProof/>
              </w:rPr>
              <w:t>Axe 1 : Consolider la résilience, la sécurité, la cohésion sociale et la paix</w:t>
            </w:r>
            <w:r w:rsidR="00A733FA">
              <w:rPr>
                <w:noProof/>
                <w:webHidden/>
              </w:rPr>
              <w:tab/>
            </w:r>
            <w:r w:rsidR="00A733FA">
              <w:rPr>
                <w:noProof/>
                <w:webHidden/>
              </w:rPr>
              <w:fldChar w:fldCharType="begin"/>
            </w:r>
            <w:r w:rsidR="00A733FA">
              <w:rPr>
                <w:noProof/>
                <w:webHidden/>
              </w:rPr>
              <w:instrText xml:space="preserve"> PAGEREF _Toc163141220 \h </w:instrText>
            </w:r>
            <w:r w:rsidR="00A733FA">
              <w:rPr>
                <w:noProof/>
                <w:webHidden/>
              </w:rPr>
            </w:r>
            <w:r w:rsidR="00A733FA">
              <w:rPr>
                <w:noProof/>
                <w:webHidden/>
              </w:rPr>
              <w:fldChar w:fldCharType="separate"/>
            </w:r>
            <w:r w:rsidR="007C2E4E">
              <w:rPr>
                <w:noProof/>
                <w:webHidden/>
              </w:rPr>
              <w:t>37</w:t>
            </w:r>
            <w:r w:rsidR="00A733FA">
              <w:rPr>
                <w:noProof/>
                <w:webHidden/>
              </w:rPr>
              <w:fldChar w:fldCharType="end"/>
            </w:r>
          </w:hyperlink>
        </w:p>
        <w:p w14:paraId="74C5C661" w14:textId="7585E308"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1" w:history="1">
            <w:r w:rsidR="00A733FA" w:rsidRPr="0037363D">
              <w:rPr>
                <w:rStyle w:val="Lienhypertexte"/>
                <w:rFonts w:cstheme="majorBidi"/>
                <w:noProof/>
              </w:rPr>
              <w:t>II.3.1.1.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1.2 : Renforcer la sécurité intérieure du pays et la défense du territoire national</w:t>
            </w:r>
            <w:r w:rsidR="00A733FA">
              <w:rPr>
                <w:noProof/>
                <w:webHidden/>
              </w:rPr>
              <w:tab/>
            </w:r>
            <w:r w:rsidR="00A733FA">
              <w:rPr>
                <w:noProof/>
                <w:webHidden/>
              </w:rPr>
              <w:fldChar w:fldCharType="begin"/>
            </w:r>
            <w:r w:rsidR="00A733FA">
              <w:rPr>
                <w:noProof/>
                <w:webHidden/>
              </w:rPr>
              <w:instrText xml:space="preserve"> PAGEREF _Toc163141221 \h </w:instrText>
            </w:r>
            <w:r w:rsidR="00A733FA">
              <w:rPr>
                <w:noProof/>
                <w:webHidden/>
              </w:rPr>
            </w:r>
            <w:r w:rsidR="00A733FA">
              <w:rPr>
                <w:noProof/>
                <w:webHidden/>
              </w:rPr>
              <w:fldChar w:fldCharType="separate"/>
            </w:r>
            <w:r w:rsidR="007C2E4E">
              <w:rPr>
                <w:noProof/>
                <w:webHidden/>
              </w:rPr>
              <w:t>37</w:t>
            </w:r>
            <w:r w:rsidR="00A733FA">
              <w:rPr>
                <w:noProof/>
                <w:webHidden/>
              </w:rPr>
              <w:fldChar w:fldCharType="end"/>
            </w:r>
          </w:hyperlink>
        </w:p>
        <w:p w14:paraId="62587005" w14:textId="04096260" w:rsidR="00A733FA" w:rsidRDefault="00183DC5">
          <w:pPr>
            <w:pStyle w:val="TM3"/>
            <w:rPr>
              <w:rFonts w:asciiTheme="minorHAnsi" w:eastAsiaTheme="minorEastAsia" w:hAnsiTheme="minorHAnsi" w:cstheme="minorBidi"/>
              <w:noProof/>
              <w:sz w:val="22"/>
              <w:lang w:eastAsia="fr-FR"/>
            </w:rPr>
          </w:pPr>
          <w:hyperlink w:anchor="_Toc163141222" w:history="1">
            <w:r w:rsidR="00A733FA" w:rsidRPr="0037363D">
              <w:rPr>
                <w:rStyle w:val="Lienhypertexte"/>
                <w:rFonts w:cstheme="majorBidi"/>
                <w:noProof/>
              </w:rPr>
              <w:t>II.3.2.</w:t>
            </w:r>
            <w:r w:rsidR="00A733FA">
              <w:rPr>
                <w:rFonts w:asciiTheme="minorHAnsi" w:eastAsiaTheme="minorEastAsia" w:hAnsiTheme="minorHAnsi" w:cstheme="minorBidi"/>
                <w:noProof/>
                <w:sz w:val="22"/>
                <w:lang w:eastAsia="fr-FR"/>
              </w:rPr>
              <w:tab/>
            </w:r>
            <w:r w:rsidR="00A733FA" w:rsidRPr="0037363D">
              <w:rPr>
                <w:rStyle w:val="Lienhypertexte"/>
                <w:noProof/>
              </w:rPr>
              <w:t>Axe 2 : Approfondir les réformes institutionnelles et moderniser l’administration publique</w:t>
            </w:r>
            <w:r w:rsidR="00A733FA">
              <w:rPr>
                <w:noProof/>
                <w:webHidden/>
              </w:rPr>
              <w:tab/>
            </w:r>
            <w:r w:rsidR="00A733FA">
              <w:rPr>
                <w:noProof/>
                <w:webHidden/>
              </w:rPr>
              <w:fldChar w:fldCharType="begin"/>
            </w:r>
            <w:r w:rsidR="00A733FA">
              <w:rPr>
                <w:noProof/>
                <w:webHidden/>
              </w:rPr>
              <w:instrText xml:space="preserve"> PAGEREF _Toc163141222 \h </w:instrText>
            </w:r>
            <w:r w:rsidR="00A733FA">
              <w:rPr>
                <w:noProof/>
                <w:webHidden/>
              </w:rPr>
            </w:r>
            <w:r w:rsidR="00A733FA">
              <w:rPr>
                <w:noProof/>
                <w:webHidden/>
              </w:rPr>
              <w:fldChar w:fldCharType="separate"/>
            </w:r>
            <w:r w:rsidR="007C2E4E">
              <w:rPr>
                <w:noProof/>
                <w:webHidden/>
              </w:rPr>
              <w:t>39</w:t>
            </w:r>
            <w:r w:rsidR="00A733FA">
              <w:rPr>
                <w:noProof/>
                <w:webHidden/>
              </w:rPr>
              <w:fldChar w:fldCharType="end"/>
            </w:r>
          </w:hyperlink>
        </w:p>
        <w:p w14:paraId="75CE6886" w14:textId="2ECAEB6E"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3" w:history="1">
            <w:r w:rsidR="00A733FA" w:rsidRPr="0037363D">
              <w:rPr>
                <w:rStyle w:val="Lienhypertexte"/>
                <w:rFonts w:cstheme="majorBidi"/>
                <w:noProof/>
              </w:rPr>
              <w:t>II.3.2.1.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2.1 : Promouvoir la démocratie et la bonne gouvernance politique</w:t>
            </w:r>
            <w:r w:rsidR="00A733FA">
              <w:rPr>
                <w:noProof/>
                <w:webHidden/>
              </w:rPr>
              <w:tab/>
            </w:r>
            <w:r w:rsidR="00A733FA">
              <w:rPr>
                <w:noProof/>
                <w:webHidden/>
              </w:rPr>
              <w:fldChar w:fldCharType="begin"/>
            </w:r>
            <w:r w:rsidR="00A733FA">
              <w:rPr>
                <w:noProof/>
                <w:webHidden/>
              </w:rPr>
              <w:instrText xml:space="preserve"> PAGEREF _Toc163141223 \h </w:instrText>
            </w:r>
            <w:r w:rsidR="00A733FA">
              <w:rPr>
                <w:noProof/>
                <w:webHidden/>
              </w:rPr>
            </w:r>
            <w:r w:rsidR="00A733FA">
              <w:rPr>
                <w:noProof/>
                <w:webHidden/>
              </w:rPr>
              <w:fldChar w:fldCharType="separate"/>
            </w:r>
            <w:r w:rsidR="007C2E4E">
              <w:rPr>
                <w:noProof/>
                <w:webHidden/>
              </w:rPr>
              <w:t>39</w:t>
            </w:r>
            <w:r w:rsidR="00A733FA">
              <w:rPr>
                <w:noProof/>
                <w:webHidden/>
              </w:rPr>
              <w:fldChar w:fldCharType="end"/>
            </w:r>
          </w:hyperlink>
        </w:p>
        <w:p w14:paraId="0A8CCE6D" w14:textId="305738C0"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4" w:history="1">
            <w:r w:rsidR="00A733FA" w:rsidRPr="0037363D">
              <w:rPr>
                <w:rStyle w:val="Lienhypertexte"/>
                <w:rFonts w:cstheme="majorBidi"/>
                <w:noProof/>
              </w:rPr>
              <w:t>II.3.2.2.</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2.2 : Promouvoir la bonne gouvernance administrative et moderniser l’administration publique</w:t>
            </w:r>
            <w:r w:rsidR="00A733FA">
              <w:rPr>
                <w:noProof/>
                <w:webHidden/>
              </w:rPr>
              <w:tab/>
            </w:r>
            <w:r w:rsidR="00A733FA">
              <w:rPr>
                <w:noProof/>
                <w:webHidden/>
              </w:rPr>
              <w:fldChar w:fldCharType="begin"/>
            </w:r>
            <w:r w:rsidR="00A733FA">
              <w:rPr>
                <w:noProof/>
                <w:webHidden/>
              </w:rPr>
              <w:instrText xml:space="preserve"> PAGEREF _Toc163141224 \h </w:instrText>
            </w:r>
            <w:r w:rsidR="00A733FA">
              <w:rPr>
                <w:noProof/>
                <w:webHidden/>
              </w:rPr>
            </w:r>
            <w:r w:rsidR="00A733FA">
              <w:rPr>
                <w:noProof/>
                <w:webHidden/>
              </w:rPr>
              <w:fldChar w:fldCharType="separate"/>
            </w:r>
            <w:r w:rsidR="007C2E4E">
              <w:rPr>
                <w:noProof/>
                <w:webHidden/>
              </w:rPr>
              <w:t>47</w:t>
            </w:r>
            <w:r w:rsidR="00A733FA">
              <w:rPr>
                <w:noProof/>
                <w:webHidden/>
              </w:rPr>
              <w:fldChar w:fldCharType="end"/>
            </w:r>
          </w:hyperlink>
        </w:p>
        <w:p w14:paraId="56D7D4E2" w14:textId="46843AFA"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5" w:history="1">
            <w:r w:rsidR="00A733FA" w:rsidRPr="0037363D">
              <w:rPr>
                <w:rStyle w:val="Lienhypertexte"/>
                <w:rFonts w:cstheme="majorBidi"/>
                <w:noProof/>
              </w:rPr>
              <w:t>II.3.2.3.</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2.3 : Promouvoir la bonne gouvernance économique, financière et les coopérations régionale et internationale</w:t>
            </w:r>
            <w:r w:rsidR="00A733FA">
              <w:rPr>
                <w:noProof/>
                <w:webHidden/>
              </w:rPr>
              <w:tab/>
            </w:r>
            <w:r w:rsidR="00A733FA">
              <w:rPr>
                <w:noProof/>
                <w:webHidden/>
              </w:rPr>
              <w:fldChar w:fldCharType="begin"/>
            </w:r>
            <w:r w:rsidR="00A733FA">
              <w:rPr>
                <w:noProof/>
                <w:webHidden/>
              </w:rPr>
              <w:instrText xml:space="preserve"> PAGEREF _Toc163141225 \h </w:instrText>
            </w:r>
            <w:r w:rsidR="00A733FA">
              <w:rPr>
                <w:noProof/>
                <w:webHidden/>
              </w:rPr>
            </w:r>
            <w:r w:rsidR="00A733FA">
              <w:rPr>
                <w:noProof/>
                <w:webHidden/>
              </w:rPr>
              <w:fldChar w:fldCharType="separate"/>
            </w:r>
            <w:r w:rsidR="007C2E4E">
              <w:rPr>
                <w:noProof/>
                <w:webHidden/>
              </w:rPr>
              <w:t>51</w:t>
            </w:r>
            <w:r w:rsidR="00A733FA">
              <w:rPr>
                <w:noProof/>
                <w:webHidden/>
              </w:rPr>
              <w:fldChar w:fldCharType="end"/>
            </w:r>
          </w:hyperlink>
        </w:p>
        <w:p w14:paraId="310EBF2A" w14:textId="37DC7476"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6" w:history="1">
            <w:r w:rsidR="00A733FA" w:rsidRPr="0037363D">
              <w:rPr>
                <w:rStyle w:val="Lienhypertexte"/>
                <w:rFonts w:cstheme="majorBidi"/>
                <w:noProof/>
              </w:rPr>
              <w:t>II.3.2.4.</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2.4 : Renforcer la décentralisation et la bonne gouvernance locale</w:t>
            </w:r>
            <w:r w:rsidR="00A733FA">
              <w:rPr>
                <w:noProof/>
                <w:webHidden/>
              </w:rPr>
              <w:tab/>
            </w:r>
            <w:r w:rsidR="00A733FA">
              <w:rPr>
                <w:noProof/>
                <w:webHidden/>
              </w:rPr>
              <w:fldChar w:fldCharType="begin"/>
            </w:r>
            <w:r w:rsidR="00A733FA">
              <w:rPr>
                <w:noProof/>
                <w:webHidden/>
              </w:rPr>
              <w:instrText xml:space="preserve"> PAGEREF _Toc163141226 \h </w:instrText>
            </w:r>
            <w:r w:rsidR="00A733FA">
              <w:rPr>
                <w:noProof/>
                <w:webHidden/>
              </w:rPr>
            </w:r>
            <w:r w:rsidR="00A733FA">
              <w:rPr>
                <w:noProof/>
                <w:webHidden/>
              </w:rPr>
              <w:fldChar w:fldCharType="separate"/>
            </w:r>
            <w:r w:rsidR="007C2E4E">
              <w:rPr>
                <w:noProof/>
                <w:webHidden/>
              </w:rPr>
              <w:t>63</w:t>
            </w:r>
            <w:r w:rsidR="00A733FA">
              <w:rPr>
                <w:noProof/>
                <w:webHidden/>
              </w:rPr>
              <w:fldChar w:fldCharType="end"/>
            </w:r>
          </w:hyperlink>
        </w:p>
        <w:p w14:paraId="1DC878AA" w14:textId="2832E188"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7" w:history="1">
            <w:r w:rsidR="00A733FA" w:rsidRPr="0037363D">
              <w:rPr>
                <w:rStyle w:val="Lienhypertexte"/>
                <w:rFonts w:cstheme="majorBidi"/>
                <w:noProof/>
              </w:rPr>
              <w:t>II.3.2.5.</w:t>
            </w:r>
            <w:r w:rsidR="00A733FA">
              <w:rPr>
                <w:rFonts w:asciiTheme="minorHAnsi" w:eastAsiaTheme="minorEastAsia" w:hAnsiTheme="minorHAnsi" w:cstheme="minorBidi"/>
                <w:noProof/>
                <w:sz w:val="22"/>
                <w:lang w:eastAsia="fr-FR"/>
              </w:rPr>
              <w:tab/>
            </w:r>
            <w:r w:rsidR="00A733FA" w:rsidRPr="0037363D">
              <w:rPr>
                <w:rStyle w:val="Lienhypertexte"/>
                <w:noProof/>
              </w:rPr>
              <w:t>Synthèse de l’approfondissement des réformes institutionnelles et modernisation de l’administration publique</w:t>
            </w:r>
            <w:r w:rsidR="00A733FA">
              <w:rPr>
                <w:noProof/>
                <w:webHidden/>
              </w:rPr>
              <w:tab/>
            </w:r>
            <w:r w:rsidR="00A733FA">
              <w:rPr>
                <w:noProof/>
                <w:webHidden/>
              </w:rPr>
              <w:fldChar w:fldCharType="begin"/>
            </w:r>
            <w:r w:rsidR="00A733FA">
              <w:rPr>
                <w:noProof/>
                <w:webHidden/>
              </w:rPr>
              <w:instrText xml:space="preserve"> PAGEREF _Toc163141227 \h </w:instrText>
            </w:r>
            <w:r w:rsidR="00A733FA">
              <w:rPr>
                <w:noProof/>
                <w:webHidden/>
              </w:rPr>
            </w:r>
            <w:r w:rsidR="00A733FA">
              <w:rPr>
                <w:noProof/>
                <w:webHidden/>
              </w:rPr>
              <w:fldChar w:fldCharType="separate"/>
            </w:r>
            <w:r w:rsidR="007C2E4E">
              <w:rPr>
                <w:noProof/>
                <w:webHidden/>
              </w:rPr>
              <w:t>67</w:t>
            </w:r>
            <w:r w:rsidR="00A733FA">
              <w:rPr>
                <w:noProof/>
                <w:webHidden/>
              </w:rPr>
              <w:fldChar w:fldCharType="end"/>
            </w:r>
          </w:hyperlink>
        </w:p>
        <w:p w14:paraId="2EC9D365" w14:textId="5ED5D5CA" w:rsidR="00A733FA" w:rsidRDefault="00183DC5">
          <w:pPr>
            <w:pStyle w:val="TM3"/>
            <w:rPr>
              <w:rFonts w:asciiTheme="minorHAnsi" w:eastAsiaTheme="minorEastAsia" w:hAnsiTheme="minorHAnsi" w:cstheme="minorBidi"/>
              <w:noProof/>
              <w:sz w:val="22"/>
              <w:lang w:eastAsia="fr-FR"/>
            </w:rPr>
          </w:pPr>
          <w:hyperlink w:anchor="_Toc163141228" w:history="1">
            <w:r w:rsidR="00A733FA" w:rsidRPr="0037363D">
              <w:rPr>
                <w:rStyle w:val="Lienhypertexte"/>
                <w:rFonts w:eastAsia="Calibri" w:cstheme="majorBidi"/>
                <w:noProof/>
              </w:rPr>
              <w:t>II.3.3.</w:t>
            </w:r>
            <w:r w:rsidR="00A733FA">
              <w:rPr>
                <w:rFonts w:asciiTheme="minorHAnsi" w:eastAsiaTheme="minorEastAsia" w:hAnsiTheme="minorHAnsi" w:cstheme="minorBidi"/>
                <w:noProof/>
                <w:sz w:val="22"/>
                <w:lang w:eastAsia="fr-FR"/>
              </w:rPr>
              <w:tab/>
            </w:r>
            <w:r w:rsidR="00A733FA" w:rsidRPr="0037363D">
              <w:rPr>
                <w:rStyle w:val="Lienhypertexte"/>
                <w:noProof/>
              </w:rPr>
              <w:t>Axe 3 : Consolider le développement du capital humain et la solidarité nationale</w:t>
            </w:r>
            <w:r w:rsidR="00A733FA">
              <w:rPr>
                <w:noProof/>
                <w:webHidden/>
              </w:rPr>
              <w:tab/>
            </w:r>
            <w:r w:rsidR="00A733FA">
              <w:rPr>
                <w:noProof/>
                <w:webHidden/>
              </w:rPr>
              <w:fldChar w:fldCharType="begin"/>
            </w:r>
            <w:r w:rsidR="00A733FA">
              <w:rPr>
                <w:noProof/>
                <w:webHidden/>
              </w:rPr>
              <w:instrText xml:space="preserve"> PAGEREF _Toc163141228 \h </w:instrText>
            </w:r>
            <w:r w:rsidR="00A733FA">
              <w:rPr>
                <w:noProof/>
                <w:webHidden/>
              </w:rPr>
            </w:r>
            <w:r w:rsidR="00A733FA">
              <w:rPr>
                <w:noProof/>
                <w:webHidden/>
              </w:rPr>
              <w:fldChar w:fldCharType="separate"/>
            </w:r>
            <w:r w:rsidR="007C2E4E">
              <w:rPr>
                <w:noProof/>
                <w:webHidden/>
              </w:rPr>
              <w:t>69</w:t>
            </w:r>
            <w:r w:rsidR="00A733FA">
              <w:rPr>
                <w:noProof/>
                <w:webHidden/>
              </w:rPr>
              <w:fldChar w:fldCharType="end"/>
            </w:r>
          </w:hyperlink>
        </w:p>
        <w:p w14:paraId="0FBFA808" w14:textId="2092CFF7"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29" w:history="1">
            <w:r w:rsidR="00A733FA" w:rsidRPr="0037363D">
              <w:rPr>
                <w:rStyle w:val="Lienhypertexte"/>
                <w:rFonts w:cstheme="majorBidi"/>
                <w:noProof/>
                <w:lang w:eastAsia="fr-FR"/>
              </w:rPr>
              <w:t>II.3.3.1.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3.1 : Promouvoir la santé de la population et accélérer la transition démographique</w:t>
            </w:r>
            <w:r w:rsidR="00A733FA">
              <w:rPr>
                <w:noProof/>
                <w:webHidden/>
              </w:rPr>
              <w:tab/>
            </w:r>
            <w:r w:rsidR="00A733FA">
              <w:rPr>
                <w:noProof/>
                <w:webHidden/>
              </w:rPr>
              <w:fldChar w:fldCharType="begin"/>
            </w:r>
            <w:r w:rsidR="00A733FA">
              <w:rPr>
                <w:noProof/>
                <w:webHidden/>
              </w:rPr>
              <w:instrText xml:space="preserve"> PAGEREF _Toc163141229 \h </w:instrText>
            </w:r>
            <w:r w:rsidR="00A733FA">
              <w:rPr>
                <w:noProof/>
                <w:webHidden/>
              </w:rPr>
            </w:r>
            <w:r w:rsidR="00A733FA">
              <w:rPr>
                <w:noProof/>
                <w:webHidden/>
              </w:rPr>
              <w:fldChar w:fldCharType="separate"/>
            </w:r>
            <w:r w:rsidR="007C2E4E">
              <w:rPr>
                <w:noProof/>
                <w:webHidden/>
              </w:rPr>
              <w:t>69</w:t>
            </w:r>
            <w:r w:rsidR="00A733FA">
              <w:rPr>
                <w:noProof/>
                <w:webHidden/>
              </w:rPr>
              <w:fldChar w:fldCharType="end"/>
            </w:r>
          </w:hyperlink>
        </w:p>
        <w:p w14:paraId="469DE252" w14:textId="4848582E"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0" w:history="1">
            <w:r w:rsidR="00A733FA" w:rsidRPr="0037363D">
              <w:rPr>
                <w:rStyle w:val="Lienhypertexte"/>
                <w:rFonts w:cstheme="majorBidi"/>
                <w:noProof/>
              </w:rPr>
              <w:t>II.3.3.2.</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3.2 : Accroître l’offre et améliorer la qualité de l’éducation, de l’enseignement supérieur et de la formation en adéquation avec les besoins de l’économie</w:t>
            </w:r>
            <w:r w:rsidR="00A733FA">
              <w:rPr>
                <w:noProof/>
                <w:webHidden/>
              </w:rPr>
              <w:tab/>
            </w:r>
            <w:r w:rsidR="00A733FA">
              <w:rPr>
                <w:noProof/>
                <w:webHidden/>
              </w:rPr>
              <w:fldChar w:fldCharType="begin"/>
            </w:r>
            <w:r w:rsidR="00A733FA">
              <w:rPr>
                <w:noProof/>
                <w:webHidden/>
              </w:rPr>
              <w:instrText xml:space="preserve"> PAGEREF _Toc163141230 \h </w:instrText>
            </w:r>
            <w:r w:rsidR="00A733FA">
              <w:rPr>
                <w:noProof/>
                <w:webHidden/>
              </w:rPr>
            </w:r>
            <w:r w:rsidR="00A733FA">
              <w:rPr>
                <w:noProof/>
                <w:webHidden/>
              </w:rPr>
              <w:fldChar w:fldCharType="separate"/>
            </w:r>
            <w:r w:rsidR="007C2E4E">
              <w:rPr>
                <w:noProof/>
                <w:webHidden/>
              </w:rPr>
              <w:t>73</w:t>
            </w:r>
            <w:r w:rsidR="00A733FA">
              <w:rPr>
                <w:noProof/>
                <w:webHidden/>
              </w:rPr>
              <w:fldChar w:fldCharType="end"/>
            </w:r>
          </w:hyperlink>
        </w:p>
        <w:p w14:paraId="32002C19" w14:textId="303E9CCB"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1" w:history="1">
            <w:r w:rsidR="00A733FA" w:rsidRPr="0037363D">
              <w:rPr>
                <w:rStyle w:val="Lienhypertexte"/>
                <w:rFonts w:cstheme="majorBidi"/>
                <w:noProof/>
              </w:rPr>
              <w:t>II.3.3.3.</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3.3 : Promouvoir la recherche et l’innovation et renforcer leur utilisation en faveur de la transformation de l’économie</w:t>
            </w:r>
            <w:r w:rsidR="00A733FA">
              <w:rPr>
                <w:noProof/>
                <w:webHidden/>
              </w:rPr>
              <w:tab/>
            </w:r>
            <w:r w:rsidR="00A733FA">
              <w:rPr>
                <w:noProof/>
                <w:webHidden/>
              </w:rPr>
              <w:fldChar w:fldCharType="begin"/>
            </w:r>
            <w:r w:rsidR="00A733FA">
              <w:rPr>
                <w:noProof/>
                <w:webHidden/>
              </w:rPr>
              <w:instrText xml:space="preserve"> PAGEREF _Toc163141231 \h </w:instrText>
            </w:r>
            <w:r w:rsidR="00A733FA">
              <w:rPr>
                <w:noProof/>
                <w:webHidden/>
              </w:rPr>
            </w:r>
            <w:r w:rsidR="00A733FA">
              <w:rPr>
                <w:noProof/>
                <w:webHidden/>
              </w:rPr>
              <w:fldChar w:fldCharType="separate"/>
            </w:r>
            <w:r w:rsidR="007C2E4E">
              <w:rPr>
                <w:noProof/>
                <w:webHidden/>
              </w:rPr>
              <w:t>78</w:t>
            </w:r>
            <w:r w:rsidR="00A733FA">
              <w:rPr>
                <w:noProof/>
                <w:webHidden/>
              </w:rPr>
              <w:fldChar w:fldCharType="end"/>
            </w:r>
          </w:hyperlink>
        </w:p>
        <w:p w14:paraId="4BA8796C" w14:textId="63B021B3"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2" w:history="1">
            <w:r w:rsidR="00A733FA" w:rsidRPr="0037363D">
              <w:rPr>
                <w:rStyle w:val="Lienhypertexte"/>
                <w:rFonts w:cstheme="majorBidi"/>
                <w:noProof/>
              </w:rPr>
              <w:t>II.3.3.4.</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3.4 : Promouvoir l’emploi décent et la protection sociale pour tous, particulièrement pour les jeunes et les femmes</w:t>
            </w:r>
            <w:r w:rsidR="00A733FA">
              <w:rPr>
                <w:noProof/>
                <w:webHidden/>
              </w:rPr>
              <w:tab/>
            </w:r>
            <w:r w:rsidR="00A733FA">
              <w:rPr>
                <w:noProof/>
                <w:webHidden/>
              </w:rPr>
              <w:fldChar w:fldCharType="begin"/>
            </w:r>
            <w:r w:rsidR="00A733FA">
              <w:rPr>
                <w:noProof/>
                <w:webHidden/>
              </w:rPr>
              <w:instrText xml:space="preserve"> PAGEREF _Toc163141232 \h </w:instrText>
            </w:r>
            <w:r w:rsidR="00A733FA">
              <w:rPr>
                <w:noProof/>
                <w:webHidden/>
              </w:rPr>
            </w:r>
            <w:r w:rsidR="00A733FA">
              <w:rPr>
                <w:noProof/>
                <w:webHidden/>
              </w:rPr>
              <w:fldChar w:fldCharType="separate"/>
            </w:r>
            <w:r w:rsidR="007C2E4E">
              <w:rPr>
                <w:noProof/>
                <w:webHidden/>
              </w:rPr>
              <w:t>80</w:t>
            </w:r>
            <w:r w:rsidR="00A733FA">
              <w:rPr>
                <w:noProof/>
                <w:webHidden/>
              </w:rPr>
              <w:fldChar w:fldCharType="end"/>
            </w:r>
          </w:hyperlink>
        </w:p>
        <w:p w14:paraId="194702DF" w14:textId="49397626"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3" w:history="1">
            <w:r w:rsidR="00A733FA" w:rsidRPr="0037363D">
              <w:rPr>
                <w:rStyle w:val="Lienhypertexte"/>
                <w:rFonts w:cstheme="majorBidi"/>
                <w:noProof/>
              </w:rPr>
              <w:t>II.3.3.5.</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3.5 : Promouvoir l’égalité des sexes et l’autonomisation des femmes et des filles</w:t>
            </w:r>
            <w:r w:rsidR="00A733FA">
              <w:rPr>
                <w:noProof/>
                <w:webHidden/>
              </w:rPr>
              <w:tab/>
            </w:r>
            <w:r w:rsidR="00A733FA">
              <w:rPr>
                <w:noProof/>
                <w:webHidden/>
              </w:rPr>
              <w:fldChar w:fldCharType="begin"/>
            </w:r>
            <w:r w:rsidR="00A733FA">
              <w:rPr>
                <w:noProof/>
                <w:webHidden/>
              </w:rPr>
              <w:instrText xml:space="preserve"> PAGEREF _Toc163141233 \h </w:instrText>
            </w:r>
            <w:r w:rsidR="00A733FA">
              <w:rPr>
                <w:noProof/>
                <w:webHidden/>
              </w:rPr>
            </w:r>
            <w:r w:rsidR="00A733FA">
              <w:rPr>
                <w:noProof/>
                <w:webHidden/>
              </w:rPr>
              <w:fldChar w:fldCharType="separate"/>
            </w:r>
            <w:r w:rsidR="007C2E4E">
              <w:rPr>
                <w:noProof/>
                <w:webHidden/>
              </w:rPr>
              <w:t>82</w:t>
            </w:r>
            <w:r w:rsidR="00A733FA">
              <w:rPr>
                <w:noProof/>
                <w:webHidden/>
              </w:rPr>
              <w:fldChar w:fldCharType="end"/>
            </w:r>
          </w:hyperlink>
        </w:p>
        <w:p w14:paraId="5445E84C" w14:textId="23FF44CA"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4" w:history="1">
            <w:r w:rsidR="00A733FA" w:rsidRPr="0037363D">
              <w:rPr>
                <w:rStyle w:val="Lienhypertexte"/>
                <w:rFonts w:cstheme="majorBidi"/>
                <w:noProof/>
              </w:rPr>
              <w:t>II.3.3.6.</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3.6 : Améliorer le cadre de vie, l’accès à l’eau potable, à l’assainissement et aux services énergétiques de qualité</w:t>
            </w:r>
            <w:r w:rsidR="00A733FA">
              <w:rPr>
                <w:noProof/>
                <w:webHidden/>
              </w:rPr>
              <w:tab/>
            </w:r>
            <w:r w:rsidR="00A733FA">
              <w:rPr>
                <w:noProof/>
                <w:webHidden/>
              </w:rPr>
              <w:fldChar w:fldCharType="begin"/>
            </w:r>
            <w:r w:rsidR="00A733FA">
              <w:rPr>
                <w:noProof/>
                <w:webHidden/>
              </w:rPr>
              <w:instrText xml:space="preserve"> PAGEREF _Toc163141234 \h </w:instrText>
            </w:r>
            <w:r w:rsidR="00A733FA">
              <w:rPr>
                <w:noProof/>
                <w:webHidden/>
              </w:rPr>
            </w:r>
            <w:r w:rsidR="00A733FA">
              <w:rPr>
                <w:noProof/>
                <w:webHidden/>
              </w:rPr>
              <w:fldChar w:fldCharType="separate"/>
            </w:r>
            <w:r w:rsidR="007C2E4E">
              <w:rPr>
                <w:noProof/>
                <w:webHidden/>
              </w:rPr>
              <w:t>83</w:t>
            </w:r>
            <w:r w:rsidR="00A733FA">
              <w:rPr>
                <w:noProof/>
                <w:webHidden/>
              </w:rPr>
              <w:fldChar w:fldCharType="end"/>
            </w:r>
          </w:hyperlink>
        </w:p>
        <w:p w14:paraId="18ED89CC" w14:textId="53845431"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5" w:history="1">
            <w:r w:rsidR="00A733FA" w:rsidRPr="0037363D">
              <w:rPr>
                <w:rStyle w:val="Lienhypertexte"/>
                <w:rFonts w:cstheme="majorBidi"/>
                <w:noProof/>
              </w:rPr>
              <w:t>II.3.3.7.</w:t>
            </w:r>
            <w:r w:rsidR="00A733FA">
              <w:rPr>
                <w:rFonts w:asciiTheme="minorHAnsi" w:eastAsiaTheme="minorEastAsia" w:hAnsiTheme="minorHAnsi" w:cstheme="minorBidi"/>
                <w:noProof/>
                <w:sz w:val="22"/>
                <w:lang w:eastAsia="fr-FR"/>
              </w:rPr>
              <w:tab/>
            </w:r>
            <w:r w:rsidR="00A733FA" w:rsidRPr="0037363D">
              <w:rPr>
                <w:rStyle w:val="Lienhypertexte"/>
                <w:noProof/>
              </w:rPr>
              <w:t>Synthèse de la consolidation du développement du capital humain et de la solidarité nationale</w:t>
            </w:r>
            <w:r w:rsidR="00A733FA">
              <w:rPr>
                <w:noProof/>
                <w:webHidden/>
              </w:rPr>
              <w:tab/>
            </w:r>
            <w:r w:rsidR="00A733FA">
              <w:rPr>
                <w:noProof/>
                <w:webHidden/>
              </w:rPr>
              <w:fldChar w:fldCharType="begin"/>
            </w:r>
            <w:r w:rsidR="00A733FA">
              <w:rPr>
                <w:noProof/>
                <w:webHidden/>
              </w:rPr>
              <w:instrText xml:space="preserve"> PAGEREF _Toc163141235 \h </w:instrText>
            </w:r>
            <w:r w:rsidR="00A733FA">
              <w:rPr>
                <w:noProof/>
                <w:webHidden/>
              </w:rPr>
            </w:r>
            <w:r w:rsidR="00A733FA">
              <w:rPr>
                <w:noProof/>
                <w:webHidden/>
              </w:rPr>
              <w:fldChar w:fldCharType="separate"/>
            </w:r>
            <w:r w:rsidR="007C2E4E">
              <w:rPr>
                <w:noProof/>
                <w:webHidden/>
              </w:rPr>
              <w:t>86</w:t>
            </w:r>
            <w:r w:rsidR="00A733FA">
              <w:rPr>
                <w:noProof/>
                <w:webHidden/>
              </w:rPr>
              <w:fldChar w:fldCharType="end"/>
            </w:r>
          </w:hyperlink>
        </w:p>
        <w:p w14:paraId="6BCC16F2" w14:textId="6166295A" w:rsidR="00A733FA" w:rsidRDefault="00183DC5">
          <w:pPr>
            <w:pStyle w:val="TM3"/>
            <w:rPr>
              <w:rFonts w:asciiTheme="minorHAnsi" w:eastAsiaTheme="minorEastAsia" w:hAnsiTheme="minorHAnsi" w:cstheme="minorBidi"/>
              <w:noProof/>
              <w:sz w:val="22"/>
              <w:lang w:eastAsia="fr-FR"/>
            </w:rPr>
          </w:pPr>
          <w:hyperlink w:anchor="_Toc163141236" w:history="1">
            <w:r w:rsidR="00A733FA" w:rsidRPr="0037363D">
              <w:rPr>
                <w:rStyle w:val="Lienhypertexte"/>
                <w:rFonts w:cstheme="majorBidi"/>
                <w:noProof/>
              </w:rPr>
              <w:t>II.3.4.</w:t>
            </w:r>
            <w:r w:rsidR="00A733FA">
              <w:rPr>
                <w:rFonts w:asciiTheme="minorHAnsi" w:eastAsiaTheme="minorEastAsia" w:hAnsiTheme="minorHAnsi" w:cstheme="minorBidi"/>
                <w:noProof/>
                <w:sz w:val="22"/>
                <w:lang w:eastAsia="fr-FR"/>
              </w:rPr>
              <w:tab/>
            </w:r>
            <w:r w:rsidR="00A733FA" w:rsidRPr="0037363D">
              <w:rPr>
                <w:rStyle w:val="Lienhypertexte"/>
                <w:noProof/>
              </w:rPr>
              <w:t>Axe 4 : Dynamiser les secteurs porteurs pour l'économie et les emplois</w:t>
            </w:r>
            <w:r w:rsidR="00A733FA">
              <w:rPr>
                <w:noProof/>
                <w:webHidden/>
              </w:rPr>
              <w:tab/>
            </w:r>
            <w:r w:rsidR="00A733FA">
              <w:rPr>
                <w:noProof/>
                <w:webHidden/>
              </w:rPr>
              <w:fldChar w:fldCharType="begin"/>
            </w:r>
            <w:r w:rsidR="00A733FA">
              <w:rPr>
                <w:noProof/>
                <w:webHidden/>
              </w:rPr>
              <w:instrText xml:space="preserve"> PAGEREF _Toc163141236 \h </w:instrText>
            </w:r>
            <w:r w:rsidR="00A733FA">
              <w:rPr>
                <w:noProof/>
                <w:webHidden/>
              </w:rPr>
            </w:r>
            <w:r w:rsidR="00A733FA">
              <w:rPr>
                <w:noProof/>
                <w:webHidden/>
              </w:rPr>
              <w:fldChar w:fldCharType="separate"/>
            </w:r>
            <w:r w:rsidR="007C2E4E">
              <w:rPr>
                <w:noProof/>
                <w:webHidden/>
              </w:rPr>
              <w:t>88</w:t>
            </w:r>
            <w:r w:rsidR="00A733FA">
              <w:rPr>
                <w:noProof/>
                <w:webHidden/>
              </w:rPr>
              <w:fldChar w:fldCharType="end"/>
            </w:r>
          </w:hyperlink>
        </w:p>
        <w:p w14:paraId="0F9938D4" w14:textId="5C3362EF"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7" w:history="1">
            <w:r w:rsidR="00A733FA" w:rsidRPr="0037363D">
              <w:rPr>
                <w:rStyle w:val="Lienhypertexte"/>
                <w:rFonts w:cstheme="majorBidi"/>
                <w:noProof/>
              </w:rPr>
              <w:t>II.3.4.1.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4.1 : Développer durablement un secteur agro-sylvo-pastoral, faunique et halieutique productif et résilient, davantage orienté vers le marché</w:t>
            </w:r>
            <w:r w:rsidR="00A733FA">
              <w:rPr>
                <w:noProof/>
                <w:webHidden/>
              </w:rPr>
              <w:tab/>
            </w:r>
            <w:r w:rsidR="00A733FA">
              <w:rPr>
                <w:noProof/>
                <w:webHidden/>
              </w:rPr>
              <w:fldChar w:fldCharType="begin"/>
            </w:r>
            <w:r w:rsidR="00A733FA">
              <w:rPr>
                <w:noProof/>
                <w:webHidden/>
              </w:rPr>
              <w:instrText xml:space="preserve"> PAGEREF _Toc163141237 \h </w:instrText>
            </w:r>
            <w:r w:rsidR="00A733FA">
              <w:rPr>
                <w:noProof/>
                <w:webHidden/>
              </w:rPr>
            </w:r>
            <w:r w:rsidR="00A733FA">
              <w:rPr>
                <w:noProof/>
                <w:webHidden/>
              </w:rPr>
              <w:fldChar w:fldCharType="separate"/>
            </w:r>
            <w:r w:rsidR="007C2E4E">
              <w:rPr>
                <w:noProof/>
                <w:webHidden/>
              </w:rPr>
              <w:t>88</w:t>
            </w:r>
            <w:r w:rsidR="00A733FA">
              <w:rPr>
                <w:noProof/>
                <w:webHidden/>
              </w:rPr>
              <w:fldChar w:fldCharType="end"/>
            </w:r>
          </w:hyperlink>
        </w:p>
        <w:p w14:paraId="0425DAB0" w14:textId="2B904814"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8" w:history="1">
            <w:r w:rsidR="00A733FA" w:rsidRPr="0037363D">
              <w:rPr>
                <w:rStyle w:val="Lienhypertexte"/>
                <w:rFonts w:cstheme="majorBidi"/>
                <w:noProof/>
              </w:rPr>
              <w:t>II.3.4.2.</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4.2 : Développer un secteur industriel et artisanal compétitif, à forte valeur ajoutée et créateur d'emplois décents</w:t>
            </w:r>
            <w:r w:rsidR="00A733FA">
              <w:rPr>
                <w:noProof/>
                <w:webHidden/>
              </w:rPr>
              <w:tab/>
            </w:r>
            <w:r w:rsidR="00A733FA">
              <w:rPr>
                <w:noProof/>
                <w:webHidden/>
              </w:rPr>
              <w:fldChar w:fldCharType="begin"/>
            </w:r>
            <w:r w:rsidR="00A733FA">
              <w:rPr>
                <w:noProof/>
                <w:webHidden/>
              </w:rPr>
              <w:instrText xml:space="preserve"> PAGEREF _Toc163141238 \h </w:instrText>
            </w:r>
            <w:r w:rsidR="00A733FA">
              <w:rPr>
                <w:noProof/>
                <w:webHidden/>
              </w:rPr>
            </w:r>
            <w:r w:rsidR="00A733FA">
              <w:rPr>
                <w:noProof/>
                <w:webHidden/>
              </w:rPr>
              <w:fldChar w:fldCharType="separate"/>
            </w:r>
            <w:r w:rsidR="007C2E4E">
              <w:rPr>
                <w:noProof/>
                <w:webHidden/>
              </w:rPr>
              <w:t>94</w:t>
            </w:r>
            <w:r w:rsidR="00A733FA">
              <w:rPr>
                <w:noProof/>
                <w:webHidden/>
              </w:rPr>
              <w:fldChar w:fldCharType="end"/>
            </w:r>
          </w:hyperlink>
        </w:p>
        <w:p w14:paraId="3B4331DC" w14:textId="3B8A79B4"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39" w:history="1">
            <w:r w:rsidR="00A733FA" w:rsidRPr="0037363D">
              <w:rPr>
                <w:rStyle w:val="Lienhypertexte"/>
                <w:rFonts w:cstheme="majorBidi"/>
                <w:noProof/>
              </w:rPr>
              <w:t>II.3.4.3.</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4.3 : Promouvoir le commerce et l'expansion des industries de services à forte valeur ajoutée et créatrices d'emplois décents</w:t>
            </w:r>
            <w:r w:rsidR="00A733FA">
              <w:rPr>
                <w:noProof/>
                <w:webHidden/>
              </w:rPr>
              <w:tab/>
            </w:r>
            <w:r w:rsidR="00A733FA">
              <w:rPr>
                <w:noProof/>
                <w:webHidden/>
              </w:rPr>
              <w:fldChar w:fldCharType="begin"/>
            </w:r>
            <w:r w:rsidR="00A733FA">
              <w:rPr>
                <w:noProof/>
                <w:webHidden/>
              </w:rPr>
              <w:instrText xml:space="preserve"> PAGEREF _Toc163141239 \h </w:instrText>
            </w:r>
            <w:r w:rsidR="00A733FA">
              <w:rPr>
                <w:noProof/>
                <w:webHidden/>
              </w:rPr>
            </w:r>
            <w:r w:rsidR="00A733FA">
              <w:rPr>
                <w:noProof/>
                <w:webHidden/>
              </w:rPr>
              <w:fldChar w:fldCharType="separate"/>
            </w:r>
            <w:r w:rsidR="007C2E4E">
              <w:rPr>
                <w:noProof/>
                <w:webHidden/>
              </w:rPr>
              <w:t>102</w:t>
            </w:r>
            <w:r w:rsidR="00A733FA">
              <w:rPr>
                <w:noProof/>
                <w:webHidden/>
              </w:rPr>
              <w:fldChar w:fldCharType="end"/>
            </w:r>
          </w:hyperlink>
        </w:p>
        <w:p w14:paraId="1BDC86F0" w14:textId="25E73A59"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40" w:history="1">
            <w:r w:rsidR="00A733FA" w:rsidRPr="0037363D">
              <w:rPr>
                <w:rStyle w:val="Lienhypertexte"/>
                <w:rFonts w:cstheme="majorBidi"/>
                <w:noProof/>
              </w:rPr>
              <w:t>II.3.4.4.</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4.4 : Développer des infrastructures de qualité et résilientes, pour favoriser la transformation structurelle de l'économie</w:t>
            </w:r>
            <w:r w:rsidR="00A733FA">
              <w:rPr>
                <w:noProof/>
                <w:webHidden/>
              </w:rPr>
              <w:tab/>
            </w:r>
            <w:r w:rsidR="00A733FA">
              <w:rPr>
                <w:noProof/>
                <w:webHidden/>
              </w:rPr>
              <w:fldChar w:fldCharType="begin"/>
            </w:r>
            <w:r w:rsidR="00A733FA">
              <w:rPr>
                <w:noProof/>
                <w:webHidden/>
              </w:rPr>
              <w:instrText xml:space="preserve"> PAGEREF _Toc163141240 \h </w:instrText>
            </w:r>
            <w:r w:rsidR="00A733FA">
              <w:rPr>
                <w:noProof/>
                <w:webHidden/>
              </w:rPr>
            </w:r>
            <w:r w:rsidR="00A733FA">
              <w:rPr>
                <w:noProof/>
                <w:webHidden/>
              </w:rPr>
              <w:fldChar w:fldCharType="separate"/>
            </w:r>
            <w:r w:rsidR="007C2E4E">
              <w:rPr>
                <w:noProof/>
                <w:webHidden/>
              </w:rPr>
              <w:t>105</w:t>
            </w:r>
            <w:r w:rsidR="00A733FA">
              <w:rPr>
                <w:noProof/>
                <w:webHidden/>
              </w:rPr>
              <w:fldChar w:fldCharType="end"/>
            </w:r>
          </w:hyperlink>
        </w:p>
        <w:p w14:paraId="763159A2" w14:textId="0FCE6071"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41" w:history="1">
            <w:r w:rsidR="00A733FA" w:rsidRPr="0037363D">
              <w:rPr>
                <w:rStyle w:val="Lienhypertexte"/>
                <w:rFonts w:cstheme="majorBidi"/>
                <w:noProof/>
              </w:rPr>
              <w:t>II.3.4.5.</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4.5 : Inverser la tendance de la dégradation de l’environnement et des ressources naturelles pour favoriser la résilience climatique et la réduction des émissions de gaz à effet de serre</w:t>
            </w:r>
            <w:r w:rsidR="00A733FA">
              <w:rPr>
                <w:noProof/>
                <w:webHidden/>
              </w:rPr>
              <w:tab/>
            </w:r>
            <w:r w:rsidR="00A733FA">
              <w:rPr>
                <w:noProof/>
                <w:webHidden/>
              </w:rPr>
              <w:fldChar w:fldCharType="begin"/>
            </w:r>
            <w:r w:rsidR="00A733FA">
              <w:rPr>
                <w:noProof/>
                <w:webHidden/>
              </w:rPr>
              <w:instrText xml:space="preserve"> PAGEREF _Toc163141241 \h </w:instrText>
            </w:r>
            <w:r w:rsidR="00A733FA">
              <w:rPr>
                <w:noProof/>
                <w:webHidden/>
              </w:rPr>
            </w:r>
            <w:r w:rsidR="00A733FA">
              <w:rPr>
                <w:noProof/>
                <w:webHidden/>
              </w:rPr>
              <w:fldChar w:fldCharType="separate"/>
            </w:r>
            <w:r w:rsidR="007C2E4E">
              <w:rPr>
                <w:noProof/>
                <w:webHidden/>
              </w:rPr>
              <w:t>111</w:t>
            </w:r>
            <w:r w:rsidR="00A733FA">
              <w:rPr>
                <w:noProof/>
                <w:webHidden/>
              </w:rPr>
              <w:fldChar w:fldCharType="end"/>
            </w:r>
          </w:hyperlink>
        </w:p>
        <w:p w14:paraId="5E48A1BF" w14:textId="4397A729"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42" w:history="1">
            <w:r w:rsidR="00A733FA" w:rsidRPr="0037363D">
              <w:rPr>
                <w:rStyle w:val="Lienhypertexte"/>
                <w:rFonts w:cstheme="majorBidi"/>
                <w:noProof/>
              </w:rPr>
              <w:t>II.3.4.6.</w:t>
            </w:r>
            <w:r w:rsidR="00A733FA">
              <w:rPr>
                <w:rFonts w:asciiTheme="minorHAnsi" w:eastAsiaTheme="minorEastAsia" w:hAnsiTheme="minorHAnsi" w:cstheme="minorBidi"/>
                <w:noProof/>
                <w:sz w:val="22"/>
                <w:lang w:eastAsia="fr-FR"/>
              </w:rPr>
              <w:tab/>
            </w:r>
            <w:r w:rsidR="00A733FA" w:rsidRPr="0037363D">
              <w:rPr>
                <w:rStyle w:val="Lienhypertexte"/>
                <w:noProof/>
              </w:rPr>
              <w:t>Synthèse de la dynamisation des secteurs porteurs pour l'économie et des emplois</w:t>
            </w:r>
            <w:r w:rsidR="00A733FA">
              <w:rPr>
                <w:noProof/>
                <w:webHidden/>
              </w:rPr>
              <w:tab/>
            </w:r>
            <w:r w:rsidR="00A733FA">
              <w:rPr>
                <w:noProof/>
                <w:webHidden/>
              </w:rPr>
              <w:fldChar w:fldCharType="begin"/>
            </w:r>
            <w:r w:rsidR="00A733FA">
              <w:rPr>
                <w:noProof/>
                <w:webHidden/>
              </w:rPr>
              <w:instrText xml:space="preserve"> PAGEREF _Toc163141242 \h </w:instrText>
            </w:r>
            <w:r w:rsidR="00A733FA">
              <w:rPr>
                <w:noProof/>
                <w:webHidden/>
              </w:rPr>
            </w:r>
            <w:r w:rsidR="00A733FA">
              <w:rPr>
                <w:noProof/>
                <w:webHidden/>
              </w:rPr>
              <w:fldChar w:fldCharType="separate"/>
            </w:r>
            <w:r w:rsidR="007C2E4E">
              <w:rPr>
                <w:noProof/>
                <w:webHidden/>
              </w:rPr>
              <w:t>112</w:t>
            </w:r>
            <w:r w:rsidR="00A733FA">
              <w:rPr>
                <w:noProof/>
                <w:webHidden/>
              </w:rPr>
              <w:fldChar w:fldCharType="end"/>
            </w:r>
          </w:hyperlink>
        </w:p>
        <w:p w14:paraId="23720D02" w14:textId="62DE7174" w:rsidR="00A733FA" w:rsidRDefault="00183DC5">
          <w:pPr>
            <w:pStyle w:val="TM3"/>
            <w:rPr>
              <w:rFonts w:asciiTheme="minorHAnsi" w:eastAsiaTheme="minorEastAsia" w:hAnsiTheme="minorHAnsi" w:cstheme="minorBidi"/>
              <w:noProof/>
              <w:sz w:val="22"/>
              <w:lang w:eastAsia="fr-FR"/>
            </w:rPr>
          </w:pPr>
          <w:hyperlink w:anchor="_Toc163141243" w:history="1">
            <w:r w:rsidR="00A733FA" w:rsidRPr="0037363D">
              <w:rPr>
                <w:rStyle w:val="Lienhypertexte"/>
                <w:rFonts w:cstheme="majorBidi"/>
                <w:noProof/>
              </w:rPr>
              <w:t>II.3.5.</w:t>
            </w:r>
            <w:r w:rsidR="00A733FA">
              <w:rPr>
                <w:rFonts w:asciiTheme="minorHAnsi" w:eastAsiaTheme="minorEastAsia" w:hAnsiTheme="minorHAnsi" w:cstheme="minorBidi"/>
                <w:noProof/>
                <w:sz w:val="22"/>
                <w:lang w:eastAsia="fr-FR"/>
              </w:rPr>
              <w:tab/>
            </w:r>
            <w:r w:rsidR="00A733FA" w:rsidRPr="0037363D">
              <w:rPr>
                <w:rStyle w:val="Lienhypertexte"/>
                <w:noProof/>
              </w:rPr>
              <w:t>Contribution des collectivités territoriales à l’atteinte du pilier 3</w:t>
            </w:r>
            <w:r w:rsidR="00A733FA">
              <w:rPr>
                <w:noProof/>
                <w:webHidden/>
              </w:rPr>
              <w:tab/>
            </w:r>
            <w:r w:rsidR="00A733FA">
              <w:rPr>
                <w:noProof/>
                <w:webHidden/>
              </w:rPr>
              <w:fldChar w:fldCharType="begin"/>
            </w:r>
            <w:r w:rsidR="00A733FA">
              <w:rPr>
                <w:noProof/>
                <w:webHidden/>
              </w:rPr>
              <w:instrText xml:space="preserve"> PAGEREF _Toc163141243 \h </w:instrText>
            </w:r>
            <w:r w:rsidR="00A733FA">
              <w:rPr>
                <w:noProof/>
                <w:webHidden/>
              </w:rPr>
            </w:r>
            <w:r w:rsidR="00A733FA">
              <w:rPr>
                <w:noProof/>
                <w:webHidden/>
              </w:rPr>
              <w:fldChar w:fldCharType="separate"/>
            </w:r>
            <w:r w:rsidR="007C2E4E">
              <w:rPr>
                <w:noProof/>
                <w:webHidden/>
              </w:rPr>
              <w:t>115</w:t>
            </w:r>
            <w:r w:rsidR="00A733FA">
              <w:rPr>
                <w:noProof/>
                <w:webHidden/>
              </w:rPr>
              <w:fldChar w:fldCharType="end"/>
            </w:r>
          </w:hyperlink>
        </w:p>
        <w:p w14:paraId="6969B96D" w14:textId="1B205591" w:rsidR="00A733FA" w:rsidRDefault="00183DC5">
          <w:pPr>
            <w:pStyle w:val="TM2"/>
            <w:tabs>
              <w:tab w:val="left" w:pos="880"/>
              <w:tab w:val="right" w:leader="dot" w:pos="9016"/>
            </w:tabs>
            <w:rPr>
              <w:rFonts w:asciiTheme="minorHAnsi" w:eastAsiaTheme="minorEastAsia" w:hAnsiTheme="minorHAnsi" w:cstheme="minorBidi"/>
              <w:noProof/>
              <w:sz w:val="22"/>
              <w:lang w:eastAsia="fr-FR"/>
            </w:rPr>
          </w:pPr>
          <w:hyperlink w:anchor="_Toc163141244" w:history="1">
            <w:r w:rsidR="00A733FA" w:rsidRPr="0037363D">
              <w:rPr>
                <w:rStyle w:val="Lienhypertexte"/>
                <w:rFonts w:cstheme="majorBidi"/>
                <w:noProof/>
              </w:rPr>
              <w:t>II.4.</w:t>
            </w:r>
            <w:r w:rsidR="00A733FA">
              <w:rPr>
                <w:rFonts w:asciiTheme="minorHAnsi" w:eastAsiaTheme="minorEastAsia" w:hAnsiTheme="minorHAnsi" w:cstheme="minorBidi"/>
                <w:noProof/>
                <w:sz w:val="22"/>
                <w:lang w:eastAsia="fr-FR"/>
              </w:rPr>
              <w:tab/>
            </w:r>
            <w:r w:rsidR="00A733FA" w:rsidRPr="0037363D">
              <w:rPr>
                <w:rStyle w:val="Lienhypertexte"/>
                <w:noProof/>
              </w:rPr>
              <w:t>Pilier 4 : Œuvrer à la réconciliation nationale et à la cohésion sociale</w:t>
            </w:r>
            <w:r w:rsidR="00A733FA">
              <w:rPr>
                <w:noProof/>
                <w:webHidden/>
              </w:rPr>
              <w:tab/>
            </w:r>
            <w:r w:rsidR="00A733FA">
              <w:rPr>
                <w:noProof/>
                <w:webHidden/>
              </w:rPr>
              <w:fldChar w:fldCharType="begin"/>
            </w:r>
            <w:r w:rsidR="00A733FA">
              <w:rPr>
                <w:noProof/>
                <w:webHidden/>
              </w:rPr>
              <w:instrText xml:space="preserve"> PAGEREF _Toc163141244 \h </w:instrText>
            </w:r>
            <w:r w:rsidR="00A733FA">
              <w:rPr>
                <w:noProof/>
                <w:webHidden/>
              </w:rPr>
            </w:r>
            <w:r w:rsidR="00A733FA">
              <w:rPr>
                <w:noProof/>
                <w:webHidden/>
              </w:rPr>
              <w:fldChar w:fldCharType="separate"/>
            </w:r>
            <w:r w:rsidR="007C2E4E">
              <w:rPr>
                <w:noProof/>
                <w:webHidden/>
              </w:rPr>
              <w:t>117</w:t>
            </w:r>
            <w:r w:rsidR="00A733FA">
              <w:rPr>
                <w:noProof/>
                <w:webHidden/>
              </w:rPr>
              <w:fldChar w:fldCharType="end"/>
            </w:r>
          </w:hyperlink>
        </w:p>
        <w:p w14:paraId="17FB712D" w14:textId="288DE288" w:rsidR="00A733FA" w:rsidRDefault="00183DC5">
          <w:pPr>
            <w:pStyle w:val="TM3"/>
            <w:rPr>
              <w:rFonts w:asciiTheme="minorHAnsi" w:eastAsiaTheme="minorEastAsia" w:hAnsiTheme="minorHAnsi" w:cstheme="minorBidi"/>
              <w:noProof/>
              <w:sz w:val="22"/>
              <w:lang w:eastAsia="fr-FR"/>
            </w:rPr>
          </w:pPr>
          <w:hyperlink w:anchor="_Toc163141245" w:history="1">
            <w:r w:rsidR="00A733FA" w:rsidRPr="0037363D">
              <w:rPr>
                <w:rStyle w:val="Lienhypertexte"/>
                <w:rFonts w:eastAsia="Times New Roman" w:cstheme="majorBidi"/>
                <w:noProof/>
                <w:lang w:eastAsia="fr-FR"/>
              </w:rPr>
              <w:t>II.4.1.</w:t>
            </w:r>
            <w:r w:rsidR="00A733FA">
              <w:rPr>
                <w:rFonts w:asciiTheme="minorHAnsi" w:eastAsiaTheme="minorEastAsia" w:hAnsiTheme="minorHAnsi" w:cstheme="minorBidi"/>
                <w:noProof/>
                <w:sz w:val="22"/>
                <w:lang w:eastAsia="fr-FR"/>
              </w:rPr>
              <w:tab/>
            </w:r>
            <w:r w:rsidR="00A733FA" w:rsidRPr="0037363D">
              <w:rPr>
                <w:rStyle w:val="Lienhypertexte"/>
                <w:rFonts w:eastAsia="Times New Roman" w:cs="Calibri"/>
                <w:noProof/>
                <w:lang w:eastAsia="fr-FR"/>
              </w:rPr>
              <w:t>Axe 1 : Consolider la résilience, la sécurité, la cohésion sociale et la paix</w:t>
            </w:r>
            <w:r w:rsidR="00A733FA">
              <w:rPr>
                <w:noProof/>
                <w:webHidden/>
              </w:rPr>
              <w:tab/>
            </w:r>
            <w:r w:rsidR="00A733FA">
              <w:rPr>
                <w:noProof/>
                <w:webHidden/>
              </w:rPr>
              <w:fldChar w:fldCharType="begin"/>
            </w:r>
            <w:r w:rsidR="00A733FA">
              <w:rPr>
                <w:noProof/>
                <w:webHidden/>
              </w:rPr>
              <w:instrText xml:space="preserve"> PAGEREF _Toc163141245 \h </w:instrText>
            </w:r>
            <w:r w:rsidR="00A733FA">
              <w:rPr>
                <w:noProof/>
                <w:webHidden/>
              </w:rPr>
            </w:r>
            <w:r w:rsidR="00A733FA">
              <w:rPr>
                <w:noProof/>
                <w:webHidden/>
              </w:rPr>
              <w:fldChar w:fldCharType="separate"/>
            </w:r>
            <w:r w:rsidR="007C2E4E">
              <w:rPr>
                <w:noProof/>
                <w:webHidden/>
              </w:rPr>
              <w:t>117</w:t>
            </w:r>
            <w:r w:rsidR="00A733FA">
              <w:rPr>
                <w:noProof/>
                <w:webHidden/>
              </w:rPr>
              <w:fldChar w:fldCharType="end"/>
            </w:r>
          </w:hyperlink>
        </w:p>
        <w:p w14:paraId="24319860" w14:textId="18877671"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46" w:history="1">
            <w:r w:rsidR="00A733FA" w:rsidRPr="0037363D">
              <w:rPr>
                <w:rStyle w:val="Lienhypertexte"/>
                <w:rFonts w:cstheme="majorBidi"/>
                <w:noProof/>
                <w:lang w:eastAsia="fr-FR"/>
              </w:rPr>
              <w:t>II.4.1.1.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1.3 : Renforcer la cohésion sociale et la paix</w:t>
            </w:r>
            <w:r w:rsidR="00A733FA">
              <w:rPr>
                <w:noProof/>
                <w:webHidden/>
              </w:rPr>
              <w:tab/>
            </w:r>
            <w:r w:rsidR="00A733FA">
              <w:rPr>
                <w:noProof/>
                <w:webHidden/>
              </w:rPr>
              <w:fldChar w:fldCharType="begin"/>
            </w:r>
            <w:r w:rsidR="00A733FA">
              <w:rPr>
                <w:noProof/>
                <w:webHidden/>
              </w:rPr>
              <w:instrText xml:space="preserve"> PAGEREF _Toc163141246 \h </w:instrText>
            </w:r>
            <w:r w:rsidR="00A733FA">
              <w:rPr>
                <w:noProof/>
                <w:webHidden/>
              </w:rPr>
            </w:r>
            <w:r w:rsidR="00A733FA">
              <w:rPr>
                <w:noProof/>
                <w:webHidden/>
              </w:rPr>
              <w:fldChar w:fldCharType="separate"/>
            </w:r>
            <w:r w:rsidR="007C2E4E">
              <w:rPr>
                <w:noProof/>
                <w:webHidden/>
              </w:rPr>
              <w:t>117</w:t>
            </w:r>
            <w:r w:rsidR="00A733FA">
              <w:rPr>
                <w:noProof/>
                <w:webHidden/>
              </w:rPr>
              <w:fldChar w:fldCharType="end"/>
            </w:r>
          </w:hyperlink>
        </w:p>
        <w:p w14:paraId="1DAF6A3A" w14:textId="2D47603A" w:rsidR="00A733FA" w:rsidRDefault="00183DC5">
          <w:pPr>
            <w:pStyle w:val="TM3"/>
            <w:rPr>
              <w:rFonts w:asciiTheme="minorHAnsi" w:eastAsiaTheme="minorEastAsia" w:hAnsiTheme="minorHAnsi" w:cstheme="minorBidi"/>
              <w:noProof/>
              <w:sz w:val="22"/>
              <w:lang w:eastAsia="fr-FR"/>
            </w:rPr>
          </w:pPr>
          <w:hyperlink w:anchor="_Toc163141247" w:history="1">
            <w:r w:rsidR="00A733FA" w:rsidRPr="0037363D">
              <w:rPr>
                <w:rStyle w:val="Lienhypertexte"/>
                <w:rFonts w:eastAsia="Times New Roman" w:cstheme="majorBidi"/>
                <w:noProof/>
                <w:lang w:eastAsia="fr-FR"/>
              </w:rPr>
              <w:t>II.4.2.</w:t>
            </w:r>
            <w:r w:rsidR="00A733FA">
              <w:rPr>
                <w:rFonts w:asciiTheme="minorHAnsi" w:eastAsiaTheme="minorEastAsia" w:hAnsiTheme="minorHAnsi" w:cstheme="minorBidi"/>
                <w:noProof/>
                <w:sz w:val="22"/>
                <w:lang w:eastAsia="fr-FR"/>
              </w:rPr>
              <w:tab/>
            </w:r>
            <w:r w:rsidR="00A733FA" w:rsidRPr="0037363D">
              <w:rPr>
                <w:rStyle w:val="Lienhypertexte"/>
                <w:rFonts w:eastAsia="Times New Roman" w:cs="Calibri"/>
                <w:noProof/>
                <w:lang w:eastAsia="fr-FR"/>
              </w:rPr>
              <w:t>Axe 2 : Approfondir les réformes institutionnelles et moderniser l’administration publique</w:t>
            </w:r>
            <w:r w:rsidR="00A733FA">
              <w:rPr>
                <w:noProof/>
                <w:webHidden/>
              </w:rPr>
              <w:tab/>
            </w:r>
            <w:r w:rsidR="00A733FA">
              <w:rPr>
                <w:noProof/>
                <w:webHidden/>
              </w:rPr>
              <w:fldChar w:fldCharType="begin"/>
            </w:r>
            <w:r w:rsidR="00A733FA">
              <w:rPr>
                <w:noProof/>
                <w:webHidden/>
              </w:rPr>
              <w:instrText xml:space="preserve"> PAGEREF _Toc163141247 \h </w:instrText>
            </w:r>
            <w:r w:rsidR="00A733FA">
              <w:rPr>
                <w:noProof/>
                <w:webHidden/>
              </w:rPr>
            </w:r>
            <w:r w:rsidR="00A733FA">
              <w:rPr>
                <w:noProof/>
                <w:webHidden/>
              </w:rPr>
              <w:fldChar w:fldCharType="separate"/>
            </w:r>
            <w:r w:rsidR="007C2E4E">
              <w:rPr>
                <w:noProof/>
                <w:webHidden/>
              </w:rPr>
              <w:t>120</w:t>
            </w:r>
            <w:r w:rsidR="00A733FA">
              <w:rPr>
                <w:noProof/>
                <w:webHidden/>
              </w:rPr>
              <w:fldChar w:fldCharType="end"/>
            </w:r>
          </w:hyperlink>
        </w:p>
        <w:p w14:paraId="6D8AF441" w14:textId="039CFBFE" w:rsidR="00A733FA" w:rsidRDefault="00183DC5">
          <w:pPr>
            <w:pStyle w:val="TM4"/>
            <w:tabs>
              <w:tab w:val="left" w:pos="1760"/>
              <w:tab w:val="right" w:leader="dot" w:pos="9016"/>
            </w:tabs>
            <w:rPr>
              <w:rFonts w:asciiTheme="minorHAnsi" w:eastAsiaTheme="minorEastAsia" w:hAnsiTheme="minorHAnsi" w:cstheme="minorBidi"/>
              <w:noProof/>
              <w:sz w:val="22"/>
              <w:lang w:eastAsia="fr-FR"/>
            </w:rPr>
          </w:pPr>
          <w:hyperlink w:anchor="_Toc163141248" w:history="1">
            <w:r w:rsidR="00A733FA" w:rsidRPr="0037363D">
              <w:rPr>
                <w:rStyle w:val="Lienhypertexte"/>
                <w:rFonts w:cstheme="majorBidi"/>
                <w:noProof/>
                <w:lang w:eastAsia="fr-FR"/>
              </w:rPr>
              <w:t>II.4.2.1.</w:t>
            </w:r>
            <w:r w:rsidR="00A733FA">
              <w:rPr>
                <w:rFonts w:asciiTheme="minorHAnsi" w:eastAsiaTheme="minorEastAsia" w:hAnsiTheme="minorHAnsi" w:cstheme="minorBidi"/>
                <w:noProof/>
                <w:sz w:val="22"/>
                <w:lang w:eastAsia="fr-FR"/>
              </w:rPr>
              <w:tab/>
            </w:r>
            <w:r w:rsidR="00A733FA" w:rsidRPr="0037363D">
              <w:rPr>
                <w:rStyle w:val="Lienhypertexte"/>
                <w:noProof/>
              </w:rPr>
              <w:t>Objectif stratégique 2.1 : Promouvoir la démocratie et la bonne gouvernance politique</w:t>
            </w:r>
            <w:r w:rsidR="00A733FA">
              <w:rPr>
                <w:noProof/>
                <w:webHidden/>
              </w:rPr>
              <w:tab/>
            </w:r>
            <w:r w:rsidR="00A733FA">
              <w:rPr>
                <w:noProof/>
                <w:webHidden/>
              </w:rPr>
              <w:fldChar w:fldCharType="begin"/>
            </w:r>
            <w:r w:rsidR="00A733FA">
              <w:rPr>
                <w:noProof/>
                <w:webHidden/>
              </w:rPr>
              <w:instrText xml:space="preserve"> PAGEREF _Toc163141248 \h </w:instrText>
            </w:r>
            <w:r w:rsidR="00A733FA">
              <w:rPr>
                <w:noProof/>
                <w:webHidden/>
              </w:rPr>
            </w:r>
            <w:r w:rsidR="00A733FA">
              <w:rPr>
                <w:noProof/>
                <w:webHidden/>
              </w:rPr>
              <w:fldChar w:fldCharType="separate"/>
            </w:r>
            <w:r w:rsidR="007C2E4E">
              <w:rPr>
                <w:noProof/>
                <w:webHidden/>
              </w:rPr>
              <w:t>120</w:t>
            </w:r>
            <w:r w:rsidR="00A733FA">
              <w:rPr>
                <w:noProof/>
                <w:webHidden/>
              </w:rPr>
              <w:fldChar w:fldCharType="end"/>
            </w:r>
          </w:hyperlink>
        </w:p>
        <w:p w14:paraId="06C962DE" w14:textId="066CFDCE" w:rsidR="00A733FA" w:rsidRDefault="00183DC5">
          <w:pPr>
            <w:pStyle w:val="TM3"/>
            <w:rPr>
              <w:rFonts w:asciiTheme="minorHAnsi" w:eastAsiaTheme="minorEastAsia" w:hAnsiTheme="minorHAnsi" w:cstheme="minorBidi"/>
              <w:noProof/>
              <w:sz w:val="22"/>
              <w:lang w:eastAsia="fr-FR"/>
            </w:rPr>
          </w:pPr>
          <w:hyperlink w:anchor="_Toc163141249" w:history="1">
            <w:r w:rsidR="00A733FA" w:rsidRPr="0037363D">
              <w:rPr>
                <w:rStyle w:val="Lienhypertexte"/>
                <w:rFonts w:cstheme="majorBidi"/>
                <w:noProof/>
              </w:rPr>
              <w:t>II.4.3.</w:t>
            </w:r>
            <w:r w:rsidR="00A733FA">
              <w:rPr>
                <w:rFonts w:asciiTheme="minorHAnsi" w:eastAsiaTheme="minorEastAsia" w:hAnsiTheme="minorHAnsi" w:cstheme="minorBidi"/>
                <w:noProof/>
                <w:sz w:val="22"/>
                <w:lang w:eastAsia="fr-FR"/>
              </w:rPr>
              <w:tab/>
            </w:r>
            <w:r w:rsidR="00A733FA" w:rsidRPr="0037363D">
              <w:rPr>
                <w:rStyle w:val="Lienhypertexte"/>
                <w:noProof/>
              </w:rPr>
              <w:t>Contribution des collectivités territoriales à l’atteinte du Pilier 4</w:t>
            </w:r>
            <w:r w:rsidR="00A733FA">
              <w:rPr>
                <w:noProof/>
                <w:webHidden/>
              </w:rPr>
              <w:tab/>
            </w:r>
            <w:r w:rsidR="00A733FA">
              <w:rPr>
                <w:noProof/>
                <w:webHidden/>
              </w:rPr>
              <w:fldChar w:fldCharType="begin"/>
            </w:r>
            <w:r w:rsidR="00A733FA">
              <w:rPr>
                <w:noProof/>
                <w:webHidden/>
              </w:rPr>
              <w:instrText xml:space="preserve"> PAGEREF _Toc163141249 \h </w:instrText>
            </w:r>
            <w:r w:rsidR="00A733FA">
              <w:rPr>
                <w:noProof/>
                <w:webHidden/>
              </w:rPr>
            </w:r>
            <w:r w:rsidR="00A733FA">
              <w:rPr>
                <w:noProof/>
                <w:webHidden/>
              </w:rPr>
              <w:fldChar w:fldCharType="separate"/>
            </w:r>
            <w:r w:rsidR="007C2E4E">
              <w:rPr>
                <w:noProof/>
                <w:webHidden/>
              </w:rPr>
              <w:t>123</w:t>
            </w:r>
            <w:r w:rsidR="00A733FA">
              <w:rPr>
                <w:noProof/>
                <w:webHidden/>
              </w:rPr>
              <w:fldChar w:fldCharType="end"/>
            </w:r>
          </w:hyperlink>
        </w:p>
        <w:p w14:paraId="76E29EDC" w14:textId="36D7BF07" w:rsidR="00A733FA" w:rsidRDefault="00183DC5">
          <w:pPr>
            <w:pStyle w:val="TM3"/>
            <w:rPr>
              <w:rFonts w:asciiTheme="minorHAnsi" w:eastAsiaTheme="minorEastAsia" w:hAnsiTheme="minorHAnsi" w:cstheme="minorBidi"/>
              <w:noProof/>
              <w:sz w:val="22"/>
              <w:lang w:eastAsia="fr-FR"/>
            </w:rPr>
          </w:pPr>
          <w:hyperlink w:anchor="_Toc163141250" w:history="1">
            <w:r w:rsidR="00A733FA" w:rsidRPr="0037363D">
              <w:rPr>
                <w:rStyle w:val="Lienhypertexte"/>
                <w:rFonts w:cstheme="majorBidi"/>
                <w:noProof/>
              </w:rPr>
              <w:t>II.4.4.</w:t>
            </w:r>
            <w:r w:rsidR="00A733FA">
              <w:rPr>
                <w:rFonts w:asciiTheme="minorHAnsi" w:eastAsiaTheme="minorEastAsia" w:hAnsiTheme="minorHAnsi" w:cstheme="minorBidi"/>
                <w:noProof/>
                <w:sz w:val="22"/>
                <w:lang w:eastAsia="fr-FR"/>
              </w:rPr>
              <w:tab/>
            </w:r>
            <w:r w:rsidR="00A733FA" w:rsidRPr="0037363D">
              <w:rPr>
                <w:rStyle w:val="Lienhypertexte"/>
                <w:noProof/>
              </w:rPr>
              <w:t>Synthèse de la conduite du processus de réconciliation nationale et de la cohésion sociale</w:t>
            </w:r>
            <w:r w:rsidR="00A733FA">
              <w:rPr>
                <w:noProof/>
                <w:webHidden/>
              </w:rPr>
              <w:tab/>
            </w:r>
            <w:r w:rsidR="00A733FA">
              <w:rPr>
                <w:noProof/>
                <w:webHidden/>
              </w:rPr>
              <w:fldChar w:fldCharType="begin"/>
            </w:r>
            <w:r w:rsidR="00A733FA">
              <w:rPr>
                <w:noProof/>
                <w:webHidden/>
              </w:rPr>
              <w:instrText xml:space="preserve"> PAGEREF _Toc163141250 \h </w:instrText>
            </w:r>
            <w:r w:rsidR="00A733FA">
              <w:rPr>
                <w:noProof/>
                <w:webHidden/>
              </w:rPr>
            </w:r>
            <w:r w:rsidR="00A733FA">
              <w:rPr>
                <w:noProof/>
                <w:webHidden/>
              </w:rPr>
              <w:fldChar w:fldCharType="separate"/>
            </w:r>
            <w:r w:rsidR="007C2E4E">
              <w:rPr>
                <w:noProof/>
                <w:webHidden/>
              </w:rPr>
              <w:t>124</w:t>
            </w:r>
            <w:r w:rsidR="00A733FA">
              <w:rPr>
                <w:noProof/>
                <w:webHidden/>
              </w:rPr>
              <w:fldChar w:fldCharType="end"/>
            </w:r>
          </w:hyperlink>
        </w:p>
        <w:p w14:paraId="6EF5514F" w14:textId="58100222" w:rsidR="00A733FA" w:rsidRDefault="00183DC5">
          <w:pPr>
            <w:pStyle w:val="TM1"/>
            <w:tabs>
              <w:tab w:val="left" w:pos="720"/>
            </w:tabs>
            <w:rPr>
              <w:rFonts w:asciiTheme="minorHAnsi" w:eastAsiaTheme="minorEastAsia" w:hAnsiTheme="minorHAnsi" w:cstheme="minorBidi"/>
              <w:noProof/>
              <w:sz w:val="22"/>
              <w:lang w:eastAsia="fr-FR"/>
            </w:rPr>
          </w:pPr>
          <w:hyperlink w:anchor="_Toc163141251" w:history="1">
            <w:r w:rsidR="00A733FA" w:rsidRPr="0037363D">
              <w:rPr>
                <w:rStyle w:val="Lienhypertexte"/>
                <w:rFonts w:cstheme="majorBidi"/>
                <w:noProof/>
              </w:rPr>
              <w:t>III.</w:t>
            </w:r>
            <w:r w:rsidR="00A733FA">
              <w:rPr>
                <w:rFonts w:asciiTheme="minorHAnsi" w:eastAsiaTheme="minorEastAsia" w:hAnsiTheme="minorHAnsi" w:cstheme="minorBidi"/>
                <w:noProof/>
                <w:sz w:val="22"/>
                <w:lang w:eastAsia="fr-FR"/>
              </w:rPr>
              <w:tab/>
            </w:r>
            <w:r w:rsidR="00A733FA" w:rsidRPr="0037363D">
              <w:rPr>
                <w:rStyle w:val="Lienhypertexte"/>
                <w:noProof/>
              </w:rPr>
              <w:t>Dispositions de mise en œuvre, du suivi et d’évaluation de la politique nationale de développement en 2023</w:t>
            </w:r>
            <w:r w:rsidR="00A733FA">
              <w:rPr>
                <w:noProof/>
                <w:webHidden/>
              </w:rPr>
              <w:tab/>
            </w:r>
            <w:r w:rsidR="00A733FA">
              <w:rPr>
                <w:noProof/>
                <w:webHidden/>
              </w:rPr>
              <w:fldChar w:fldCharType="begin"/>
            </w:r>
            <w:r w:rsidR="00A733FA">
              <w:rPr>
                <w:noProof/>
                <w:webHidden/>
              </w:rPr>
              <w:instrText xml:space="preserve"> PAGEREF _Toc163141251 \h </w:instrText>
            </w:r>
            <w:r w:rsidR="00A733FA">
              <w:rPr>
                <w:noProof/>
                <w:webHidden/>
              </w:rPr>
            </w:r>
            <w:r w:rsidR="00A733FA">
              <w:rPr>
                <w:noProof/>
                <w:webHidden/>
              </w:rPr>
              <w:fldChar w:fldCharType="separate"/>
            </w:r>
            <w:r w:rsidR="007C2E4E">
              <w:rPr>
                <w:noProof/>
                <w:webHidden/>
              </w:rPr>
              <w:t>125</w:t>
            </w:r>
            <w:r w:rsidR="00A733FA">
              <w:rPr>
                <w:noProof/>
                <w:webHidden/>
              </w:rPr>
              <w:fldChar w:fldCharType="end"/>
            </w:r>
          </w:hyperlink>
        </w:p>
        <w:p w14:paraId="543D3969" w14:textId="11BB4102" w:rsidR="00A733FA" w:rsidRDefault="00183DC5">
          <w:pPr>
            <w:pStyle w:val="TM2"/>
            <w:tabs>
              <w:tab w:val="left" w:pos="1100"/>
              <w:tab w:val="right" w:leader="dot" w:pos="9016"/>
            </w:tabs>
            <w:rPr>
              <w:rFonts w:asciiTheme="minorHAnsi" w:eastAsiaTheme="minorEastAsia" w:hAnsiTheme="minorHAnsi" w:cstheme="minorBidi"/>
              <w:noProof/>
              <w:sz w:val="22"/>
              <w:lang w:eastAsia="fr-FR"/>
            </w:rPr>
          </w:pPr>
          <w:hyperlink w:anchor="_Toc163141252" w:history="1">
            <w:r w:rsidR="00A733FA" w:rsidRPr="0037363D">
              <w:rPr>
                <w:rStyle w:val="Lienhypertexte"/>
                <w:rFonts w:cstheme="majorBidi"/>
                <w:noProof/>
              </w:rPr>
              <w:t>III.1.</w:t>
            </w:r>
            <w:r w:rsidR="00A733FA">
              <w:rPr>
                <w:rFonts w:asciiTheme="minorHAnsi" w:eastAsiaTheme="minorEastAsia" w:hAnsiTheme="minorHAnsi" w:cstheme="minorBidi"/>
                <w:noProof/>
                <w:sz w:val="22"/>
                <w:lang w:eastAsia="fr-FR"/>
              </w:rPr>
              <w:tab/>
            </w:r>
            <w:r w:rsidR="00A733FA" w:rsidRPr="0037363D">
              <w:rPr>
                <w:rStyle w:val="Lienhypertexte"/>
                <w:noProof/>
              </w:rPr>
              <w:t>Fonctionnement des organes et instance du dispositif</w:t>
            </w:r>
            <w:r w:rsidR="00A733FA">
              <w:rPr>
                <w:noProof/>
                <w:webHidden/>
              </w:rPr>
              <w:tab/>
            </w:r>
            <w:r w:rsidR="00A733FA">
              <w:rPr>
                <w:noProof/>
                <w:webHidden/>
              </w:rPr>
              <w:fldChar w:fldCharType="begin"/>
            </w:r>
            <w:r w:rsidR="00A733FA">
              <w:rPr>
                <w:noProof/>
                <w:webHidden/>
              </w:rPr>
              <w:instrText xml:space="preserve"> PAGEREF _Toc163141252 \h </w:instrText>
            </w:r>
            <w:r w:rsidR="00A733FA">
              <w:rPr>
                <w:noProof/>
                <w:webHidden/>
              </w:rPr>
            </w:r>
            <w:r w:rsidR="00A733FA">
              <w:rPr>
                <w:noProof/>
                <w:webHidden/>
              </w:rPr>
              <w:fldChar w:fldCharType="separate"/>
            </w:r>
            <w:r w:rsidR="007C2E4E">
              <w:rPr>
                <w:noProof/>
                <w:webHidden/>
              </w:rPr>
              <w:t>125</w:t>
            </w:r>
            <w:r w:rsidR="00A733FA">
              <w:rPr>
                <w:noProof/>
                <w:webHidden/>
              </w:rPr>
              <w:fldChar w:fldCharType="end"/>
            </w:r>
          </w:hyperlink>
        </w:p>
        <w:p w14:paraId="4BD058C5" w14:textId="051039BE" w:rsidR="00A733FA" w:rsidRDefault="00183DC5">
          <w:pPr>
            <w:pStyle w:val="TM2"/>
            <w:tabs>
              <w:tab w:val="left" w:pos="1100"/>
              <w:tab w:val="right" w:leader="dot" w:pos="9016"/>
            </w:tabs>
            <w:rPr>
              <w:rFonts w:asciiTheme="minorHAnsi" w:eastAsiaTheme="minorEastAsia" w:hAnsiTheme="minorHAnsi" w:cstheme="minorBidi"/>
              <w:noProof/>
              <w:sz w:val="22"/>
              <w:lang w:eastAsia="fr-FR"/>
            </w:rPr>
          </w:pPr>
          <w:hyperlink w:anchor="_Toc163141253" w:history="1">
            <w:r w:rsidR="00A733FA" w:rsidRPr="0037363D">
              <w:rPr>
                <w:rStyle w:val="Lienhypertexte"/>
                <w:rFonts w:cstheme="majorBidi"/>
                <w:noProof/>
              </w:rPr>
              <w:t>III.2.</w:t>
            </w:r>
            <w:r w:rsidR="00A733FA">
              <w:rPr>
                <w:rFonts w:asciiTheme="minorHAnsi" w:eastAsiaTheme="minorEastAsia" w:hAnsiTheme="minorHAnsi" w:cstheme="minorBidi"/>
                <w:noProof/>
                <w:sz w:val="22"/>
                <w:lang w:eastAsia="fr-FR"/>
              </w:rPr>
              <w:tab/>
            </w:r>
            <w:r w:rsidR="00A733FA" w:rsidRPr="0037363D">
              <w:rPr>
                <w:rStyle w:val="Lienhypertexte"/>
                <w:noProof/>
              </w:rPr>
              <w:t>Financement de la Politique nationale de développement au 31 décembre 2023</w:t>
            </w:r>
            <w:r w:rsidR="00A733FA">
              <w:rPr>
                <w:noProof/>
                <w:webHidden/>
              </w:rPr>
              <w:tab/>
            </w:r>
            <w:r w:rsidR="00A733FA">
              <w:rPr>
                <w:noProof/>
                <w:webHidden/>
              </w:rPr>
              <w:fldChar w:fldCharType="begin"/>
            </w:r>
            <w:r w:rsidR="00A733FA">
              <w:rPr>
                <w:noProof/>
                <w:webHidden/>
              </w:rPr>
              <w:instrText xml:space="preserve"> PAGEREF _Toc163141253 \h </w:instrText>
            </w:r>
            <w:r w:rsidR="00A733FA">
              <w:rPr>
                <w:noProof/>
                <w:webHidden/>
              </w:rPr>
            </w:r>
            <w:r w:rsidR="00A733FA">
              <w:rPr>
                <w:noProof/>
                <w:webHidden/>
              </w:rPr>
              <w:fldChar w:fldCharType="separate"/>
            </w:r>
            <w:r w:rsidR="007C2E4E">
              <w:rPr>
                <w:noProof/>
                <w:webHidden/>
              </w:rPr>
              <w:t>127</w:t>
            </w:r>
            <w:r w:rsidR="00A733FA">
              <w:rPr>
                <w:noProof/>
                <w:webHidden/>
              </w:rPr>
              <w:fldChar w:fldCharType="end"/>
            </w:r>
          </w:hyperlink>
        </w:p>
        <w:p w14:paraId="12EA5F6D" w14:textId="0EF90DFD" w:rsidR="00A733FA" w:rsidRDefault="00183DC5">
          <w:pPr>
            <w:pStyle w:val="TM2"/>
            <w:tabs>
              <w:tab w:val="left" w:pos="1100"/>
              <w:tab w:val="right" w:leader="dot" w:pos="9016"/>
            </w:tabs>
            <w:rPr>
              <w:rFonts w:asciiTheme="minorHAnsi" w:eastAsiaTheme="minorEastAsia" w:hAnsiTheme="minorHAnsi" w:cstheme="minorBidi"/>
              <w:noProof/>
              <w:sz w:val="22"/>
              <w:lang w:eastAsia="fr-FR"/>
            </w:rPr>
          </w:pPr>
          <w:hyperlink w:anchor="_Toc163141254" w:history="1">
            <w:r w:rsidR="00A733FA" w:rsidRPr="0037363D">
              <w:rPr>
                <w:rStyle w:val="Lienhypertexte"/>
                <w:rFonts w:cstheme="majorBidi"/>
                <w:noProof/>
              </w:rPr>
              <w:t>III.3.</w:t>
            </w:r>
            <w:r w:rsidR="00A733FA">
              <w:rPr>
                <w:rFonts w:asciiTheme="minorHAnsi" w:eastAsiaTheme="minorEastAsia" w:hAnsiTheme="minorHAnsi" w:cstheme="minorBidi"/>
                <w:noProof/>
                <w:sz w:val="22"/>
                <w:lang w:eastAsia="fr-FR"/>
              </w:rPr>
              <w:tab/>
            </w:r>
            <w:r w:rsidR="00A733FA" w:rsidRPr="0037363D">
              <w:rPr>
                <w:rStyle w:val="Lienhypertexte"/>
                <w:noProof/>
              </w:rPr>
              <w:t>Analyse de l'efficacité de la coopération au développement</w:t>
            </w:r>
            <w:r w:rsidR="00A733FA">
              <w:rPr>
                <w:noProof/>
                <w:webHidden/>
              </w:rPr>
              <w:tab/>
            </w:r>
            <w:r w:rsidR="00A733FA">
              <w:rPr>
                <w:noProof/>
                <w:webHidden/>
              </w:rPr>
              <w:fldChar w:fldCharType="begin"/>
            </w:r>
            <w:r w:rsidR="00A733FA">
              <w:rPr>
                <w:noProof/>
                <w:webHidden/>
              </w:rPr>
              <w:instrText xml:space="preserve"> PAGEREF _Toc163141254 \h </w:instrText>
            </w:r>
            <w:r w:rsidR="00A733FA">
              <w:rPr>
                <w:noProof/>
                <w:webHidden/>
              </w:rPr>
            </w:r>
            <w:r w:rsidR="00A733FA">
              <w:rPr>
                <w:noProof/>
                <w:webHidden/>
              </w:rPr>
              <w:fldChar w:fldCharType="separate"/>
            </w:r>
            <w:r w:rsidR="007C2E4E">
              <w:rPr>
                <w:noProof/>
                <w:webHidden/>
              </w:rPr>
              <w:t>129</w:t>
            </w:r>
            <w:r w:rsidR="00A733FA">
              <w:rPr>
                <w:noProof/>
                <w:webHidden/>
              </w:rPr>
              <w:fldChar w:fldCharType="end"/>
            </w:r>
          </w:hyperlink>
        </w:p>
        <w:p w14:paraId="445B949E" w14:textId="52ABE8BD" w:rsidR="00A733FA" w:rsidRDefault="00183DC5">
          <w:pPr>
            <w:pStyle w:val="TM1"/>
            <w:rPr>
              <w:rFonts w:asciiTheme="minorHAnsi" w:eastAsiaTheme="minorEastAsia" w:hAnsiTheme="minorHAnsi" w:cstheme="minorBidi"/>
              <w:noProof/>
              <w:sz w:val="22"/>
              <w:lang w:eastAsia="fr-FR"/>
            </w:rPr>
          </w:pPr>
          <w:hyperlink w:anchor="_Toc163141255" w:history="1">
            <w:r w:rsidR="00A733FA" w:rsidRPr="0037363D">
              <w:rPr>
                <w:rStyle w:val="Lienhypertexte"/>
                <w:noProof/>
              </w:rPr>
              <w:t>Conclusion</w:t>
            </w:r>
            <w:r w:rsidR="00A733FA">
              <w:rPr>
                <w:noProof/>
                <w:webHidden/>
              </w:rPr>
              <w:tab/>
            </w:r>
            <w:r w:rsidR="00A733FA">
              <w:rPr>
                <w:noProof/>
                <w:webHidden/>
              </w:rPr>
              <w:fldChar w:fldCharType="begin"/>
            </w:r>
            <w:r w:rsidR="00A733FA">
              <w:rPr>
                <w:noProof/>
                <w:webHidden/>
              </w:rPr>
              <w:instrText xml:space="preserve"> PAGEREF _Toc163141255 \h </w:instrText>
            </w:r>
            <w:r w:rsidR="00A733FA">
              <w:rPr>
                <w:noProof/>
                <w:webHidden/>
              </w:rPr>
            </w:r>
            <w:r w:rsidR="00A733FA">
              <w:rPr>
                <w:noProof/>
                <w:webHidden/>
              </w:rPr>
              <w:fldChar w:fldCharType="separate"/>
            </w:r>
            <w:r w:rsidR="007C2E4E">
              <w:rPr>
                <w:noProof/>
                <w:webHidden/>
              </w:rPr>
              <w:t>132</w:t>
            </w:r>
            <w:r w:rsidR="00A733FA">
              <w:rPr>
                <w:noProof/>
                <w:webHidden/>
              </w:rPr>
              <w:fldChar w:fldCharType="end"/>
            </w:r>
          </w:hyperlink>
        </w:p>
        <w:p w14:paraId="28DD344B" w14:textId="0EE4AB0A" w:rsidR="008112E6" w:rsidRPr="003B1C34" w:rsidRDefault="00F84D97" w:rsidP="003B1C34">
          <w:pPr>
            <w:rPr>
              <w:b/>
              <w:bCs/>
            </w:rPr>
          </w:pPr>
          <w:r w:rsidRPr="008D2129">
            <w:rPr>
              <w:b/>
              <w:bCs/>
            </w:rPr>
            <w:fldChar w:fldCharType="end"/>
          </w:r>
        </w:p>
      </w:sdtContent>
    </w:sdt>
    <w:sectPr w:rsidR="008112E6" w:rsidRPr="003B1C34" w:rsidSect="007E167D">
      <w:footerReference w:type="default" r:id="rId13"/>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3B721" w14:textId="77777777" w:rsidR="00183DC5" w:rsidRDefault="00183DC5" w:rsidP="00ED1947">
      <w:pPr>
        <w:spacing w:after="0" w:line="240" w:lineRule="auto"/>
      </w:pPr>
      <w:r>
        <w:separator/>
      </w:r>
    </w:p>
  </w:endnote>
  <w:endnote w:type="continuationSeparator" w:id="0">
    <w:p w14:paraId="453399E6" w14:textId="77777777" w:rsidR="00183DC5" w:rsidRDefault="00183DC5" w:rsidP="00ED1947">
      <w:pPr>
        <w:spacing w:after="0" w:line="240" w:lineRule="auto"/>
      </w:pPr>
      <w:r>
        <w:continuationSeparator/>
      </w:r>
    </w:p>
  </w:endnote>
  <w:endnote w:type="continuationNotice" w:id="1">
    <w:p w14:paraId="1385DC7D" w14:textId="77777777" w:rsidR="00183DC5" w:rsidRDefault="00183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Corps CS)">
    <w:altName w:val="Times New Roman"/>
    <w:panose1 w:val="00000000000000000000"/>
    <w:charset w:val="00"/>
    <w:family w:val="roman"/>
    <w:notTrueType/>
    <w:pitch w:val="default"/>
  </w:font>
  <w:font w:name="Times New Roman (Titre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Nova Mono">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958588"/>
      <w:docPartObj>
        <w:docPartGallery w:val="Page Numbers (Bottom of Page)"/>
        <w:docPartUnique/>
      </w:docPartObj>
    </w:sdtPr>
    <w:sdtEndPr/>
    <w:sdtContent>
      <w:p w14:paraId="02CA61F0" w14:textId="77777777" w:rsidR="00F346FB" w:rsidRDefault="00F346FB">
        <w:pPr>
          <w:pStyle w:val="Pieddepage"/>
          <w:jc w:val="right"/>
        </w:pPr>
        <w:r>
          <w:fldChar w:fldCharType="begin"/>
        </w:r>
        <w:r>
          <w:instrText>PAGE   \* MERGEFORMAT</w:instrText>
        </w:r>
        <w:r>
          <w:fldChar w:fldCharType="separate"/>
        </w:r>
        <w:r>
          <w:rPr>
            <w:noProof/>
          </w:rPr>
          <w:t>16</w:t>
        </w:r>
        <w:r>
          <w:fldChar w:fldCharType="end"/>
        </w:r>
      </w:p>
    </w:sdtContent>
  </w:sdt>
  <w:p w14:paraId="291BE412" w14:textId="77777777" w:rsidR="00F346FB" w:rsidRDefault="00F346F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568"/>
      <w:docPartObj>
        <w:docPartGallery w:val="Page Numbers (Bottom of Page)"/>
        <w:docPartUnique/>
      </w:docPartObj>
    </w:sdtPr>
    <w:sdtEndPr/>
    <w:sdtContent>
      <w:p w14:paraId="0549241F" w14:textId="02171775" w:rsidR="00F346FB" w:rsidRDefault="00F346FB">
        <w:pPr>
          <w:pStyle w:val="Pieddepage"/>
          <w:jc w:val="right"/>
        </w:pPr>
        <w:r>
          <w:fldChar w:fldCharType="begin"/>
        </w:r>
        <w:r>
          <w:instrText>PAGE   \* MERGEFORMAT</w:instrText>
        </w:r>
        <w:r>
          <w:fldChar w:fldCharType="separate"/>
        </w:r>
        <w:r w:rsidR="00466AD4">
          <w:rPr>
            <w:noProof/>
          </w:rPr>
          <w:t>3</w:t>
        </w:r>
        <w:r>
          <w:fldChar w:fldCharType="end"/>
        </w:r>
      </w:p>
    </w:sdtContent>
  </w:sdt>
  <w:p w14:paraId="49789980" w14:textId="77777777" w:rsidR="00F346FB" w:rsidRDefault="00F346FB">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682586"/>
      <w:docPartObj>
        <w:docPartGallery w:val="Page Numbers (Bottom of Page)"/>
        <w:docPartUnique/>
      </w:docPartObj>
    </w:sdtPr>
    <w:sdtEndPr/>
    <w:sdtContent>
      <w:p w14:paraId="4CB43B71" w14:textId="66D4D88C" w:rsidR="00F346FB" w:rsidRDefault="00F346FB">
        <w:pPr>
          <w:pStyle w:val="Pieddepage"/>
          <w:jc w:val="right"/>
        </w:pPr>
        <w:r>
          <w:fldChar w:fldCharType="begin"/>
        </w:r>
        <w:r>
          <w:instrText>PAGE   \* MERGEFORMAT</w:instrText>
        </w:r>
        <w:r>
          <w:fldChar w:fldCharType="separate"/>
        </w:r>
        <w:r w:rsidR="00466AD4">
          <w:rPr>
            <w:noProof/>
          </w:rPr>
          <w:t>ii</w:t>
        </w:r>
        <w:r>
          <w:fldChar w:fldCharType="end"/>
        </w:r>
      </w:p>
    </w:sdtContent>
  </w:sdt>
  <w:p w14:paraId="5242628A" w14:textId="77777777" w:rsidR="00F346FB" w:rsidRDefault="00F346F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04945" w14:textId="77777777" w:rsidR="00183DC5" w:rsidRDefault="00183DC5" w:rsidP="00ED1947">
      <w:pPr>
        <w:spacing w:after="0" w:line="240" w:lineRule="auto"/>
      </w:pPr>
      <w:r>
        <w:separator/>
      </w:r>
    </w:p>
  </w:footnote>
  <w:footnote w:type="continuationSeparator" w:id="0">
    <w:p w14:paraId="10B26DE3" w14:textId="77777777" w:rsidR="00183DC5" w:rsidRDefault="00183DC5" w:rsidP="00ED1947">
      <w:pPr>
        <w:spacing w:after="0" w:line="240" w:lineRule="auto"/>
      </w:pPr>
      <w:r>
        <w:continuationSeparator/>
      </w:r>
    </w:p>
  </w:footnote>
  <w:footnote w:type="continuationNotice" w:id="1">
    <w:p w14:paraId="1598EB91" w14:textId="77777777" w:rsidR="00183DC5" w:rsidRDefault="00183DC5">
      <w:pPr>
        <w:spacing w:after="0" w:line="240" w:lineRule="auto"/>
      </w:pPr>
    </w:p>
  </w:footnote>
  <w:footnote w:id="2">
    <w:p w14:paraId="17D58EE5" w14:textId="5F4A8002" w:rsidR="00F346FB" w:rsidRDefault="00F346FB">
      <w:pPr>
        <w:pStyle w:val="Notedebasdepage"/>
      </w:pPr>
      <w:r>
        <w:rPr>
          <w:rStyle w:val="Appelnotedebasdep"/>
        </w:rPr>
        <w:footnoteRef/>
      </w:r>
      <w:r>
        <w:t xml:space="preserve"> </w:t>
      </w:r>
      <w:r>
        <w:rPr>
          <w:color w:val="000000"/>
          <w:sz w:val="18"/>
          <w:szCs w:val="18"/>
        </w:rPr>
        <w:t>Décret n°2023-1276/PRES-TRANS/PM/MDICAPME/MEFP du 05 octobre 2023</w:t>
      </w:r>
    </w:p>
  </w:footnote>
  <w:footnote w:id="3">
    <w:p w14:paraId="51458583" w14:textId="1EFBE258" w:rsidR="00F346FB" w:rsidRDefault="00F346FB" w:rsidP="008139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Il s'agit entre autres de la plateforme de gestion électronique des </w:t>
      </w:r>
      <w:proofErr w:type="spellStart"/>
      <w:r>
        <w:rPr>
          <w:rFonts w:ascii="Times New Roman" w:eastAsia="Times New Roman" w:hAnsi="Times New Roman" w:cs="Times New Roman"/>
          <w:color w:val="000000"/>
          <w:sz w:val="18"/>
          <w:szCs w:val="18"/>
        </w:rPr>
        <w:t>audiences,Système</w:t>
      </w:r>
      <w:proofErr w:type="spellEnd"/>
      <w:r>
        <w:rPr>
          <w:rFonts w:ascii="Times New Roman" w:eastAsia="Times New Roman" w:hAnsi="Times New Roman" w:cs="Times New Roman"/>
          <w:color w:val="000000"/>
          <w:sz w:val="18"/>
          <w:szCs w:val="18"/>
        </w:rPr>
        <w:t xml:space="preserve"> de gestion des contrats d'objectifs et d'évaluation des ministres, </w:t>
      </w:r>
      <w:proofErr w:type="spellStart"/>
      <w:r>
        <w:rPr>
          <w:rFonts w:ascii="Times New Roman" w:eastAsia="Times New Roman" w:hAnsi="Times New Roman" w:cs="Times New Roman"/>
          <w:color w:val="000000"/>
          <w:sz w:val="18"/>
          <w:szCs w:val="18"/>
        </w:rPr>
        <w:t>eTimbre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ecadastre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etitre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SyLEP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eBulletin</w:t>
      </w:r>
      <w:proofErr w:type="spellEnd"/>
      <w:r>
        <w:rPr>
          <w:rFonts w:ascii="Times New Roman" w:eastAsia="Times New Roman" w:hAnsi="Times New Roman" w:cs="Times New Roman"/>
          <w:color w:val="000000"/>
          <w:sz w:val="18"/>
          <w:szCs w:val="18"/>
        </w:rPr>
        <w:t xml:space="preserve">, GIM-UEOMA, </w:t>
      </w:r>
      <w:proofErr w:type="spellStart"/>
      <w:r>
        <w:rPr>
          <w:rFonts w:ascii="Times New Roman" w:eastAsia="Times New Roman" w:hAnsi="Times New Roman" w:cs="Times New Roman"/>
          <w:color w:val="000000"/>
          <w:sz w:val="18"/>
          <w:szCs w:val="18"/>
        </w:rPr>
        <w:t>Magri</w:t>
      </w:r>
      <w:proofErr w:type="spellEnd"/>
      <w:r>
        <w:rPr>
          <w:rFonts w:ascii="Times New Roman" w:eastAsia="Times New Roman" w:hAnsi="Times New Roman" w:cs="Times New Roman"/>
          <w:color w:val="000000"/>
          <w:sz w:val="18"/>
          <w:szCs w:val="18"/>
        </w:rPr>
        <w:t xml:space="preserve"> ,Autorisation d'Enseigner, Equivalence des Titres et Diplômes, FIB, Plateforme SI-ODM, </w:t>
      </w:r>
      <w:proofErr w:type="spellStart"/>
      <w:r>
        <w:rPr>
          <w:rFonts w:ascii="Times New Roman" w:eastAsia="Times New Roman" w:hAnsi="Times New Roman" w:cs="Times New Roman"/>
          <w:color w:val="000000"/>
          <w:sz w:val="18"/>
          <w:szCs w:val="18"/>
        </w:rPr>
        <w:t>eCasier</w:t>
      </w:r>
      <w:proofErr w:type="spellEnd"/>
      <w:r>
        <w:rPr>
          <w:rFonts w:ascii="Times New Roman" w:eastAsia="Times New Roman" w:hAnsi="Times New Roman" w:cs="Times New Roman"/>
          <w:color w:val="000000"/>
          <w:sz w:val="18"/>
          <w:szCs w:val="18"/>
        </w:rPr>
        <w:t xml:space="preserve"> judiciaire, Système de gestion des personnes placées sous-main de justice, Gestion des agréments techniques en matière informatique, Evaluation de la maturité numérique, Système d’Archivage électronique des Documents, Dashboard Multisectoriel de nutrition du Burkina Faso (DMN-BF), </w:t>
      </w:r>
      <w:proofErr w:type="spellStart"/>
      <w:r>
        <w:rPr>
          <w:rFonts w:ascii="Times New Roman" w:eastAsia="Times New Roman" w:hAnsi="Times New Roman" w:cs="Times New Roman"/>
          <w:color w:val="000000"/>
          <w:sz w:val="18"/>
          <w:szCs w:val="18"/>
        </w:rPr>
        <w:t>eFLUXFINANCIER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eSMT</w:t>
      </w:r>
      <w:proofErr w:type="spellEnd"/>
      <w:r>
        <w:rPr>
          <w:rFonts w:ascii="Times New Roman" w:eastAsia="Times New Roman" w:hAnsi="Times New Roman" w:cs="Times New Roman"/>
          <w:color w:val="000000"/>
          <w:sz w:val="18"/>
          <w:szCs w:val="18"/>
        </w:rPr>
        <w:t xml:space="preserve">, Facture individuelle de soins (FIS), MFL, </w:t>
      </w:r>
      <w:proofErr w:type="spellStart"/>
      <w:r>
        <w:rPr>
          <w:rFonts w:ascii="Times New Roman" w:eastAsia="Times New Roman" w:hAnsi="Times New Roman" w:cs="Times New Roman"/>
          <w:color w:val="000000"/>
          <w:sz w:val="18"/>
          <w:szCs w:val="18"/>
        </w:rPr>
        <w:t>NetSIGL</w:t>
      </w:r>
      <w:proofErr w:type="spellEnd"/>
      <w:r>
        <w:rPr>
          <w:rFonts w:ascii="Times New Roman" w:eastAsia="Times New Roman" w:hAnsi="Times New Roman" w:cs="Times New Roman"/>
          <w:color w:val="000000"/>
          <w:sz w:val="18"/>
          <w:szCs w:val="18"/>
        </w:rPr>
        <w:t xml:space="preserve"> 2, REDOP (Répertoire des données du paludisme), </w:t>
      </w:r>
      <w:proofErr w:type="spellStart"/>
      <w:r>
        <w:rPr>
          <w:rFonts w:ascii="Times New Roman" w:eastAsia="Times New Roman" w:hAnsi="Times New Roman" w:cs="Times New Roman"/>
          <w:color w:val="000000"/>
          <w:sz w:val="18"/>
          <w:szCs w:val="18"/>
        </w:rPr>
        <w:t>eConcours</w:t>
      </w:r>
      <w:proofErr w:type="spellEnd"/>
      <w:r>
        <w:rPr>
          <w:rFonts w:ascii="Times New Roman" w:eastAsia="Times New Roman" w:hAnsi="Times New Roman" w:cs="Times New Roman"/>
          <w:color w:val="000000"/>
          <w:sz w:val="18"/>
          <w:szCs w:val="18"/>
        </w:rPr>
        <w:t xml:space="preserve">, expertise-publique, Plateforme d'enrôlement biométrique des PDI, Application de Gestion des stocks de vivres et non-vivres, SIGED, </w:t>
      </w:r>
      <w:proofErr w:type="spellStart"/>
      <w:r>
        <w:rPr>
          <w:rFonts w:ascii="Times New Roman" w:eastAsia="Times New Roman" w:hAnsi="Times New Roman" w:cs="Times New Roman"/>
          <w:color w:val="000000"/>
          <w:sz w:val="18"/>
          <w:szCs w:val="18"/>
        </w:rPr>
        <w:t>eVisa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eContravention</w:t>
      </w:r>
      <w:proofErr w:type="spellEnd"/>
      <w:r>
        <w:rPr>
          <w:rFonts w:ascii="Times New Roman" w:eastAsia="Times New Roman" w:hAnsi="Times New Roman" w:cs="Times New Roman"/>
          <w:color w:val="000000"/>
          <w:sz w:val="18"/>
          <w:szCs w:val="18"/>
        </w:rPr>
        <w:t>.</w:t>
      </w:r>
    </w:p>
  </w:footnote>
  <w:footnote w:id="4">
    <w:p w14:paraId="52D2C9D7" w14:textId="77777777" w:rsidR="00F346FB" w:rsidRDefault="00F346FB" w:rsidP="00987C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Appelnotedebasdep"/>
        </w:rPr>
        <w:footnoteRef/>
      </w:r>
      <w:r>
        <w:t xml:space="preserve"> </w:t>
      </w:r>
      <w:r>
        <w:rPr>
          <w:rFonts w:ascii="Times New Roman" w:eastAsia="Times New Roman" w:hAnsi="Times New Roman" w:cs="Times New Roman"/>
          <w:color w:val="000000"/>
          <w:sz w:val="20"/>
          <w:szCs w:val="20"/>
        </w:rPr>
        <w:t>Loi n°008-2023/ALT du 20 juin 2023 portant promotion immobilière au Burkina Faso ;</w:t>
      </w:r>
    </w:p>
    <w:p w14:paraId="7B962301" w14:textId="77777777" w:rsidR="00F346FB" w:rsidRDefault="00F346FB" w:rsidP="00987C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Décret N°2023-1483/PRES-TRANS/PM/MUAFH/MATDS/MEFP portant cahier des charges générales applicable aux zones de promotion immobilière au Burkina Faso ;</w:t>
      </w:r>
    </w:p>
    <w:p w14:paraId="49C9DEC4" w14:textId="77777777" w:rsidR="00F346FB" w:rsidRDefault="00F346FB" w:rsidP="00987C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Décret N°2023-1482/PRES-TRANS/PM/MUAFH/MATDS/MEFP portant conditions d’obtention, de renouvellement, de suspension et de retrait des agréments de promotion immobilière et de coopérative de logement social ;</w:t>
      </w:r>
    </w:p>
    <w:p w14:paraId="6073D35A" w14:textId="77777777" w:rsidR="00F346FB" w:rsidRDefault="00F346FB" w:rsidP="00987C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Décret N°2023-1484/PRES-TRANS/PM/MUAFH/MATDS/MEFP portant contenu et procédure d’approbation et de réalisation du projet ou du programme immobilier ;</w:t>
      </w:r>
    </w:p>
    <w:p w14:paraId="56800ED7" w14:textId="77777777" w:rsidR="00F346FB" w:rsidRDefault="00F346FB" w:rsidP="00987C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Décret N°2023-1520/PRES-TRANS/PM/MUAFH/MATDS/MEFP portant modalités d’attribution des avantages particuliers et spécifiques aux promoteurs immobiliers et à la coopérative de logement social. </w:t>
      </w:r>
    </w:p>
    <w:p w14:paraId="7BC7A206" w14:textId="703F7A5D" w:rsidR="00F346FB" w:rsidRDefault="00F346FB">
      <w:pPr>
        <w:pStyle w:val="Notedebasdepage"/>
      </w:pPr>
    </w:p>
  </w:footnote>
  <w:footnote w:id="5">
    <w:p w14:paraId="2F774287" w14:textId="05C62188" w:rsidR="00F346FB" w:rsidRPr="00F175A7" w:rsidRDefault="00F346FB" w:rsidP="000C37D3">
      <w:pPr>
        <w:rPr>
          <w:sz w:val="22"/>
        </w:rPr>
      </w:pPr>
      <w:r>
        <w:rPr>
          <w:vertAlign w:val="superscript"/>
        </w:rPr>
        <w:footnoteRef/>
      </w:r>
      <w:r>
        <w:t xml:space="preserve"> </w:t>
      </w:r>
      <w:r w:rsidRPr="00F175A7">
        <w:rPr>
          <w:sz w:val="22"/>
        </w:rPr>
        <w:t>Il s’agit de la 28</w:t>
      </w:r>
      <w:r>
        <w:rPr>
          <w:sz w:val="22"/>
          <w:vertAlign w:val="superscript"/>
        </w:rPr>
        <w:t>e</w:t>
      </w:r>
      <w:r w:rsidRPr="00F175A7">
        <w:rPr>
          <w:sz w:val="22"/>
        </w:rPr>
        <w:t xml:space="preserve"> édition du Festival panafricain du cinéma et de la télévision de Ouagadougou (FESPACO), la 20</w:t>
      </w:r>
      <w:r>
        <w:rPr>
          <w:sz w:val="22"/>
          <w:vertAlign w:val="superscript"/>
        </w:rPr>
        <w:t>e</w:t>
      </w:r>
      <w:r w:rsidRPr="00F175A7">
        <w:rPr>
          <w:sz w:val="22"/>
        </w:rPr>
        <w:t xml:space="preserve"> édition de la Semaine nationale de la culture (SNC), la 17</w:t>
      </w:r>
      <w:r>
        <w:rPr>
          <w:sz w:val="22"/>
          <w:vertAlign w:val="superscript"/>
        </w:rPr>
        <w:t>e</w:t>
      </w:r>
      <w:r w:rsidRPr="00F175A7">
        <w:rPr>
          <w:sz w:val="22"/>
        </w:rPr>
        <w:t xml:space="preserve"> édition de la Foire internationale du livre de Ouagadougou (FILO), la 5</w:t>
      </w:r>
      <w:r>
        <w:rPr>
          <w:sz w:val="22"/>
          <w:vertAlign w:val="superscript"/>
        </w:rPr>
        <w:t>e</w:t>
      </w:r>
      <w:r w:rsidRPr="00F175A7">
        <w:rPr>
          <w:sz w:val="22"/>
        </w:rPr>
        <w:t xml:space="preserve"> édition du Prix national de l'entrepreneur touristique (PNET) et la 13</w:t>
      </w:r>
      <w:r>
        <w:rPr>
          <w:sz w:val="22"/>
          <w:vertAlign w:val="superscript"/>
        </w:rPr>
        <w:t>e</w:t>
      </w:r>
      <w:r w:rsidRPr="00F175A7">
        <w:rPr>
          <w:sz w:val="22"/>
        </w:rPr>
        <w:t xml:space="preserve"> édition du Salon international du tourisme et de l'hôtellerie de Ouagadougou (SITHO) couplée à la 5</w:t>
      </w:r>
      <w:r>
        <w:rPr>
          <w:sz w:val="22"/>
          <w:vertAlign w:val="superscript"/>
        </w:rPr>
        <w:t>e</w:t>
      </w:r>
      <w:r w:rsidRPr="00F175A7">
        <w:rPr>
          <w:sz w:val="22"/>
        </w:rPr>
        <w:t xml:space="preserve"> édition de la </w:t>
      </w:r>
      <w:r>
        <w:rPr>
          <w:sz w:val="22"/>
        </w:rPr>
        <w:t>V</w:t>
      </w:r>
      <w:r w:rsidRPr="00F175A7">
        <w:rPr>
          <w:sz w:val="22"/>
        </w:rPr>
        <w:t>itrine internationale du tourisme et de l’hôtellerie (VITHRO)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581A" w14:textId="77777777" w:rsidR="00F346FB" w:rsidRDefault="00F346F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593"/>
    <w:multiLevelType w:val="multilevel"/>
    <w:tmpl w:val="460EE00A"/>
    <w:lvl w:ilvl="0">
      <w:start w:val="1"/>
      <w:numFmt w:val="decimal"/>
      <w:lvlText w:val="%1."/>
      <w:lvlJc w:val="left"/>
      <w:pPr>
        <w:ind w:left="720" w:hanging="720"/>
      </w:pPr>
      <w:rPr>
        <w:rFonts w:ascii="Constantia" w:hAnsi="Constantia" w:cs="Times New Roman" w:hint="default"/>
        <w:b w:val="0"/>
        <w:color w:val="auto"/>
        <w:lang w:val="fr-FR"/>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2B46256"/>
    <w:multiLevelType w:val="multilevel"/>
    <w:tmpl w:val="C862CD70"/>
    <w:lvl w:ilvl="0">
      <w:start w:val="1"/>
      <w:numFmt w:val="upperRoman"/>
      <w:pStyle w:val="PNDES1"/>
      <w:lvlText w:val="%1."/>
      <w:lvlJc w:val="right"/>
      <w:pPr>
        <w:ind w:left="644" w:hanging="360"/>
      </w:pPr>
      <w:rPr>
        <w:rFonts w:hint="default"/>
        <w:i w:val="0"/>
      </w:rPr>
    </w:lvl>
    <w:lvl w:ilvl="1">
      <w:start w:val="1"/>
      <w:numFmt w:val="decimal"/>
      <w:pStyle w:val="PNDES2"/>
      <w:lvlText w:val="%1.%2."/>
      <w:lvlJc w:val="left"/>
      <w:pPr>
        <w:ind w:left="1076" w:hanging="432"/>
      </w:pPr>
      <w:rPr>
        <w:rFonts w:hint="default"/>
      </w:rPr>
    </w:lvl>
    <w:lvl w:ilvl="2">
      <w:start w:val="1"/>
      <w:numFmt w:val="decimal"/>
      <w:pStyle w:val="PNDES3"/>
      <w:lvlText w:val="%1.%2.%3."/>
      <w:lvlJc w:val="left"/>
      <w:pPr>
        <w:ind w:left="720" w:hanging="720"/>
      </w:pPr>
      <w:rPr>
        <w:rFonts w:hint="default"/>
        <w:b/>
        <w:i w:val="0"/>
      </w:rPr>
    </w:lvl>
    <w:lvl w:ilvl="3">
      <w:start w:val="1"/>
      <w:numFmt w:val="decimal"/>
      <w:pStyle w:val="PNDES4"/>
      <w:lvlText w:val="%1.%2.%3.%4."/>
      <w:lvlJc w:val="left"/>
      <w:pPr>
        <w:ind w:left="1074" w:hanging="64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CSDSEA"/>
      <w:lvlText w:val="%1.%2.%3.%4.%5."/>
      <w:lvlJc w:val="left"/>
      <w:pPr>
        <w:ind w:left="6463" w:hanging="792"/>
      </w:pPr>
      <w:rPr>
        <w:rFonts w:hint="default"/>
      </w:rPr>
    </w:lvl>
    <w:lvl w:ilvl="5">
      <w:start w:val="1"/>
      <w:numFmt w:val="decimal"/>
      <w:lvlText w:val="%1.%2.%3.%4.%5.%6."/>
      <w:lvlJc w:val="left"/>
      <w:pPr>
        <w:ind w:left="1788"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 w15:restartNumberingAfterBreak="0">
    <w:nsid w:val="03D9404B"/>
    <w:multiLevelType w:val="hybridMultilevel"/>
    <w:tmpl w:val="5CC08A20"/>
    <w:lvl w:ilvl="0" w:tplc="681A1420">
      <w:start w:val="1"/>
      <w:numFmt w:val="decimal"/>
      <w:lvlText w:val="%1."/>
      <w:lvlJc w:val="left"/>
      <w:pPr>
        <w:tabs>
          <w:tab w:val="num" w:pos="720"/>
        </w:tabs>
        <w:ind w:left="720" w:hanging="360"/>
      </w:pPr>
    </w:lvl>
    <w:lvl w:ilvl="1" w:tplc="7E089722" w:tentative="1">
      <w:start w:val="1"/>
      <w:numFmt w:val="decimal"/>
      <w:lvlText w:val="%2."/>
      <w:lvlJc w:val="left"/>
      <w:pPr>
        <w:tabs>
          <w:tab w:val="num" w:pos="1440"/>
        </w:tabs>
        <w:ind w:left="1440" w:hanging="360"/>
      </w:pPr>
    </w:lvl>
    <w:lvl w:ilvl="2" w:tplc="6E4842E4" w:tentative="1">
      <w:start w:val="1"/>
      <w:numFmt w:val="decimal"/>
      <w:lvlText w:val="%3."/>
      <w:lvlJc w:val="left"/>
      <w:pPr>
        <w:tabs>
          <w:tab w:val="num" w:pos="2160"/>
        </w:tabs>
        <w:ind w:left="2160" w:hanging="360"/>
      </w:pPr>
    </w:lvl>
    <w:lvl w:ilvl="3" w:tplc="80EA24B8" w:tentative="1">
      <w:start w:val="1"/>
      <w:numFmt w:val="decimal"/>
      <w:lvlText w:val="%4."/>
      <w:lvlJc w:val="left"/>
      <w:pPr>
        <w:tabs>
          <w:tab w:val="num" w:pos="2880"/>
        </w:tabs>
        <w:ind w:left="2880" w:hanging="360"/>
      </w:pPr>
    </w:lvl>
    <w:lvl w:ilvl="4" w:tplc="30C8B9AE" w:tentative="1">
      <w:start w:val="1"/>
      <w:numFmt w:val="decimal"/>
      <w:lvlText w:val="%5."/>
      <w:lvlJc w:val="left"/>
      <w:pPr>
        <w:tabs>
          <w:tab w:val="num" w:pos="3600"/>
        </w:tabs>
        <w:ind w:left="3600" w:hanging="360"/>
      </w:pPr>
    </w:lvl>
    <w:lvl w:ilvl="5" w:tplc="EF925FE8" w:tentative="1">
      <w:start w:val="1"/>
      <w:numFmt w:val="decimal"/>
      <w:lvlText w:val="%6."/>
      <w:lvlJc w:val="left"/>
      <w:pPr>
        <w:tabs>
          <w:tab w:val="num" w:pos="4320"/>
        </w:tabs>
        <w:ind w:left="4320" w:hanging="360"/>
      </w:pPr>
    </w:lvl>
    <w:lvl w:ilvl="6" w:tplc="D0944758" w:tentative="1">
      <w:start w:val="1"/>
      <w:numFmt w:val="decimal"/>
      <w:lvlText w:val="%7."/>
      <w:lvlJc w:val="left"/>
      <w:pPr>
        <w:tabs>
          <w:tab w:val="num" w:pos="5040"/>
        </w:tabs>
        <w:ind w:left="5040" w:hanging="360"/>
      </w:pPr>
    </w:lvl>
    <w:lvl w:ilvl="7" w:tplc="864A2602" w:tentative="1">
      <w:start w:val="1"/>
      <w:numFmt w:val="decimal"/>
      <w:lvlText w:val="%8."/>
      <w:lvlJc w:val="left"/>
      <w:pPr>
        <w:tabs>
          <w:tab w:val="num" w:pos="5760"/>
        </w:tabs>
        <w:ind w:left="5760" w:hanging="360"/>
      </w:pPr>
    </w:lvl>
    <w:lvl w:ilvl="8" w:tplc="89726958" w:tentative="1">
      <w:start w:val="1"/>
      <w:numFmt w:val="decimal"/>
      <w:lvlText w:val="%9."/>
      <w:lvlJc w:val="left"/>
      <w:pPr>
        <w:tabs>
          <w:tab w:val="num" w:pos="6480"/>
        </w:tabs>
        <w:ind w:left="6480" w:hanging="360"/>
      </w:pPr>
    </w:lvl>
  </w:abstractNum>
  <w:abstractNum w:abstractNumId="3" w15:restartNumberingAfterBreak="0">
    <w:nsid w:val="2B0D5764"/>
    <w:multiLevelType w:val="multilevel"/>
    <w:tmpl w:val="CFB601CE"/>
    <w:lvl w:ilvl="0">
      <w:start w:val="1"/>
      <w:numFmt w:val="bullet"/>
      <w:lvlText w:val=""/>
      <w:lvlJc w:val="left"/>
      <w:pPr>
        <w:ind w:left="720" w:hanging="720"/>
      </w:pPr>
      <w:rPr>
        <w:rFonts w:ascii="Symbol" w:hAnsi="Symbol" w:hint="default"/>
        <w:b w:val="0"/>
        <w:color w:val="auto"/>
        <w:lang w:val="fr-FR"/>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BDD75A6"/>
    <w:multiLevelType w:val="multilevel"/>
    <w:tmpl w:val="F0127166"/>
    <w:lvl w:ilvl="0">
      <w:start w:val="1"/>
      <w:numFmt w:val="decimal"/>
      <w:lvlText w:val="%1."/>
      <w:lvlJc w:val="left"/>
      <w:pPr>
        <w:ind w:left="1570" w:hanging="720"/>
      </w:pPr>
      <w:rPr>
        <w:rFonts w:ascii="Constantia" w:hAnsi="Constantia" w:cs="Times New Roman" w:hint="default"/>
        <w:b w:val="0"/>
        <w:color w:val="auto"/>
        <w:sz w:val="22"/>
        <w:lang w:val="fr-FR"/>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30253306"/>
    <w:multiLevelType w:val="multilevel"/>
    <w:tmpl w:val="4DC84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796780"/>
    <w:multiLevelType w:val="multilevel"/>
    <w:tmpl w:val="CFB601CE"/>
    <w:lvl w:ilvl="0">
      <w:start w:val="1"/>
      <w:numFmt w:val="bullet"/>
      <w:lvlText w:val=""/>
      <w:lvlJc w:val="left"/>
      <w:pPr>
        <w:ind w:left="720" w:hanging="720"/>
      </w:pPr>
      <w:rPr>
        <w:rFonts w:ascii="Symbol" w:hAnsi="Symbol" w:hint="default"/>
        <w:b w:val="0"/>
        <w:color w:val="auto"/>
        <w:lang w:val="fr-FR"/>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59211440"/>
    <w:multiLevelType w:val="multilevel"/>
    <w:tmpl w:val="5192E8A6"/>
    <w:styleLink w:val="PATListe"/>
    <w:lvl w:ilvl="0">
      <w:start w:val="1"/>
      <w:numFmt w:val="upperRoman"/>
      <w:pStyle w:val="PAT1"/>
      <w:lvlText w:val="%1."/>
      <w:lvlJc w:val="left"/>
      <w:pPr>
        <w:ind w:left="1485" w:hanging="405"/>
      </w:pPr>
      <w:rPr>
        <w:rFonts w:cstheme="majorBidi" w:hint="default"/>
      </w:rPr>
    </w:lvl>
    <w:lvl w:ilvl="1">
      <w:start w:val="1"/>
      <w:numFmt w:val="decimal"/>
      <w:pStyle w:val="PAT2"/>
      <w:lvlText w:val="%1.%2."/>
      <w:lvlJc w:val="left"/>
      <w:pPr>
        <w:ind w:left="1845" w:hanging="405"/>
      </w:pPr>
      <w:rPr>
        <w:rFonts w:cstheme="majorBidi" w:hint="default"/>
      </w:rPr>
    </w:lvl>
    <w:lvl w:ilvl="2">
      <w:start w:val="1"/>
      <w:numFmt w:val="decimal"/>
      <w:pStyle w:val="PAT3"/>
      <w:lvlText w:val="%1.%2.%3."/>
      <w:lvlJc w:val="left"/>
      <w:pPr>
        <w:ind w:left="2520" w:hanging="720"/>
      </w:pPr>
      <w:rPr>
        <w:rFonts w:cstheme="majorBidi" w:hint="default"/>
      </w:rPr>
    </w:lvl>
    <w:lvl w:ilvl="3">
      <w:start w:val="1"/>
      <w:numFmt w:val="decimal"/>
      <w:pStyle w:val="PAT4"/>
      <w:lvlText w:val="%1.%2.%3.%4."/>
      <w:lvlJc w:val="left"/>
      <w:pPr>
        <w:ind w:left="2880" w:hanging="720"/>
      </w:pPr>
      <w:rPr>
        <w:rFonts w:cstheme="majorBidi" w:hint="default"/>
      </w:rPr>
    </w:lvl>
    <w:lvl w:ilvl="4">
      <w:start w:val="1"/>
      <w:numFmt w:val="decimal"/>
      <w:lvlText w:val="%1.%2.%3.%4.%5."/>
      <w:lvlJc w:val="left"/>
      <w:pPr>
        <w:ind w:left="3600" w:hanging="1080"/>
      </w:pPr>
      <w:rPr>
        <w:rFonts w:cstheme="majorBidi" w:hint="default"/>
      </w:rPr>
    </w:lvl>
    <w:lvl w:ilvl="5">
      <w:start w:val="1"/>
      <w:numFmt w:val="decimal"/>
      <w:lvlText w:val="%1.%2.%3.%4.%5.%6."/>
      <w:lvlJc w:val="left"/>
      <w:pPr>
        <w:ind w:left="4320" w:hanging="1440"/>
      </w:pPr>
      <w:rPr>
        <w:rFonts w:cstheme="majorBidi" w:hint="default"/>
      </w:rPr>
    </w:lvl>
    <w:lvl w:ilvl="6">
      <w:start w:val="1"/>
      <w:numFmt w:val="decimal"/>
      <w:lvlText w:val="%1.%2.%3.%4.%5.%6.%7."/>
      <w:lvlJc w:val="left"/>
      <w:pPr>
        <w:ind w:left="4680" w:hanging="1440"/>
      </w:pPr>
      <w:rPr>
        <w:rFonts w:cstheme="majorBidi" w:hint="default"/>
      </w:rPr>
    </w:lvl>
    <w:lvl w:ilvl="7">
      <w:start w:val="1"/>
      <w:numFmt w:val="decimal"/>
      <w:lvlText w:val="%1.%2.%3.%4.%5.%6.%7.%8."/>
      <w:lvlJc w:val="left"/>
      <w:pPr>
        <w:ind w:left="5400" w:hanging="1800"/>
      </w:pPr>
      <w:rPr>
        <w:rFonts w:cstheme="majorBidi" w:hint="default"/>
      </w:rPr>
    </w:lvl>
    <w:lvl w:ilvl="8">
      <w:start w:val="1"/>
      <w:numFmt w:val="decimal"/>
      <w:lvlText w:val="%1.%2.%3.%4.%5.%6.%7.%8.%9."/>
      <w:lvlJc w:val="left"/>
      <w:pPr>
        <w:ind w:left="5760" w:hanging="1800"/>
      </w:pPr>
      <w:rPr>
        <w:rFonts w:cstheme="majorBidi" w:hint="default"/>
      </w:rPr>
    </w:lvl>
  </w:abstractNum>
  <w:abstractNum w:abstractNumId="8" w15:restartNumberingAfterBreak="0">
    <w:nsid w:val="59A85266"/>
    <w:multiLevelType w:val="multilevel"/>
    <w:tmpl w:val="B12098F4"/>
    <w:lvl w:ilvl="0">
      <w:start w:val="1"/>
      <w:numFmt w:val="decimal"/>
      <w:lvlText w:val="%1."/>
      <w:lvlJc w:val="left"/>
      <w:pPr>
        <w:ind w:left="720" w:hanging="720"/>
      </w:pPr>
      <w:rPr>
        <w:rFonts w:ascii="Constantia" w:eastAsia="Constantia" w:hAnsi="Constantia" w:cs="Constantia"/>
        <w:b w:val="0"/>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5DD62F08"/>
    <w:multiLevelType w:val="multilevel"/>
    <w:tmpl w:val="E166A69A"/>
    <w:styleLink w:val="Style1"/>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612D0"/>
    <w:multiLevelType w:val="multilevel"/>
    <w:tmpl w:val="04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1701E3"/>
    <w:multiLevelType w:val="multilevel"/>
    <w:tmpl w:val="460EE00A"/>
    <w:lvl w:ilvl="0">
      <w:start w:val="1"/>
      <w:numFmt w:val="decimal"/>
      <w:lvlText w:val="%1."/>
      <w:lvlJc w:val="left"/>
      <w:pPr>
        <w:ind w:left="720" w:hanging="720"/>
      </w:pPr>
      <w:rPr>
        <w:rFonts w:ascii="Constantia" w:hAnsi="Constantia" w:cs="Times New Roman" w:hint="default"/>
        <w:b w:val="0"/>
        <w:color w:val="auto"/>
        <w:lang w:val="fr-FR"/>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9"/>
  </w:num>
  <w:num w:numId="2">
    <w:abstractNumId w:val="10"/>
  </w:num>
  <w:num w:numId="3">
    <w:abstractNumId w:val="7"/>
    <w:lvlOverride w:ilvl="2">
      <w:lvl w:ilvl="2">
        <w:start w:val="1"/>
        <w:numFmt w:val="decimal"/>
        <w:pStyle w:val="PAT3"/>
        <w:lvlText w:val="%1.%2.%3."/>
        <w:lvlJc w:val="left"/>
        <w:pPr>
          <w:ind w:left="2520" w:hanging="720"/>
        </w:pPr>
        <w:rPr>
          <w:rFonts w:cstheme="majorBidi" w:hint="default"/>
        </w:rPr>
      </w:lvl>
    </w:lvlOverride>
    <w:lvlOverride w:ilvl="3">
      <w:lvl w:ilvl="3">
        <w:start w:val="1"/>
        <w:numFmt w:val="decimal"/>
        <w:pStyle w:val="PAT4"/>
        <w:lvlText w:val="%1.%2.%3.%4."/>
        <w:lvlJc w:val="left"/>
        <w:pPr>
          <w:ind w:left="2880" w:hanging="720"/>
        </w:pPr>
        <w:rPr>
          <w:rFonts w:cstheme="majorBidi" w:hint="default"/>
        </w:rPr>
      </w:lvl>
    </w:lvlOverride>
  </w:num>
  <w:num w:numId="4">
    <w:abstractNumId w:val="7"/>
  </w:num>
  <w:num w:numId="5">
    <w:abstractNumId w:val="1"/>
  </w:num>
  <w:num w:numId="6">
    <w:abstractNumId w:val="6"/>
  </w:num>
  <w:num w:numId="7">
    <w:abstractNumId w:val="3"/>
  </w:num>
  <w:num w:numId="8">
    <w:abstractNumId w:val="0"/>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7"/>
    <w:lvlOverride w:ilvl="2">
      <w:lvl w:ilvl="2">
        <w:start w:val="1"/>
        <w:numFmt w:val="decimal"/>
        <w:pStyle w:val="PAT3"/>
        <w:lvlText w:val="%1.%2.%3."/>
        <w:lvlJc w:val="left"/>
        <w:pPr>
          <w:ind w:left="2520" w:hanging="720"/>
        </w:pPr>
        <w:rPr>
          <w:rFonts w:cstheme="majorBidi" w:hint="default"/>
        </w:rPr>
      </w:lvl>
    </w:lvlOverride>
    <w:lvlOverride w:ilvl="3">
      <w:lvl w:ilvl="3">
        <w:start w:val="1"/>
        <w:numFmt w:val="decimal"/>
        <w:pStyle w:val="PAT4"/>
        <w:lvlText w:val="%1.%2.%3.%4."/>
        <w:lvlJc w:val="left"/>
        <w:pPr>
          <w:ind w:left="2880" w:hanging="720"/>
        </w:pPr>
        <w:rPr>
          <w:rFonts w:cstheme="majorBidi" w:hint="default"/>
        </w:rPr>
      </w:lvl>
    </w:lvlOverride>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47"/>
    <w:rsid w:val="00000153"/>
    <w:rsid w:val="000002B3"/>
    <w:rsid w:val="0000040C"/>
    <w:rsid w:val="0000082F"/>
    <w:rsid w:val="00000B15"/>
    <w:rsid w:val="00001053"/>
    <w:rsid w:val="00001BE0"/>
    <w:rsid w:val="0000215F"/>
    <w:rsid w:val="00002390"/>
    <w:rsid w:val="0000242C"/>
    <w:rsid w:val="0000303C"/>
    <w:rsid w:val="00003338"/>
    <w:rsid w:val="000033DA"/>
    <w:rsid w:val="0000373D"/>
    <w:rsid w:val="00003A04"/>
    <w:rsid w:val="00004DD2"/>
    <w:rsid w:val="00005EB7"/>
    <w:rsid w:val="00006208"/>
    <w:rsid w:val="0000629D"/>
    <w:rsid w:val="00010F7D"/>
    <w:rsid w:val="000114C8"/>
    <w:rsid w:val="0001198C"/>
    <w:rsid w:val="00011E82"/>
    <w:rsid w:val="00012B1A"/>
    <w:rsid w:val="00012FCF"/>
    <w:rsid w:val="00014360"/>
    <w:rsid w:val="000150A3"/>
    <w:rsid w:val="00015A81"/>
    <w:rsid w:val="00015C23"/>
    <w:rsid w:val="00015C96"/>
    <w:rsid w:val="000162FA"/>
    <w:rsid w:val="00016364"/>
    <w:rsid w:val="000165A5"/>
    <w:rsid w:val="00017166"/>
    <w:rsid w:val="00017FA8"/>
    <w:rsid w:val="00020253"/>
    <w:rsid w:val="0002087C"/>
    <w:rsid w:val="00021BCB"/>
    <w:rsid w:val="00021CDA"/>
    <w:rsid w:val="00021E80"/>
    <w:rsid w:val="00021E9A"/>
    <w:rsid w:val="000225C8"/>
    <w:rsid w:val="00022D1C"/>
    <w:rsid w:val="00023238"/>
    <w:rsid w:val="00023F10"/>
    <w:rsid w:val="00023F7A"/>
    <w:rsid w:val="000243D5"/>
    <w:rsid w:val="00024CD3"/>
    <w:rsid w:val="00025A0F"/>
    <w:rsid w:val="00025B62"/>
    <w:rsid w:val="00025D6B"/>
    <w:rsid w:val="00026C03"/>
    <w:rsid w:val="00026E79"/>
    <w:rsid w:val="00027B61"/>
    <w:rsid w:val="00027D58"/>
    <w:rsid w:val="00027DC0"/>
    <w:rsid w:val="00030616"/>
    <w:rsid w:val="00030819"/>
    <w:rsid w:val="00031024"/>
    <w:rsid w:val="00032998"/>
    <w:rsid w:val="0003376C"/>
    <w:rsid w:val="0003379C"/>
    <w:rsid w:val="00034311"/>
    <w:rsid w:val="00034839"/>
    <w:rsid w:val="00034F8F"/>
    <w:rsid w:val="00036469"/>
    <w:rsid w:val="00036AFD"/>
    <w:rsid w:val="00037426"/>
    <w:rsid w:val="00037E15"/>
    <w:rsid w:val="000408B9"/>
    <w:rsid w:val="0004106E"/>
    <w:rsid w:val="0004179E"/>
    <w:rsid w:val="00042C30"/>
    <w:rsid w:val="000430B9"/>
    <w:rsid w:val="00043302"/>
    <w:rsid w:val="00043374"/>
    <w:rsid w:val="000437E0"/>
    <w:rsid w:val="00045BEB"/>
    <w:rsid w:val="00046F67"/>
    <w:rsid w:val="00047862"/>
    <w:rsid w:val="00047C5E"/>
    <w:rsid w:val="000501DD"/>
    <w:rsid w:val="00050F25"/>
    <w:rsid w:val="00051522"/>
    <w:rsid w:val="00051527"/>
    <w:rsid w:val="00051AA4"/>
    <w:rsid w:val="00051EAF"/>
    <w:rsid w:val="0005258E"/>
    <w:rsid w:val="0005315A"/>
    <w:rsid w:val="00053C19"/>
    <w:rsid w:val="00054AF4"/>
    <w:rsid w:val="00054B0F"/>
    <w:rsid w:val="00054D27"/>
    <w:rsid w:val="000551F7"/>
    <w:rsid w:val="00056445"/>
    <w:rsid w:val="00057539"/>
    <w:rsid w:val="0006072F"/>
    <w:rsid w:val="000607F0"/>
    <w:rsid w:val="00060C51"/>
    <w:rsid w:val="00060FCE"/>
    <w:rsid w:val="000612FE"/>
    <w:rsid w:val="00061F93"/>
    <w:rsid w:val="000622CC"/>
    <w:rsid w:val="00062FC6"/>
    <w:rsid w:val="00063A62"/>
    <w:rsid w:val="00063AD2"/>
    <w:rsid w:val="000652AC"/>
    <w:rsid w:val="000661AC"/>
    <w:rsid w:val="00066353"/>
    <w:rsid w:val="0006684E"/>
    <w:rsid w:val="00066997"/>
    <w:rsid w:val="00067244"/>
    <w:rsid w:val="000703F4"/>
    <w:rsid w:val="00070567"/>
    <w:rsid w:val="00071E73"/>
    <w:rsid w:val="00071E85"/>
    <w:rsid w:val="0007208E"/>
    <w:rsid w:val="00073091"/>
    <w:rsid w:val="0007396A"/>
    <w:rsid w:val="00074487"/>
    <w:rsid w:val="0007568B"/>
    <w:rsid w:val="00077B5E"/>
    <w:rsid w:val="000823D6"/>
    <w:rsid w:val="000829DE"/>
    <w:rsid w:val="00083160"/>
    <w:rsid w:val="00083328"/>
    <w:rsid w:val="000837FC"/>
    <w:rsid w:val="00083FCF"/>
    <w:rsid w:val="000840EE"/>
    <w:rsid w:val="00084DCB"/>
    <w:rsid w:val="00086775"/>
    <w:rsid w:val="00087077"/>
    <w:rsid w:val="0008730A"/>
    <w:rsid w:val="00087915"/>
    <w:rsid w:val="0009106A"/>
    <w:rsid w:val="0009173E"/>
    <w:rsid w:val="00091A4D"/>
    <w:rsid w:val="00091C8B"/>
    <w:rsid w:val="00092951"/>
    <w:rsid w:val="00094540"/>
    <w:rsid w:val="00094E70"/>
    <w:rsid w:val="00094EA3"/>
    <w:rsid w:val="00094FAB"/>
    <w:rsid w:val="000954AE"/>
    <w:rsid w:val="00095889"/>
    <w:rsid w:val="000979F0"/>
    <w:rsid w:val="000A0D38"/>
    <w:rsid w:val="000A0D45"/>
    <w:rsid w:val="000A1041"/>
    <w:rsid w:val="000A1F5D"/>
    <w:rsid w:val="000A39A8"/>
    <w:rsid w:val="000A3EE3"/>
    <w:rsid w:val="000A41F3"/>
    <w:rsid w:val="000A4C1F"/>
    <w:rsid w:val="000A6C63"/>
    <w:rsid w:val="000A6D99"/>
    <w:rsid w:val="000A73D8"/>
    <w:rsid w:val="000B004A"/>
    <w:rsid w:val="000B0330"/>
    <w:rsid w:val="000B0C70"/>
    <w:rsid w:val="000B0E4D"/>
    <w:rsid w:val="000B1201"/>
    <w:rsid w:val="000B1363"/>
    <w:rsid w:val="000B1532"/>
    <w:rsid w:val="000B21B8"/>
    <w:rsid w:val="000B23FC"/>
    <w:rsid w:val="000B2BCA"/>
    <w:rsid w:val="000B31EE"/>
    <w:rsid w:val="000B3566"/>
    <w:rsid w:val="000B614C"/>
    <w:rsid w:val="000B6A89"/>
    <w:rsid w:val="000B6C9F"/>
    <w:rsid w:val="000B7364"/>
    <w:rsid w:val="000B7B67"/>
    <w:rsid w:val="000B7FAE"/>
    <w:rsid w:val="000C06B1"/>
    <w:rsid w:val="000C0735"/>
    <w:rsid w:val="000C13A6"/>
    <w:rsid w:val="000C16A9"/>
    <w:rsid w:val="000C2333"/>
    <w:rsid w:val="000C24EE"/>
    <w:rsid w:val="000C2535"/>
    <w:rsid w:val="000C2EF9"/>
    <w:rsid w:val="000C3037"/>
    <w:rsid w:val="000C37D3"/>
    <w:rsid w:val="000C3EB1"/>
    <w:rsid w:val="000C3FA5"/>
    <w:rsid w:val="000C41CB"/>
    <w:rsid w:val="000C45D9"/>
    <w:rsid w:val="000C47BD"/>
    <w:rsid w:val="000C4888"/>
    <w:rsid w:val="000C531C"/>
    <w:rsid w:val="000C5ABB"/>
    <w:rsid w:val="000C6BF9"/>
    <w:rsid w:val="000C7E81"/>
    <w:rsid w:val="000D07EF"/>
    <w:rsid w:val="000D0EDA"/>
    <w:rsid w:val="000D11AC"/>
    <w:rsid w:val="000D2A22"/>
    <w:rsid w:val="000D30DC"/>
    <w:rsid w:val="000D3133"/>
    <w:rsid w:val="000D319D"/>
    <w:rsid w:val="000D3F9E"/>
    <w:rsid w:val="000D5120"/>
    <w:rsid w:val="000D5390"/>
    <w:rsid w:val="000D6B54"/>
    <w:rsid w:val="000D6E93"/>
    <w:rsid w:val="000E0D98"/>
    <w:rsid w:val="000E15A3"/>
    <w:rsid w:val="000E15F9"/>
    <w:rsid w:val="000E267C"/>
    <w:rsid w:val="000E2DB3"/>
    <w:rsid w:val="000E4070"/>
    <w:rsid w:val="000E449B"/>
    <w:rsid w:val="000E5E44"/>
    <w:rsid w:val="000E5F9B"/>
    <w:rsid w:val="000E773A"/>
    <w:rsid w:val="000F1169"/>
    <w:rsid w:val="000F1659"/>
    <w:rsid w:val="000F1876"/>
    <w:rsid w:val="000F1BA4"/>
    <w:rsid w:val="000F2239"/>
    <w:rsid w:val="000F3324"/>
    <w:rsid w:val="000F4223"/>
    <w:rsid w:val="000F44AD"/>
    <w:rsid w:val="000F47EE"/>
    <w:rsid w:val="000F54AB"/>
    <w:rsid w:val="000F5FD8"/>
    <w:rsid w:val="000F6752"/>
    <w:rsid w:val="000F730F"/>
    <w:rsid w:val="00100266"/>
    <w:rsid w:val="0010085C"/>
    <w:rsid w:val="0010093E"/>
    <w:rsid w:val="00100A4F"/>
    <w:rsid w:val="00100D31"/>
    <w:rsid w:val="00100DBB"/>
    <w:rsid w:val="0010132D"/>
    <w:rsid w:val="00101566"/>
    <w:rsid w:val="001026D4"/>
    <w:rsid w:val="00102CBF"/>
    <w:rsid w:val="00103D8C"/>
    <w:rsid w:val="00103F47"/>
    <w:rsid w:val="00103FD1"/>
    <w:rsid w:val="00104A7B"/>
    <w:rsid w:val="00105B3A"/>
    <w:rsid w:val="00105C44"/>
    <w:rsid w:val="00105F0E"/>
    <w:rsid w:val="00106203"/>
    <w:rsid w:val="00106BB2"/>
    <w:rsid w:val="00107C03"/>
    <w:rsid w:val="0011063A"/>
    <w:rsid w:val="00110FF9"/>
    <w:rsid w:val="001111AF"/>
    <w:rsid w:val="0011208B"/>
    <w:rsid w:val="001138DE"/>
    <w:rsid w:val="00113D39"/>
    <w:rsid w:val="00113F08"/>
    <w:rsid w:val="001154A4"/>
    <w:rsid w:val="00115817"/>
    <w:rsid w:val="00116692"/>
    <w:rsid w:val="00116C49"/>
    <w:rsid w:val="0011715A"/>
    <w:rsid w:val="00117862"/>
    <w:rsid w:val="00117C8B"/>
    <w:rsid w:val="00117D35"/>
    <w:rsid w:val="00117EB0"/>
    <w:rsid w:val="0012033A"/>
    <w:rsid w:val="001203CE"/>
    <w:rsid w:val="00120D98"/>
    <w:rsid w:val="00120EC7"/>
    <w:rsid w:val="001213CF"/>
    <w:rsid w:val="001223D9"/>
    <w:rsid w:val="00123072"/>
    <w:rsid w:val="00124FD8"/>
    <w:rsid w:val="0012567A"/>
    <w:rsid w:val="00125847"/>
    <w:rsid w:val="001260CD"/>
    <w:rsid w:val="00126B11"/>
    <w:rsid w:val="00126D02"/>
    <w:rsid w:val="0012738A"/>
    <w:rsid w:val="00127C05"/>
    <w:rsid w:val="00130422"/>
    <w:rsid w:val="00130616"/>
    <w:rsid w:val="00131294"/>
    <w:rsid w:val="00131A86"/>
    <w:rsid w:val="00131CFC"/>
    <w:rsid w:val="00132D65"/>
    <w:rsid w:val="00132F53"/>
    <w:rsid w:val="001330F6"/>
    <w:rsid w:val="00133200"/>
    <w:rsid w:val="00133568"/>
    <w:rsid w:val="00133CC0"/>
    <w:rsid w:val="001345DD"/>
    <w:rsid w:val="00135280"/>
    <w:rsid w:val="001353E0"/>
    <w:rsid w:val="00136401"/>
    <w:rsid w:val="001370F8"/>
    <w:rsid w:val="0014087D"/>
    <w:rsid w:val="001409BE"/>
    <w:rsid w:val="00141F65"/>
    <w:rsid w:val="0014264C"/>
    <w:rsid w:val="001432AF"/>
    <w:rsid w:val="00143ED5"/>
    <w:rsid w:val="001440FE"/>
    <w:rsid w:val="001450FD"/>
    <w:rsid w:val="0014545E"/>
    <w:rsid w:val="001459C5"/>
    <w:rsid w:val="00145B55"/>
    <w:rsid w:val="00145CA5"/>
    <w:rsid w:val="001463DF"/>
    <w:rsid w:val="0014761F"/>
    <w:rsid w:val="0014787C"/>
    <w:rsid w:val="001479B6"/>
    <w:rsid w:val="00150DA4"/>
    <w:rsid w:val="00151AB1"/>
    <w:rsid w:val="00151C7B"/>
    <w:rsid w:val="0015207B"/>
    <w:rsid w:val="0015280F"/>
    <w:rsid w:val="0015454A"/>
    <w:rsid w:val="001563AB"/>
    <w:rsid w:val="00156634"/>
    <w:rsid w:val="0015729B"/>
    <w:rsid w:val="001575B0"/>
    <w:rsid w:val="00160798"/>
    <w:rsid w:val="00161075"/>
    <w:rsid w:val="0016199B"/>
    <w:rsid w:val="00162CC5"/>
    <w:rsid w:val="0016329F"/>
    <w:rsid w:val="00163437"/>
    <w:rsid w:val="00163614"/>
    <w:rsid w:val="00163A13"/>
    <w:rsid w:val="00163E77"/>
    <w:rsid w:val="0016454C"/>
    <w:rsid w:val="001646C4"/>
    <w:rsid w:val="00164E39"/>
    <w:rsid w:val="00164E43"/>
    <w:rsid w:val="001655C1"/>
    <w:rsid w:val="001655C7"/>
    <w:rsid w:val="00166EF9"/>
    <w:rsid w:val="00167886"/>
    <w:rsid w:val="001701E6"/>
    <w:rsid w:val="0017038E"/>
    <w:rsid w:val="001708F9"/>
    <w:rsid w:val="00171061"/>
    <w:rsid w:val="001714CB"/>
    <w:rsid w:val="00171618"/>
    <w:rsid w:val="0017284C"/>
    <w:rsid w:val="00172E75"/>
    <w:rsid w:val="00172F8C"/>
    <w:rsid w:val="001732F8"/>
    <w:rsid w:val="001749D3"/>
    <w:rsid w:val="00174ACA"/>
    <w:rsid w:val="00175CE3"/>
    <w:rsid w:val="001773A0"/>
    <w:rsid w:val="0017753B"/>
    <w:rsid w:val="00180602"/>
    <w:rsid w:val="00180806"/>
    <w:rsid w:val="00181529"/>
    <w:rsid w:val="00182036"/>
    <w:rsid w:val="00182289"/>
    <w:rsid w:val="001824C2"/>
    <w:rsid w:val="001832D9"/>
    <w:rsid w:val="00183DC5"/>
    <w:rsid w:val="0018440E"/>
    <w:rsid w:val="001846FC"/>
    <w:rsid w:val="00186746"/>
    <w:rsid w:val="001879FD"/>
    <w:rsid w:val="00187E16"/>
    <w:rsid w:val="0019026D"/>
    <w:rsid w:val="0019036D"/>
    <w:rsid w:val="00190418"/>
    <w:rsid w:val="00190728"/>
    <w:rsid w:val="001913AD"/>
    <w:rsid w:val="00191703"/>
    <w:rsid w:val="00192173"/>
    <w:rsid w:val="00192418"/>
    <w:rsid w:val="00192909"/>
    <w:rsid w:val="00192D35"/>
    <w:rsid w:val="00193256"/>
    <w:rsid w:val="001938CD"/>
    <w:rsid w:val="001944B4"/>
    <w:rsid w:val="00194C26"/>
    <w:rsid w:val="00194F4C"/>
    <w:rsid w:val="00196356"/>
    <w:rsid w:val="0019720B"/>
    <w:rsid w:val="001975BD"/>
    <w:rsid w:val="001A006D"/>
    <w:rsid w:val="001A0649"/>
    <w:rsid w:val="001A111C"/>
    <w:rsid w:val="001A13FF"/>
    <w:rsid w:val="001A2178"/>
    <w:rsid w:val="001A21F8"/>
    <w:rsid w:val="001A2DAA"/>
    <w:rsid w:val="001A3BC1"/>
    <w:rsid w:val="001A4F48"/>
    <w:rsid w:val="001A5ADA"/>
    <w:rsid w:val="001A5B93"/>
    <w:rsid w:val="001A6A49"/>
    <w:rsid w:val="001A7156"/>
    <w:rsid w:val="001A7495"/>
    <w:rsid w:val="001A7766"/>
    <w:rsid w:val="001A7841"/>
    <w:rsid w:val="001A78E0"/>
    <w:rsid w:val="001B0237"/>
    <w:rsid w:val="001B07BE"/>
    <w:rsid w:val="001B0C70"/>
    <w:rsid w:val="001B1241"/>
    <w:rsid w:val="001B178C"/>
    <w:rsid w:val="001B17AF"/>
    <w:rsid w:val="001B37E1"/>
    <w:rsid w:val="001B3AD8"/>
    <w:rsid w:val="001B4012"/>
    <w:rsid w:val="001B4583"/>
    <w:rsid w:val="001B4B50"/>
    <w:rsid w:val="001B4B60"/>
    <w:rsid w:val="001B5405"/>
    <w:rsid w:val="001B5F5B"/>
    <w:rsid w:val="001B60A2"/>
    <w:rsid w:val="001B6814"/>
    <w:rsid w:val="001B6A70"/>
    <w:rsid w:val="001B6CBC"/>
    <w:rsid w:val="001B79E7"/>
    <w:rsid w:val="001B7B59"/>
    <w:rsid w:val="001C1703"/>
    <w:rsid w:val="001C26E3"/>
    <w:rsid w:val="001C2756"/>
    <w:rsid w:val="001C2D6A"/>
    <w:rsid w:val="001C3AE4"/>
    <w:rsid w:val="001C3AFC"/>
    <w:rsid w:val="001C3FCF"/>
    <w:rsid w:val="001C49D2"/>
    <w:rsid w:val="001C4E46"/>
    <w:rsid w:val="001C5206"/>
    <w:rsid w:val="001C55A0"/>
    <w:rsid w:val="001C5BB0"/>
    <w:rsid w:val="001C698E"/>
    <w:rsid w:val="001C6F75"/>
    <w:rsid w:val="001D0062"/>
    <w:rsid w:val="001D05E0"/>
    <w:rsid w:val="001D0E3E"/>
    <w:rsid w:val="001D1E78"/>
    <w:rsid w:val="001D1FE1"/>
    <w:rsid w:val="001D2211"/>
    <w:rsid w:val="001D23F8"/>
    <w:rsid w:val="001D2E5B"/>
    <w:rsid w:val="001D3099"/>
    <w:rsid w:val="001D332E"/>
    <w:rsid w:val="001D34DD"/>
    <w:rsid w:val="001D36A1"/>
    <w:rsid w:val="001D3CD5"/>
    <w:rsid w:val="001D4373"/>
    <w:rsid w:val="001D49D4"/>
    <w:rsid w:val="001D4E05"/>
    <w:rsid w:val="001D4F54"/>
    <w:rsid w:val="001D515D"/>
    <w:rsid w:val="001D606C"/>
    <w:rsid w:val="001D6BE7"/>
    <w:rsid w:val="001E0141"/>
    <w:rsid w:val="001E026B"/>
    <w:rsid w:val="001E0B70"/>
    <w:rsid w:val="001E0B94"/>
    <w:rsid w:val="001E117C"/>
    <w:rsid w:val="001E1221"/>
    <w:rsid w:val="001E1EDE"/>
    <w:rsid w:val="001E2953"/>
    <w:rsid w:val="001E2DE3"/>
    <w:rsid w:val="001E3C94"/>
    <w:rsid w:val="001E3E50"/>
    <w:rsid w:val="001E40B8"/>
    <w:rsid w:val="001E41C9"/>
    <w:rsid w:val="001E435D"/>
    <w:rsid w:val="001E5E68"/>
    <w:rsid w:val="001E5F36"/>
    <w:rsid w:val="001E62B6"/>
    <w:rsid w:val="001E63C0"/>
    <w:rsid w:val="001E68AC"/>
    <w:rsid w:val="001E7CCD"/>
    <w:rsid w:val="001F0477"/>
    <w:rsid w:val="001F0DBD"/>
    <w:rsid w:val="001F3003"/>
    <w:rsid w:val="001F316D"/>
    <w:rsid w:val="001F336B"/>
    <w:rsid w:val="001F46A6"/>
    <w:rsid w:val="001F4753"/>
    <w:rsid w:val="001F74B6"/>
    <w:rsid w:val="002016C0"/>
    <w:rsid w:val="00202CD3"/>
    <w:rsid w:val="00202F28"/>
    <w:rsid w:val="0020308B"/>
    <w:rsid w:val="002039C4"/>
    <w:rsid w:val="00203EA4"/>
    <w:rsid w:val="002043F3"/>
    <w:rsid w:val="0020526E"/>
    <w:rsid w:val="0020598A"/>
    <w:rsid w:val="00205D6D"/>
    <w:rsid w:val="00206BEE"/>
    <w:rsid w:val="00206C4D"/>
    <w:rsid w:val="00210AAB"/>
    <w:rsid w:val="00210DD3"/>
    <w:rsid w:val="00211646"/>
    <w:rsid w:val="00211962"/>
    <w:rsid w:val="002122BC"/>
    <w:rsid w:val="00213432"/>
    <w:rsid w:val="002143A4"/>
    <w:rsid w:val="00214C65"/>
    <w:rsid w:val="00214CF6"/>
    <w:rsid w:val="00215336"/>
    <w:rsid w:val="002159C7"/>
    <w:rsid w:val="002168B1"/>
    <w:rsid w:val="00216D0C"/>
    <w:rsid w:val="00217879"/>
    <w:rsid w:val="00217A4F"/>
    <w:rsid w:val="00217B5F"/>
    <w:rsid w:val="00217F53"/>
    <w:rsid w:val="002203B6"/>
    <w:rsid w:val="002211A9"/>
    <w:rsid w:val="00221C3E"/>
    <w:rsid w:val="00221CA8"/>
    <w:rsid w:val="0022294D"/>
    <w:rsid w:val="00222E7E"/>
    <w:rsid w:val="0022380A"/>
    <w:rsid w:val="00224292"/>
    <w:rsid w:val="00225080"/>
    <w:rsid w:val="002252F5"/>
    <w:rsid w:val="00225922"/>
    <w:rsid w:val="00225F6C"/>
    <w:rsid w:val="00226866"/>
    <w:rsid w:val="002268E6"/>
    <w:rsid w:val="002273BE"/>
    <w:rsid w:val="002306A2"/>
    <w:rsid w:val="00231C67"/>
    <w:rsid w:val="00232C2D"/>
    <w:rsid w:val="00232F16"/>
    <w:rsid w:val="002332A4"/>
    <w:rsid w:val="002342A1"/>
    <w:rsid w:val="00234621"/>
    <w:rsid w:val="00235476"/>
    <w:rsid w:val="002359A7"/>
    <w:rsid w:val="00236CB9"/>
    <w:rsid w:val="00237F8D"/>
    <w:rsid w:val="00240309"/>
    <w:rsid w:val="00240B14"/>
    <w:rsid w:val="00240B77"/>
    <w:rsid w:val="0024150C"/>
    <w:rsid w:val="002419ED"/>
    <w:rsid w:val="00242042"/>
    <w:rsid w:val="00242D4B"/>
    <w:rsid w:val="00243DF3"/>
    <w:rsid w:val="002440C5"/>
    <w:rsid w:val="002442ED"/>
    <w:rsid w:val="002446A7"/>
    <w:rsid w:val="00244BE3"/>
    <w:rsid w:val="00244EF6"/>
    <w:rsid w:val="002458AA"/>
    <w:rsid w:val="00245ADC"/>
    <w:rsid w:val="00245B78"/>
    <w:rsid w:val="00246F4E"/>
    <w:rsid w:val="00247C97"/>
    <w:rsid w:val="00252CA5"/>
    <w:rsid w:val="00253E39"/>
    <w:rsid w:val="00255099"/>
    <w:rsid w:val="00255C85"/>
    <w:rsid w:val="00255EFA"/>
    <w:rsid w:val="00256E77"/>
    <w:rsid w:val="00260836"/>
    <w:rsid w:val="002609E8"/>
    <w:rsid w:val="00260BA3"/>
    <w:rsid w:val="00262775"/>
    <w:rsid w:val="002628E8"/>
    <w:rsid w:val="00262A70"/>
    <w:rsid w:val="00262B3E"/>
    <w:rsid w:val="002636CF"/>
    <w:rsid w:val="00264573"/>
    <w:rsid w:val="00264BAF"/>
    <w:rsid w:val="00264F06"/>
    <w:rsid w:val="0026539A"/>
    <w:rsid w:val="00266017"/>
    <w:rsid w:val="00267407"/>
    <w:rsid w:val="0027012E"/>
    <w:rsid w:val="00270725"/>
    <w:rsid w:val="00271087"/>
    <w:rsid w:val="00271B99"/>
    <w:rsid w:val="00272782"/>
    <w:rsid w:val="002739A2"/>
    <w:rsid w:val="002744FA"/>
    <w:rsid w:val="002749B4"/>
    <w:rsid w:val="00274E37"/>
    <w:rsid w:val="00275C6B"/>
    <w:rsid w:val="002763EF"/>
    <w:rsid w:val="00277DA3"/>
    <w:rsid w:val="002805B7"/>
    <w:rsid w:val="002807F5"/>
    <w:rsid w:val="00281147"/>
    <w:rsid w:val="00281A77"/>
    <w:rsid w:val="00281BE5"/>
    <w:rsid w:val="00281E79"/>
    <w:rsid w:val="00281E8D"/>
    <w:rsid w:val="00282E1C"/>
    <w:rsid w:val="0028308E"/>
    <w:rsid w:val="002876A1"/>
    <w:rsid w:val="00287D1E"/>
    <w:rsid w:val="00287DD6"/>
    <w:rsid w:val="00290454"/>
    <w:rsid w:val="00290D8F"/>
    <w:rsid w:val="00292AFD"/>
    <w:rsid w:val="00292C70"/>
    <w:rsid w:val="00293655"/>
    <w:rsid w:val="00294D7B"/>
    <w:rsid w:val="002956EF"/>
    <w:rsid w:val="00295AEB"/>
    <w:rsid w:val="00295C8A"/>
    <w:rsid w:val="002967E2"/>
    <w:rsid w:val="00296809"/>
    <w:rsid w:val="00297538"/>
    <w:rsid w:val="002975A0"/>
    <w:rsid w:val="00297852"/>
    <w:rsid w:val="00297AA3"/>
    <w:rsid w:val="00297E3E"/>
    <w:rsid w:val="002A0514"/>
    <w:rsid w:val="002A06DC"/>
    <w:rsid w:val="002A1C2F"/>
    <w:rsid w:val="002A20DA"/>
    <w:rsid w:val="002A27F9"/>
    <w:rsid w:val="002A31FF"/>
    <w:rsid w:val="002A4160"/>
    <w:rsid w:val="002A41C8"/>
    <w:rsid w:val="002A619B"/>
    <w:rsid w:val="002A7452"/>
    <w:rsid w:val="002A79D2"/>
    <w:rsid w:val="002B021E"/>
    <w:rsid w:val="002B1451"/>
    <w:rsid w:val="002B161B"/>
    <w:rsid w:val="002B1C07"/>
    <w:rsid w:val="002B2DF6"/>
    <w:rsid w:val="002B3398"/>
    <w:rsid w:val="002B3EC1"/>
    <w:rsid w:val="002B6609"/>
    <w:rsid w:val="002B661C"/>
    <w:rsid w:val="002B6A6F"/>
    <w:rsid w:val="002B6BAB"/>
    <w:rsid w:val="002B733C"/>
    <w:rsid w:val="002C105B"/>
    <w:rsid w:val="002C213B"/>
    <w:rsid w:val="002C2DE9"/>
    <w:rsid w:val="002C382E"/>
    <w:rsid w:val="002C4AFA"/>
    <w:rsid w:val="002C4BDC"/>
    <w:rsid w:val="002C4BE7"/>
    <w:rsid w:val="002C4C3F"/>
    <w:rsid w:val="002C5D90"/>
    <w:rsid w:val="002C5FAE"/>
    <w:rsid w:val="002C6B61"/>
    <w:rsid w:val="002C7E69"/>
    <w:rsid w:val="002D00D7"/>
    <w:rsid w:val="002D022F"/>
    <w:rsid w:val="002D047D"/>
    <w:rsid w:val="002D1359"/>
    <w:rsid w:val="002D1F0C"/>
    <w:rsid w:val="002D2D14"/>
    <w:rsid w:val="002D37E2"/>
    <w:rsid w:val="002D39F6"/>
    <w:rsid w:val="002D4938"/>
    <w:rsid w:val="002D54F3"/>
    <w:rsid w:val="002D626E"/>
    <w:rsid w:val="002D7DA2"/>
    <w:rsid w:val="002E00C4"/>
    <w:rsid w:val="002E04DF"/>
    <w:rsid w:val="002E0547"/>
    <w:rsid w:val="002E0F9F"/>
    <w:rsid w:val="002E13B9"/>
    <w:rsid w:val="002E4B10"/>
    <w:rsid w:val="002E5333"/>
    <w:rsid w:val="002E54B9"/>
    <w:rsid w:val="002E69F1"/>
    <w:rsid w:val="002E707D"/>
    <w:rsid w:val="002E7A31"/>
    <w:rsid w:val="002F02FC"/>
    <w:rsid w:val="002F0823"/>
    <w:rsid w:val="002F172C"/>
    <w:rsid w:val="002F3A76"/>
    <w:rsid w:val="002F3B16"/>
    <w:rsid w:val="002F5B0A"/>
    <w:rsid w:val="002F6FE1"/>
    <w:rsid w:val="002F750D"/>
    <w:rsid w:val="002F79B6"/>
    <w:rsid w:val="00300F0B"/>
    <w:rsid w:val="00301357"/>
    <w:rsid w:val="00302250"/>
    <w:rsid w:val="003027D0"/>
    <w:rsid w:val="00302C9C"/>
    <w:rsid w:val="003035E5"/>
    <w:rsid w:val="0030421D"/>
    <w:rsid w:val="00304442"/>
    <w:rsid w:val="00305020"/>
    <w:rsid w:val="00305061"/>
    <w:rsid w:val="003050B6"/>
    <w:rsid w:val="00305113"/>
    <w:rsid w:val="003054CD"/>
    <w:rsid w:val="00305775"/>
    <w:rsid w:val="00305968"/>
    <w:rsid w:val="00306A23"/>
    <w:rsid w:val="0030712A"/>
    <w:rsid w:val="0030772D"/>
    <w:rsid w:val="00307B05"/>
    <w:rsid w:val="00307E1E"/>
    <w:rsid w:val="003100B0"/>
    <w:rsid w:val="003102BD"/>
    <w:rsid w:val="0031045E"/>
    <w:rsid w:val="00310C32"/>
    <w:rsid w:val="00310F93"/>
    <w:rsid w:val="00311277"/>
    <w:rsid w:val="00312056"/>
    <w:rsid w:val="003130DA"/>
    <w:rsid w:val="00314EA3"/>
    <w:rsid w:val="00314ED3"/>
    <w:rsid w:val="00315013"/>
    <w:rsid w:val="00320F60"/>
    <w:rsid w:val="00321B1D"/>
    <w:rsid w:val="00323F5B"/>
    <w:rsid w:val="00324132"/>
    <w:rsid w:val="00324296"/>
    <w:rsid w:val="00324A21"/>
    <w:rsid w:val="0032511A"/>
    <w:rsid w:val="00325443"/>
    <w:rsid w:val="003304A4"/>
    <w:rsid w:val="00331347"/>
    <w:rsid w:val="00331360"/>
    <w:rsid w:val="003321A2"/>
    <w:rsid w:val="00332E5F"/>
    <w:rsid w:val="00332F2C"/>
    <w:rsid w:val="00333480"/>
    <w:rsid w:val="003338A0"/>
    <w:rsid w:val="00335137"/>
    <w:rsid w:val="00336C9E"/>
    <w:rsid w:val="00336EE6"/>
    <w:rsid w:val="003378A5"/>
    <w:rsid w:val="00337B3C"/>
    <w:rsid w:val="00337D83"/>
    <w:rsid w:val="00337D8F"/>
    <w:rsid w:val="003400CB"/>
    <w:rsid w:val="003400E1"/>
    <w:rsid w:val="00340EF2"/>
    <w:rsid w:val="003422A5"/>
    <w:rsid w:val="00342D7B"/>
    <w:rsid w:val="003434AF"/>
    <w:rsid w:val="00343D08"/>
    <w:rsid w:val="003440E5"/>
    <w:rsid w:val="00345253"/>
    <w:rsid w:val="00345685"/>
    <w:rsid w:val="0034577E"/>
    <w:rsid w:val="00345B3C"/>
    <w:rsid w:val="00345F39"/>
    <w:rsid w:val="0034608C"/>
    <w:rsid w:val="003463BE"/>
    <w:rsid w:val="003465AF"/>
    <w:rsid w:val="00346C5B"/>
    <w:rsid w:val="003478CD"/>
    <w:rsid w:val="00347EE8"/>
    <w:rsid w:val="00350895"/>
    <w:rsid w:val="0035089E"/>
    <w:rsid w:val="00350F8F"/>
    <w:rsid w:val="003511B9"/>
    <w:rsid w:val="003518F7"/>
    <w:rsid w:val="00351F0A"/>
    <w:rsid w:val="00352686"/>
    <w:rsid w:val="00352C22"/>
    <w:rsid w:val="00352F52"/>
    <w:rsid w:val="00353906"/>
    <w:rsid w:val="00354E60"/>
    <w:rsid w:val="00354F93"/>
    <w:rsid w:val="00355749"/>
    <w:rsid w:val="003563BC"/>
    <w:rsid w:val="00357128"/>
    <w:rsid w:val="00357A86"/>
    <w:rsid w:val="00360BD8"/>
    <w:rsid w:val="003626BC"/>
    <w:rsid w:val="003629EB"/>
    <w:rsid w:val="00362C01"/>
    <w:rsid w:val="00362EDC"/>
    <w:rsid w:val="003630B0"/>
    <w:rsid w:val="00363664"/>
    <w:rsid w:val="00363867"/>
    <w:rsid w:val="003646F5"/>
    <w:rsid w:val="003648BF"/>
    <w:rsid w:val="00366155"/>
    <w:rsid w:val="00366512"/>
    <w:rsid w:val="00366B5F"/>
    <w:rsid w:val="00366B74"/>
    <w:rsid w:val="003700B8"/>
    <w:rsid w:val="003702B2"/>
    <w:rsid w:val="00370EE0"/>
    <w:rsid w:val="00373225"/>
    <w:rsid w:val="003740BC"/>
    <w:rsid w:val="0037418D"/>
    <w:rsid w:val="0037437A"/>
    <w:rsid w:val="003745A2"/>
    <w:rsid w:val="003746DD"/>
    <w:rsid w:val="00374FF8"/>
    <w:rsid w:val="00375105"/>
    <w:rsid w:val="003753E4"/>
    <w:rsid w:val="003757F7"/>
    <w:rsid w:val="00375E9A"/>
    <w:rsid w:val="00376CE8"/>
    <w:rsid w:val="00377D29"/>
    <w:rsid w:val="0038020E"/>
    <w:rsid w:val="00381E52"/>
    <w:rsid w:val="00382B09"/>
    <w:rsid w:val="00382E30"/>
    <w:rsid w:val="00383248"/>
    <w:rsid w:val="003835D7"/>
    <w:rsid w:val="003837D3"/>
    <w:rsid w:val="00383CDB"/>
    <w:rsid w:val="003845DC"/>
    <w:rsid w:val="00385246"/>
    <w:rsid w:val="003853C0"/>
    <w:rsid w:val="00385CAA"/>
    <w:rsid w:val="00387212"/>
    <w:rsid w:val="00387269"/>
    <w:rsid w:val="003904B0"/>
    <w:rsid w:val="0039135B"/>
    <w:rsid w:val="00391CBC"/>
    <w:rsid w:val="00392AFE"/>
    <w:rsid w:val="00392D1A"/>
    <w:rsid w:val="003944E1"/>
    <w:rsid w:val="0039516B"/>
    <w:rsid w:val="00395AEC"/>
    <w:rsid w:val="003968FD"/>
    <w:rsid w:val="0039717F"/>
    <w:rsid w:val="00397C09"/>
    <w:rsid w:val="003A1462"/>
    <w:rsid w:val="003A243B"/>
    <w:rsid w:val="003A3F02"/>
    <w:rsid w:val="003A50F7"/>
    <w:rsid w:val="003A514B"/>
    <w:rsid w:val="003A56F5"/>
    <w:rsid w:val="003A5F4D"/>
    <w:rsid w:val="003A608F"/>
    <w:rsid w:val="003A60A3"/>
    <w:rsid w:val="003A76A1"/>
    <w:rsid w:val="003A7E0E"/>
    <w:rsid w:val="003B0DB7"/>
    <w:rsid w:val="003B0E0D"/>
    <w:rsid w:val="003B13C3"/>
    <w:rsid w:val="003B17D8"/>
    <w:rsid w:val="003B1C34"/>
    <w:rsid w:val="003B290C"/>
    <w:rsid w:val="003B344E"/>
    <w:rsid w:val="003B41CB"/>
    <w:rsid w:val="003B73A6"/>
    <w:rsid w:val="003B7E8C"/>
    <w:rsid w:val="003B7FD2"/>
    <w:rsid w:val="003C0AD6"/>
    <w:rsid w:val="003C2CD3"/>
    <w:rsid w:val="003C4021"/>
    <w:rsid w:val="003C40E9"/>
    <w:rsid w:val="003C4842"/>
    <w:rsid w:val="003C5E1D"/>
    <w:rsid w:val="003C5EBE"/>
    <w:rsid w:val="003C6394"/>
    <w:rsid w:val="003C72A7"/>
    <w:rsid w:val="003C763A"/>
    <w:rsid w:val="003C7973"/>
    <w:rsid w:val="003D0F1D"/>
    <w:rsid w:val="003D1BF5"/>
    <w:rsid w:val="003D202C"/>
    <w:rsid w:val="003D2260"/>
    <w:rsid w:val="003D2CC7"/>
    <w:rsid w:val="003D43AF"/>
    <w:rsid w:val="003D46E8"/>
    <w:rsid w:val="003D4E66"/>
    <w:rsid w:val="003D54CB"/>
    <w:rsid w:val="003D5994"/>
    <w:rsid w:val="003D59B6"/>
    <w:rsid w:val="003D6CCC"/>
    <w:rsid w:val="003D7CC0"/>
    <w:rsid w:val="003D7EAF"/>
    <w:rsid w:val="003E0168"/>
    <w:rsid w:val="003E0AD7"/>
    <w:rsid w:val="003E1BB4"/>
    <w:rsid w:val="003E1D40"/>
    <w:rsid w:val="003E1F9C"/>
    <w:rsid w:val="003E24C9"/>
    <w:rsid w:val="003E267D"/>
    <w:rsid w:val="003E2806"/>
    <w:rsid w:val="003E3208"/>
    <w:rsid w:val="003E4CC5"/>
    <w:rsid w:val="003E4F6B"/>
    <w:rsid w:val="003E5ABC"/>
    <w:rsid w:val="003E5DFB"/>
    <w:rsid w:val="003E607C"/>
    <w:rsid w:val="003E6F22"/>
    <w:rsid w:val="003F0E87"/>
    <w:rsid w:val="003F1127"/>
    <w:rsid w:val="003F1F36"/>
    <w:rsid w:val="003F3237"/>
    <w:rsid w:val="003F32F5"/>
    <w:rsid w:val="003F3E2C"/>
    <w:rsid w:val="003F420E"/>
    <w:rsid w:val="003F4305"/>
    <w:rsid w:val="003F5630"/>
    <w:rsid w:val="003F7F4A"/>
    <w:rsid w:val="00400326"/>
    <w:rsid w:val="00401581"/>
    <w:rsid w:val="004015E8"/>
    <w:rsid w:val="00401692"/>
    <w:rsid w:val="00402509"/>
    <w:rsid w:val="0040260A"/>
    <w:rsid w:val="004035AA"/>
    <w:rsid w:val="00404136"/>
    <w:rsid w:val="00404A69"/>
    <w:rsid w:val="004060A8"/>
    <w:rsid w:val="004069AE"/>
    <w:rsid w:val="0040783F"/>
    <w:rsid w:val="00407C27"/>
    <w:rsid w:val="004112F2"/>
    <w:rsid w:val="0041183F"/>
    <w:rsid w:val="00411A04"/>
    <w:rsid w:val="00411B41"/>
    <w:rsid w:val="00412B56"/>
    <w:rsid w:val="00412BE0"/>
    <w:rsid w:val="00413124"/>
    <w:rsid w:val="0041398B"/>
    <w:rsid w:val="00413AC6"/>
    <w:rsid w:val="00413CF3"/>
    <w:rsid w:val="004142F5"/>
    <w:rsid w:val="00414515"/>
    <w:rsid w:val="0041504B"/>
    <w:rsid w:val="00415370"/>
    <w:rsid w:val="00415805"/>
    <w:rsid w:val="004208F8"/>
    <w:rsid w:val="00420BB0"/>
    <w:rsid w:val="00420CF4"/>
    <w:rsid w:val="00420EF9"/>
    <w:rsid w:val="00421101"/>
    <w:rsid w:val="0042139C"/>
    <w:rsid w:val="00422B66"/>
    <w:rsid w:val="004239C6"/>
    <w:rsid w:val="004247CF"/>
    <w:rsid w:val="00424A31"/>
    <w:rsid w:val="00425D13"/>
    <w:rsid w:val="0042782E"/>
    <w:rsid w:val="0042784A"/>
    <w:rsid w:val="004278F7"/>
    <w:rsid w:val="0043033C"/>
    <w:rsid w:val="004303FE"/>
    <w:rsid w:val="0043069B"/>
    <w:rsid w:val="004310F5"/>
    <w:rsid w:val="0043359E"/>
    <w:rsid w:val="0043607F"/>
    <w:rsid w:val="0043621C"/>
    <w:rsid w:val="00436893"/>
    <w:rsid w:val="004368AA"/>
    <w:rsid w:val="0044003E"/>
    <w:rsid w:val="00440041"/>
    <w:rsid w:val="004401B7"/>
    <w:rsid w:val="00440CB9"/>
    <w:rsid w:val="00441C31"/>
    <w:rsid w:val="00441F28"/>
    <w:rsid w:val="004420D0"/>
    <w:rsid w:val="004431A3"/>
    <w:rsid w:val="00443518"/>
    <w:rsid w:val="0044363F"/>
    <w:rsid w:val="00443A32"/>
    <w:rsid w:val="00443BFE"/>
    <w:rsid w:val="0044798E"/>
    <w:rsid w:val="00450377"/>
    <w:rsid w:val="00450854"/>
    <w:rsid w:val="0045164D"/>
    <w:rsid w:val="0045188A"/>
    <w:rsid w:val="0045244F"/>
    <w:rsid w:val="004528AA"/>
    <w:rsid w:val="00452E92"/>
    <w:rsid w:val="00453B01"/>
    <w:rsid w:val="00453FA3"/>
    <w:rsid w:val="00454163"/>
    <w:rsid w:val="00454268"/>
    <w:rsid w:val="004544D2"/>
    <w:rsid w:val="00454567"/>
    <w:rsid w:val="00454710"/>
    <w:rsid w:val="00454E16"/>
    <w:rsid w:val="004553BD"/>
    <w:rsid w:val="00455CD7"/>
    <w:rsid w:val="0045683F"/>
    <w:rsid w:val="00456856"/>
    <w:rsid w:val="004601E4"/>
    <w:rsid w:val="004616B7"/>
    <w:rsid w:val="004617D8"/>
    <w:rsid w:val="00461862"/>
    <w:rsid w:val="00461A2C"/>
    <w:rsid w:val="0046341A"/>
    <w:rsid w:val="0046390F"/>
    <w:rsid w:val="0046492C"/>
    <w:rsid w:val="00464B54"/>
    <w:rsid w:val="00464BF6"/>
    <w:rsid w:val="00465773"/>
    <w:rsid w:val="00466AD4"/>
    <w:rsid w:val="0046758C"/>
    <w:rsid w:val="0047037C"/>
    <w:rsid w:val="0047128A"/>
    <w:rsid w:val="004719AA"/>
    <w:rsid w:val="00471B00"/>
    <w:rsid w:val="0047259C"/>
    <w:rsid w:val="004726E1"/>
    <w:rsid w:val="00472FE2"/>
    <w:rsid w:val="004739F3"/>
    <w:rsid w:val="00473E7A"/>
    <w:rsid w:val="00474EB0"/>
    <w:rsid w:val="004753E3"/>
    <w:rsid w:val="00477033"/>
    <w:rsid w:val="00477CDC"/>
    <w:rsid w:val="00480638"/>
    <w:rsid w:val="00480887"/>
    <w:rsid w:val="00480FD7"/>
    <w:rsid w:val="00481813"/>
    <w:rsid w:val="00481D66"/>
    <w:rsid w:val="00481E15"/>
    <w:rsid w:val="004821C0"/>
    <w:rsid w:val="004826F1"/>
    <w:rsid w:val="00482942"/>
    <w:rsid w:val="004829A0"/>
    <w:rsid w:val="00484B1F"/>
    <w:rsid w:val="0048588A"/>
    <w:rsid w:val="004859CF"/>
    <w:rsid w:val="00485EC8"/>
    <w:rsid w:val="00486773"/>
    <w:rsid w:val="00486ABB"/>
    <w:rsid w:val="0048703D"/>
    <w:rsid w:val="0048737A"/>
    <w:rsid w:val="00487C6C"/>
    <w:rsid w:val="00487DF7"/>
    <w:rsid w:val="00487F6D"/>
    <w:rsid w:val="004903D4"/>
    <w:rsid w:val="00490815"/>
    <w:rsid w:val="004919C6"/>
    <w:rsid w:val="00492E24"/>
    <w:rsid w:val="00493E00"/>
    <w:rsid w:val="00493F10"/>
    <w:rsid w:val="00496974"/>
    <w:rsid w:val="004969A0"/>
    <w:rsid w:val="00497104"/>
    <w:rsid w:val="00497B6A"/>
    <w:rsid w:val="00497EAB"/>
    <w:rsid w:val="004A075B"/>
    <w:rsid w:val="004A12D5"/>
    <w:rsid w:val="004A2ACC"/>
    <w:rsid w:val="004A33BD"/>
    <w:rsid w:val="004A36FD"/>
    <w:rsid w:val="004A3716"/>
    <w:rsid w:val="004A3E23"/>
    <w:rsid w:val="004A3F51"/>
    <w:rsid w:val="004A40C0"/>
    <w:rsid w:val="004A4EC0"/>
    <w:rsid w:val="004A4EF2"/>
    <w:rsid w:val="004A4F16"/>
    <w:rsid w:val="004A51B6"/>
    <w:rsid w:val="004A7123"/>
    <w:rsid w:val="004A79D9"/>
    <w:rsid w:val="004A7D91"/>
    <w:rsid w:val="004B04CD"/>
    <w:rsid w:val="004B06EC"/>
    <w:rsid w:val="004B11C4"/>
    <w:rsid w:val="004B1A9B"/>
    <w:rsid w:val="004B1E09"/>
    <w:rsid w:val="004B2088"/>
    <w:rsid w:val="004B4663"/>
    <w:rsid w:val="004B49F7"/>
    <w:rsid w:val="004B5714"/>
    <w:rsid w:val="004B6030"/>
    <w:rsid w:val="004B7BBD"/>
    <w:rsid w:val="004C1A4C"/>
    <w:rsid w:val="004C27C8"/>
    <w:rsid w:val="004C314E"/>
    <w:rsid w:val="004C3213"/>
    <w:rsid w:val="004C33C4"/>
    <w:rsid w:val="004C40DF"/>
    <w:rsid w:val="004C43F4"/>
    <w:rsid w:val="004C4B6A"/>
    <w:rsid w:val="004C4F50"/>
    <w:rsid w:val="004C513F"/>
    <w:rsid w:val="004C5880"/>
    <w:rsid w:val="004C5B49"/>
    <w:rsid w:val="004C5CB1"/>
    <w:rsid w:val="004C60D8"/>
    <w:rsid w:val="004C63B2"/>
    <w:rsid w:val="004C7174"/>
    <w:rsid w:val="004C7470"/>
    <w:rsid w:val="004C765B"/>
    <w:rsid w:val="004C7766"/>
    <w:rsid w:val="004C78FE"/>
    <w:rsid w:val="004C7BBB"/>
    <w:rsid w:val="004D0745"/>
    <w:rsid w:val="004D0F94"/>
    <w:rsid w:val="004D1A64"/>
    <w:rsid w:val="004D1C26"/>
    <w:rsid w:val="004D2000"/>
    <w:rsid w:val="004D2159"/>
    <w:rsid w:val="004D3C6B"/>
    <w:rsid w:val="004D3F48"/>
    <w:rsid w:val="004D40AE"/>
    <w:rsid w:val="004D4464"/>
    <w:rsid w:val="004D446F"/>
    <w:rsid w:val="004D5D0F"/>
    <w:rsid w:val="004D5E5B"/>
    <w:rsid w:val="004D6F17"/>
    <w:rsid w:val="004D7DB4"/>
    <w:rsid w:val="004E0323"/>
    <w:rsid w:val="004E0E51"/>
    <w:rsid w:val="004E0F65"/>
    <w:rsid w:val="004E121F"/>
    <w:rsid w:val="004E1DBD"/>
    <w:rsid w:val="004E268D"/>
    <w:rsid w:val="004E3726"/>
    <w:rsid w:val="004E3AB9"/>
    <w:rsid w:val="004E4A89"/>
    <w:rsid w:val="004E4B2D"/>
    <w:rsid w:val="004E510C"/>
    <w:rsid w:val="004F2722"/>
    <w:rsid w:val="004F5973"/>
    <w:rsid w:val="004F5E21"/>
    <w:rsid w:val="004F629C"/>
    <w:rsid w:val="004F63B4"/>
    <w:rsid w:val="004F6D76"/>
    <w:rsid w:val="004F7B89"/>
    <w:rsid w:val="00500433"/>
    <w:rsid w:val="005006BF"/>
    <w:rsid w:val="00500C2D"/>
    <w:rsid w:val="0050272A"/>
    <w:rsid w:val="00502CC4"/>
    <w:rsid w:val="00503093"/>
    <w:rsid w:val="005034D9"/>
    <w:rsid w:val="005037F0"/>
    <w:rsid w:val="00503E59"/>
    <w:rsid w:val="00504520"/>
    <w:rsid w:val="00504B23"/>
    <w:rsid w:val="00504C59"/>
    <w:rsid w:val="00505289"/>
    <w:rsid w:val="00505519"/>
    <w:rsid w:val="00506838"/>
    <w:rsid w:val="00506D8A"/>
    <w:rsid w:val="00507AA0"/>
    <w:rsid w:val="00510881"/>
    <w:rsid w:val="005108F6"/>
    <w:rsid w:val="00510BFB"/>
    <w:rsid w:val="005115CE"/>
    <w:rsid w:val="005117DA"/>
    <w:rsid w:val="0051306B"/>
    <w:rsid w:val="00513EBE"/>
    <w:rsid w:val="0051592A"/>
    <w:rsid w:val="00515980"/>
    <w:rsid w:val="005159E3"/>
    <w:rsid w:val="0051757E"/>
    <w:rsid w:val="0052128C"/>
    <w:rsid w:val="00522902"/>
    <w:rsid w:val="005235CD"/>
    <w:rsid w:val="00523EF4"/>
    <w:rsid w:val="0052511B"/>
    <w:rsid w:val="00526031"/>
    <w:rsid w:val="00526486"/>
    <w:rsid w:val="00526AD6"/>
    <w:rsid w:val="00526E12"/>
    <w:rsid w:val="005273B2"/>
    <w:rsid w:val="00527602"/>
    <w:rsid w:val="00530882"/>
    <w:rsid w:val="00531F92"/>
    <w:rsid w:val="005329DD"/>
    <w:rsid w:val="00532F3F"/>
    <w:rsid w:val="0053467A"/>
    <w:rsid w:val="00534E8B"/>
    <w:rsid w:val="005353D0"/>
    <w:rsid w:val="00535DEA"/>
    <w:rsid w:val="00537AF7"/>
    <w:rsid w:val="00537B85"/>
    <w:rsid w:val="00537D5F"/>
    <w:rsid w:val="00537DC5"/>
    <w:rsid w:val="0054008D"/>
    <w:rsid w:val="005418A1"/>
    <w:rsid w:val="00543556"/>
    <w:rsid w:val="00543586"/>
    <w:rsid w:val="00543707"/>
    <w:rsid w:val="005440E5"/>
    <w:rsid w:val="005442AD"/>
    <w:rsid w:val="00544886"/>
    <w:rsid w:val="00545492"/>
    <w:rsid w:val="005454D4"/>
    <w:rsid w:val="0054558D"/>
    <w:rsid w:val="00545F13"/>
    <w:rsid w:val="00546A0A"/>
    <w:rsid w:val="00546A22"/>
    <w:rsid w:val="00546A2C"/>
    <w:rsid w:val="00546B92"/>
    <w:rsid w:val="00546CEB"/>
    <w:rsid w:val="00547B3A"/>
    <w:rsid w:val="00547F92"/>
    <w:rsid w:val="00550E0A"/>
    <w:rsid w:val="00550E72"/>
    <w:rsid w:val="00551028"/>
    <w:rsid w:val="00551370"/>
    <w:rsid w:val="005532A2"/>
    <w:rsid w:val="00554B6A"/>
    <w:rsid w:val="0055529C"/>
    <w:rsid w:val="005559E9"/>
    <w:rsid w:val="00555A07"/>
    <w:rsid w:val="00555C91"/>
    <w:rsid w:val="0055606E"/>
    <w:rsid w:val="005562A0"/>
    <w:rsid w:val="00556908"/>
    <w:rsid w:val="0055795F"/>
    <w:rsid w:val="00557BEB"/>
    <w:rsid w:val="00557D3D"/>
    <w:rsid w:val="00560D37"/>
    <w:rsid w:val="0056160A"/>
    <w:rsid w:val="00561781"/>
    <w:rsid w:val="00561B9C"/>
    <w:rsid w:val="005620D3"/>
    <w:rsid w:val="0056383F"/>
    <w:rsid w:val="005645B6"/>
    <w:rsid w:val="00564E13"/>
    <w:rsid w:val="00566739"/>
    <w:rsid w:val="00567DBA"/>
    <w:rsid w:val="00570796"/>
    <w:rsid w:val="00570FF3"/>
    <w:rsid w:val="005718B7"/>
    <w:rsid w:val="00572161"/>
    <w:rsid w:val="00572387"/>
    <w:rsid w:val="00572B53"/>
    <w:rsid w:val="00573720"/>
    <w:rsid w:val="00573E86"/>
    <w:rsid w:val="005740E3"/>
    <w:rsid w:val="00574C94"/>
    <w:rsid w:val="005763ED"/>
    <w:rsid w:val="00576D7B"/>
    <w:rsid w:val="00577121"/>
    <w:rsid w:val="005772E2"/>
    <w:rsid w:val="00577375"/>
    <w:rsid w:val="005803C6"/>
    <w:rsid w:val="00580F1D"/>
    <w:rsid w:val="00582AF0"/>
    <w:rsid w:val="00582BF0"/>
    <w:rsid w:val="00582F50"/>
    <w:rsid w:val="0058371F"/>
    <w:rsid w:val="0058479E"/>
    <w:rsid w:val="00584A27"/>
    <w:rsid w:val="00584C35"/>
    <w:rsid w:val="0058534F"/>
    <w:rsid w:val="00585860"/>
    <w:rsid w:val="00585A8F"/>
    <w:rsid w:val="00586147"/>
    <w:rsid w:val="0058683B"/>
    <w:rsid w:val="00586EFC"/>
    <w:rsid w:val="005870D6"/>
    <w:rsid w:val="0058711A"/>
    <w:rsid w:val="00587688"/>
    <w:rsid w:val="005876B4"/>
    <w:rsid w:val="005904B6"/>
    <w:rsid w:val="00590734"/>
    <w:rsid w:val="00590803"/>
    <w:rsid w:val="00590817"/>
    <w:rsid w:val="005959D3"/>
    <w:rsid w:val="0059679C"/>
    <w:rsid w:val="00596928"/>
    <w:rsid w:val="0059702C"/>
    <w:rsid w:val="005A081B"/>
    <w:rsid w:val="005A0BCC"/>
    <w:rsid w:val="005A0EAA"/>
    <w:rsid w:val="005A13EC"/>
    <w:rsid w:val="005A1CA2"/>
    <w:rsid w:val="005A226B"/>
    <w:rsid w:val="005A32AE"/>
    <w:rsid w:val="005A32DD"/>
    <w:rsid w:val="005A32F5"/>
    <w:rsid w:val="005A3804"/>
    <w:rsid w:val="005A3E1B"/>
    <w:rsid w:val="005A4A90"/>
    <w:rsid w:val="005A4AAB"/>
    <w:rsid w:val="005A4E93"/>
    <w:rsid w:val="005A56EE"/>
    <w:rsid w:val="005A6020"/>
    <w:rsid w:val="005A62E5"/>
    <w:rsid w:val="005A6367"/>
    <w:rsid w:val="005A6683"/>
    <w:rsid w:val="005A73A2"/>
    <w:rsid w:val="005A758F"/>
    <w:rsid w:val="005A799D"/>
    <w:rsid w:val="005A7B32"/>
    <w:rsid w:val="005B097E"/>
    <w:rsid w:val="005B101B"/>
    <w:rsid w:val="005B1157"/>
    <w:rsid w:val="005B2CD9"/>
    <w:rsid w:val="005B2FD1"/>
    <w:rsid w:val="005B31D9"/>
    <w:rsid w:val="005B39F8"/>
    <w:rsid w:val="005B4BB6"/>
    <w:rsid w:val="005B4EF5"/>
    <w:rsid w:val="005B57F2"/>
    <w:rsid w:val="005B5804"/>
    <w:rsid w:val="005B5E75"/>
    <w:rsid w:val="005B64D2"/>
    <w:rsid w:val="005B64DC"/>
    <w:rsid w:val="005B6FAA"/>
    <w:rsid w:val="005C0425"/>
    <w:rsid w:val="005C069E"/>
    <w:rsid w:val="005C07E1"/>
    <w:rsid w:val="005C1AC6"/>
    <w:rsid w:val="005C2D94"/>
    <w:rsid w:val="005C33E7"/>
    <w:rsid w:val="005C4AC0"/>
    <w:rsid w:val="005C4B32"/>
    <w:rsid w:val="005C500E"/>
    <w:rsid w:val="005C6452"/>
    <w:rsid w:val="005C6BC3"/>
    <w:rsid w:val="005C754D"/>
    <w:rsid w:val="005C7A8B"/>
    <w:rsid w:val="005D0297"/>
    <w:rsid w:val="005D03E3"/>
    <w:rsid w:val="005D13E0"/>
    <w:rsid w:val="005D1A54"/>
    <w:rsid w:val="005D2D64"/>
    <w:rsid w:val="005D32A4"/>
    <w:rsid w:val="005D3FBE"/>
    <w:rsid w:val="005D4C6E"/>
    <w:rsid w:val="005D4D41"/>
    <w:rsid w:val="005D59EB"/>
    <w:rsid w:val="005D6DAF"/>
    <w:rsid w:val="005D73C4"/>
    <w:rsid w:val="005E00DE"/>
    <w:rsid w:val="005E1757"/>
    <w:rsid w:val="005E1BA1"/>
    <w:rsid w:val="005E1DC6"/>
    <w:rsid w:val="005E1DFD"/>
    <w:rsid w:val="005E21CD"/>
    <w:rsid w:val="005E237E"/>
    <w:rsid w:val="005E34BE"/>
    <w:rsid w:val="005E5071"/>
    <w:rsid w:val="005E5E8B"/>
    <w:rsid w:val="005E6126"/>
    <w:rsid w:val="005E6D6B"/>
    <w:rsid w:val="005E6FD4"/>
    <w:rsid w:val="005E742E"/>
    <w:rsid w:val="005F0346"/>
    <w:rsid w:val="005F04AA"/>
    <w:rsid w:val="005F08B0"/>
    <w:rsid w:val="005F0EFC"/>
    <w:rsid w:val="005F1506"/>
    <w:rsid w:val="005F175E"/>
    <w:rsid w:val="005F1E95"/>
    <w:rsid w:val="005F28BB"/>
    <w:rsid w:val="005F36C1"/>
    <w:rsid w:val="005F5050"/>
    <w:rsid w:val="005F5330"/>
    <w:rsid w:val="005F582B"/>
    <w:rsid w:val="005F5E69"/>
    <w:rsid w:val="005F6164"/>
    <w:rsid w:val="00602D46"/>
    <w:rsid w:val="00603CB3"/>
    <w:rsid w:val="0060418C"/>
    <w:rsid w:val="006043C5"/>
    <w:rsid w:val="00605841"/>
    <w:rsid w:val="006066B5"/>
    <w:rsid w:val="00607064"/>
    <w:rsid w:val="00607679"/>
    <w:rsid w:val="006079B2"/>
    <w:rsid w:val="00607D8D"/>
    <w:rsid w:val="006107BD"/>
    <w:rsid w:val="006108A4"/>
    <w:rsid w:val="00611941"/>
    <w:rsid w:val="00611BE0"/>
    <w:rsid w:val="006128D3"/>
    <w:rsid w:val="00612DA6"/>
    <w:rsid w:val="00613AC6"/>
    <w:rsid w:val="006144BD"/>
    <w:rsid w:val="006153DE"/>
    <w:rsid w:val="00616D97"/>
    <w:rsid w:val="00617341"/>
    <w:rsid w:val="006176B6"/>
    <w:rsid w:val="00617939"/>
    <w:rsid w:val="006201B0"/>
    <w:rsid w:val="00620452"/>
    <w:rsid w:val="00620842"/>
    <w:rsid w:val="00620E01"/>
    <w:rsid w:val="00621471"/>
    <w:rsid w:val="00622D59"/>
    <w:rsid w:val="00623C63"/>
    <w:rsid w:val="006242E5"/>
    <w:rsid w:val="00624E92"/>
    <w:rsid w:val="00625601"/>
    <w:rsid w:val="006269B2"/>
    <w:rsid w:val="00627278"/>
    <w:rsid w:val="006278A6"/>
    <w:rsid w:val="00627F85"/>
    <w:rsid w:val="0063061C"/>
    <w:rsid w:val="00631CEE"/>
    <w:rsid w:val="00631F96"/>
    <w:rsid w:val="0063420E"/>
    <w:rsid w:val="00634774"/>
    <w:rsid w:val="00634F90"/>
    <w:rsid w:val="00635D8C"/>
    <w:rsid w:val="006363C0"/>
    <w:rsid w:val="00636517"/>
    <w:rsid w:val="00637012"/>
    <w:rsid w:val="00637E8A"/>
    <w:rsid w:val="00642E85"/>
    <w:rsid w:val="00643D0C"/>
    <w:rsid w:val="00643FCD"/>
    <w:rsid w:val="00644262"/>
    <w:rsid w:val="00645A49"/>
    <w:rsid w:val="00646B62"/>
    <w:rsid w:val="006470A9"/>
    <w:rsid w:val="006506B8"/>
    <w:rsid w:val="006509F5"/>
    <w:rsid w:val="006510FB"/>
    <w:rsid w:val="00652341"/>
    <w:rsid w:val="00653365"/>
    <w:rsid w:val="00653993"/>
    <w:rsid w:val="00654BC2"/>
    <w:rsid w:val="00654CE3"/>
    <w:rsid w:val="00655838"/>
    <w:rsid w:val="0065640B"/>
    <w:rsid w:val="00657B12"/>
    <w:rsid w:val="00657E28"/>
    <w:rsid w:val="00657F08"/>
    <w:rsid w:val="00661C1C"/>
    <w:rsid w:val="006620FB"/>
    <w:rsid w:val="00662262"/>
    <w:rsid w:val="00662907"/>
    <w:rsid w:val="0066311B"/>
    <w:rsid w:val="00663446"/>
    <w:rsid w:val="00663FCC"/>
    <w:rsid w:val="00664B01"/>
    <w:rsid w:val="00664E91"/>
    <w:rsid w:val="00664F02"/>
    <w:rsid w:val="006655F1"/>
    <w:rsid w:val="00665636"/>
    <w:rsid w:val="00667CE8"/>
    <w:rsid w:val="00667EEA"/>
    <w:rsid w:val="00671987"/>
    <w:rsid w:val="0067214A"/>
    <w:rsid w:val="00672368"/>
    <w:rsid w:val="00675C95"/>
    <w:rsid w:val="00676D26"/>
    <w:rsid w:val="006774C6"/>
    <w:rsid w:val="00677570"/>
    <w:rsid w:val="00677A23"/>
    <w:rsid w:val="00677F0E"/>
    <w:rsid w:val="00680444"/>
    <w:rsid w:val="006810AF"/>
    <w:rsid w:val="0068205C"/>
    <w:rsid w:val="00682416"/>
    <w:rsid w:val="0068251D"/>
    <w:rsid w:val="0068251E"/>
    <w:rsid w:val="0068291B"/>
    <w:rsid w:val="00682CFB"/>
    <w:rsid w:val="006833EB"/>
    <w:rsid w:val="00684C37"/>
    <w:rsid w:val="0068508E"/>
    <w:rsid w:val="0068522A"/>
    <w:rsid w:val="00685385"/>
    <w:rsid w:val="0068545D"/>
    <w:rsid w:val="0068620E"/>
    <w:rsid w:val="0068624E"/>
    <w:rsid w:val="006862ED"/>
    <w:rsid w:val="00686793"/>
    <w:rsid w:val="00687440"/>
    <w:rsid w:val="00690647"/>
    <w:rsid w:val="00691CB7"/>
    <w:rsid w:val="0069235D"/>
    <w:rsid w:val="00692C82"/>
    <w:rsid w:val="00693CE3"/>
    <w:rsid w:val="00693DA6"/>
    <w:rsid w:val="0069742D"/>
    <w:rsid w:val="006A0681"/>
    <w:rsid w:val="006A2B66"/>
    <w:rsid w:val="006A2FC3"/>
    <w:rsid w:val="006A343F"/>
    <w:rsid w:val="006A3E95"/>
    <w:rsid w:val="006A52E2"/>
    <w:rsid w:val="006A5607"/>
    <w:rsid w:val="006A58F9"/>
    <w:rsid w:val="006B1451"/>
    <w:rsid w:val="006B2FFE"/>
    <w:rsid w:val="006B3100"/>
    <w:rsid w:val="006B3135"/>
    <w:rsid w:val="006B3749"/>
    <w:rsid w:val="006B4328"/>
    <w:rsid w:val="006B4EB0"/>
    <w:rsid w:val="006B5116"/>
    <w:rsid w:val="006B56C7"/>
    <w:rsid w:val="006B5E41"/>
    <w:rsid w:val="006C07E1"/>
    <w:rsid w:val="006C0DCA"/>
    <w:rsid w:val="006C1439"/>
    <w:rsid w:val="006C2035"/>
    <w:rsid w:val="006C32D5"/>
    <w:rsid w:val="006C3E9D"/>
    <w:rsid w:val="006C440B"/>
    <w:rsid w:val="006C4B1A"/>
    <w:rsid w:val="006C4D0B"/>
    <w:rsid w:val="006C4ED5"/>
    <w:rsid w:val="006C4EDA"/>
    <w:rsid w:val="006C61D4"/>
    <w:rsid w:val="006C62AF"/>
    <w:rsid w:val="006C6D84"/>
    <w:rsid w:val="006D04A0"/>
    <w:rsid w:val="006D09DA"/>
    <w:rsid w:val="006D1BF7"/>
    <w:rsid w:val="006D1FE8"/>
    <w:rsid w:val="006D2686"/>
    <w:rsid w:val="006D2FC2"/>
    <w:rsid w:val="006D35C8"/>
    <w:rsid w:val="006D3A2C"/>
    <w:rsid w:val="006D4F3F"/>
    <w:rsid w:val="006D53D5"/>
    <w:rsid w:val="006D626C"/>
    <w:rsid w:val="006D6AB3"/>
    <w:rsid w:val="006D7703"/>
    <w:rsid w:val="006D7FD0"/>
    <w:rsid w:val="006E091A"/>
    <w:rsid w:val="006E0D5C"/>
    <w:rsid w:val="006E1C04"/>
    <w:rsid w:val="006E28CB"/>
    <w:rsid w:val="006E2C8F"/>
    <w:rsid w:val="006E45D7"/>
    <w:rsid w:val="006E4693"/>
    <w:rsid w:val="006E4DB7"/>
    <w:rsid w:val="006E5D54"/>
    <w:rsid w:val="006E5FBD"/>
    <w:rsid w:val="006E7C98"/>
    <w:rsid w:val="006E7E6C"/>
    <w:rsid w:val="006F001F"/>
    <w:rsid w:val="006F1CAA"/>
    <w:rsid w:val="006F4237"/>
    <w:rsid w:val="006F57E2"/>
    <w:rsid w:val="006F6178"/>
    <w:rsid w:val="006F6AEE"/>
    <w:rsid w:val="006F6DBC"/>
    <w:rsid w:val="007012EE"/>
    <w:rsid w:val="0070250D"/>
    <w:rsid w:val="00703104"/>
    <w:rsid w:val="007031F9"/>
    <w:rsid w:val="00703B4E"/>
    <w:rsid w:val="007050DC"/>
    <w:rsid w:val="00707C7E"/>
    <w:rsid w:val="007106F0"/>
    <w:rsid w:val="00710D5D"/>
    <w:rsid w:val="007119AA"/>
    <w:rsid w:val="0071210A"/>
    <w:rsid w:val="00712936"/>
    <w:rsid w:val="00712D64"/>
    <w:rsid w:val="00713978"/>
    <w:rsid w:val="00713ECB"/>
    <w:rsid w:val="00714887"/>
    <w:rsid w:val="00714EB2"/>
    <w:rsid w:val="007152E1"/>
    <w:rsid w:val="0071535A"/>
    <w:rsid w:val="007158E2"/>
    <w:rsid w:val="00716F43"/>
    <w:rsid w:val="00717879"/>
    <w:rsid w:val="0072021A"/>
    <w:rsid w:val="007208AD"/>
    <w:rsid w:val="00720E03"/>
    <w:rsid w:val="0072154E"/>
    <w:rsid w:val="00721683"/>
    <w:rsid w:val="00721B35"/>
    <w:rsid w:val="00721DAB"/>
    <w:rsid w:val="0072226D"/>
    <w:rsid w:val="00723871"/>
    <w:rsid w:val="0072472B"/>
    <w:rsid w:val="00724951"/>
    <w:rsid w:val="0072560A"/>
    <w:rsid w:val="00725786"/>
    <w:rsid w:val="00725D89"/>
    <w:rsid w:val="0072778F"/>
    <w:rsid w:val="00730E02"/>
    <w:rsid w:val="00730F55"/>
    <w:rsid w:val="00732B24"/>
    <w:rsid w:val="0073331C"/>
    <w:rsid w:val="007335C2"/>
    <w:rsid w:val="0073361C"/>
    <w:rsid w:val="00733CE8"/>
    <w:rsid w:val="007343BB"/>
    <w:rsid w:val="007356EA"/>
    <w:rsid w:val="007361C0"/>
    <w:rsid w:val="00736B81"/>
    <w:rsid w:val="00737212"/>
    <w:rsid w:val="007374D1"/>
    <w:rsid w:val="00737CDC"/>
    <w:rsid w:val="00740E78"/>
    <w:rsid w:val="007410D7"/>
    <w:rsid w:val="007414C9"/>
    <w:rsid w:val="007415F3"/>
    <w:rsid w:val="00741872"/>
    <w:rsid w:val="00743D86"/>
    <w:rsid w:val="00744132"/>
    <w:rsid w:val="00744D6E"/>
    <w:rsid w:val="00745521"/>
    <w:rsid w:val="00745FBC"/>
    <w:rsid w:val="0074637A"/>
    <w:rsid w:val="00746975"/>
    <w:rsid w:val="00747A68"/>
    <w:rsid w:val="0075006A"/>
    <w:rsid w:val="0075085C"/>
    <w:rsid w:val="00750F4B"/>
    <w:rsid w:val="00751F8E"/>
    <w:rsid w:val="00752D1C"/>
    <w:rsid w:val="00752D27"/>
    <w:rsid w:val="00753617"/>
    <w:rsid w:val="00753786"/>
    <w:rsid w:val="00753991"/>
    <w:rsid w:val="007551D4"/>
    <w:rsid w:val="00757A3B"/>
    <w:rsid w:val="00760990"/>
    <w:rsid w:val="007618F0"/>
    <w:rsid w:val="00761E2B"/>
    <w:rsid w:val="00762453"/>
    <w:rsid w:val="007625C3"/>
    <w:rsid w:val="007627ED"/>
    <w:rsid w:val="00763033"/>
    <w:rsid w:val="00763D92"/>
    <w:rsid w:val="0076432D"/>
    <w:rsid w:val="0076486D"/>
    <w:rsid w:val="00764DE2"/>
    <w:rsid w:val="00765245"/>
    <w:rsid w:val="007655A9"/>
    <w:rsid w:val="00766BE2"/>
    <w:rsid w:val="00766E81"/>
    <w:rsid w:val="007674AD"/>
    <w:rsid w:val="00770276"/>
    <w:rsid w:val="00770A06"/>
    <w:rsid w:val="00770AE0"/>
    <w:rsid w:val="00770DAA"/>
    <w:rsid w:val="007722CF"/>
    <w:rsid w:val="007726F4"/>
    <w:rsid w:val="00772917"/>
    <w:rsid w:val="00772FCC"/>
    <w:rsid w:val="00774B5E"/>
    <w:rsid w:val="0077578E"/>
    <w:rsid w:val="007758E3"/>
    <w:rsid w:val="00775D5F"/>
    <w:rsid w:val="00775DBB"/>
    <w:rsid w:val="007766C3"/>
    <w:rsid w:val="00776C0D"/>
    <w:rsid w:val="00776F67"/>
    <w:rsid w:val="007770A0"/>
    <w:rsid w:val="007801F5"/>
    <w:rsid w:val="0078087E"/>
    <w:rsid w:val="00780F1B"/>
    <w:rsid w:val="00780F7C"/>
    <w:rsid w:val="00781058"/>
    <w:rsid w:val="00781629"/>
    <w:rsid w:val="00781833"/>
    <w:rsid w:val="00781AED"/>
    <w:rsid w:val="00781F8F"/>
    <w:rsid w:val="00783485"/>
    <w:rsid w:val="00785DE2"/>
    <w:rsid w:val="007862D2"/>
    <w:rsid w:val="0078701D"/>
    <w:rsid w:val="0078728C"/>
    <w:rsid w:val="00787989"/>
    <w:rsid w:val="007911CF"/>
    <w:rsid w:val="00791396"/>
    <w:rsid w:val="007924F7"/>
    <w:rsid w:val="00793658"/>
    <w:rsid w:val="00793A5A"/>
    <w:rsid w:val="0079454C"/>
    <w:rsid w:val="00796017"/>
    <w:rsid w:val="007965C7"/>
    <w:rsid w:val="00796A2E"/>
    <w:rsid w:val="00796B4E"/>
    <w:rsid w:val="00796EF5"/>
    <w:rsid w:val="007A1D5B"/>
    <w:rsid w:val="007A1F94"/>
    <w:rsid w:val="007A28ED"/>
    <w:rsid w:val="007A36D7"/>
    <w:rsid w:val="007A5292"/>
    <w:rsid w:val="007A588C"/>
    <w:rsid w:val="007A766A"/>
    <w:rsid w:val="007B026A"/>
    <w:rsid w:val="007B0A52"/>
    <w:rsid w:val="007B1394"/>
    <w:rsid w:val="007B16DB"/>
    <w:rsid w:val="007B2036"/>
    <w:rsid w:val="007B2883"/>
    <w:rsid w:val="007B2AC6"/>
    <w:rsid w:val="007B485E"/>
    <w:rsid w:val="007B488C"/>
    <w:rsid w:val="007B519F"/>
    <w:rsid w:val="007B51DF"/>
    <w:rsid w:val="007B6218"/>
    <w:rsid w:val="007B65AC"/>
    <w:rsid w:val="007B7665"/>
    <w:rsid w:val="007B7E49"/>
    <w:rsid w:val="007B7F54"/>
    <w:rsid w:val="007C0A11"/>
    <w:rsid w:val="007C11E1"/>
    <w:rsid w:val="007C2E4E"/>
    <w:rsid w:val="007C326B"/>
    <w:rsid w:val="007C3747"/>
    <w:rsid w:val="007C43E5"/>
    <w:rsid w:val="007C6883"/>
    <w:rsid w:val="007C7711"/>
    <w:rsid w:val="007D018A"/>
    <w:rsid w:val="007D0FB1"/>
    <w:rsid w:val="007D13CC"/>
    <w:rsid w:val="007D1A37"/>
    <w:rsid w:val="007D1D1B"/>
    <w:rsid w:val="007D23D5"/>
    <w:rsid w:val="007D2E6B"/>
    <w:rsid w:val="007D3E6A"/>
    <w:rsid w:val="007D54FD"/>
    <w:rsid w:val="007D759C"/>
    <w:rsid w:val="007D7D8B"/>
    <w:rsid w:val="007E0F78"/>
    <w:rsid w:val="007E10FC"/>
    <w:rsid w:val="007E167D"/>
    <w:rsid w:val="007E17E2"/>
    <w:rsid w:val="007E1BD0"/>
    <w:rsid w:val="007E26A8"/>
    <w:rsid w:val="007E3FE4"/>
    <w:rsid w:val="007E41C7"/>
    <w:rsid w:val="007E487E"/>
    <w:rsid w:val="007E4B42"/>
    <w:rsid w:val="007E4C46"/>
    <w:rsid w:val="007E4E8A"/>
    <w:rsid w:val="007E5BA6"/>
    <w:rsid w:val="007E5BC6"/>
    <w:rsid w:val="007E5BF1"/>
    <w:rsid w:val="007E5C17"/>
    <w:rsid w:val="007E5DC3"/>
    <w:rsid w:val="007E77CF"/>
    <w:rsid w:val="007E7811"/>
    <w:rsid w:val="007F2535"/>
    <w:rsid w:val="007F2886"/>
    <w:rsid w:val="007F2B38"/>
    <w:rsid w:val="007F33CB"/>
    <w:rsid w:val="007F5822"/>
    <w:rsid w:val="007F5F47"/>
    <w:rsid w:val="007F63D1"/>
    <w:rsid w:val="007F7030"/>
    <w:rsid w:val="008008C3"/>
    <w:rsid w:val="00800A66"/>
    <w:rsid w:val="00801410"/>
    <w:rsid w:val="008014F0"/>
    <w:rsid w:val="00801E05"/>
    <w:rsid w:val="0080326C"/>
    <w:rsid w:val="008037B2"/>
    <w:rsid w:val="00804EA9"/>
    <w:rsid w:val="00805103"/>
    <w:rsid w:val="00806F02"/>
    <w:rsid w:val="008076B2"/>
    <w:rsid w:val="0081023A"/>
    <w:rsid w:val="008112E6"/>
    <w:rsid w:val="0081153A"/>
    <w:rsid w:val="00812DFA"/>
    <w:rsid w:val="008139E1"/>
    <w:rsid w:val="00813A10"/>
    <w:rsid w:val="00815EBD"/>
    <w:rsid w:val="008167B7"/>
    <w:rsid w:val="00816A41"/>
    <w:rsid w:val="00816F7C"/>
    <w:rsid w:val="008171EB"/>
    <w:rsid w:val="0081723D"/>
    <w:rsid w:val="00820182"/>
    <w:rsid w:val="00820A20"/>
    <w:rsid w:val="00820E6E"/>
    <w:rsid w:val="00821843"/>
    <w:rsid w:val="00821A6F"/>
    <w:rsid w:val="00822C3B"/>
    <w:rsid w:val="00824109"/>
    <w:rsid w:val="008263AF"/>
    <w:rsid w:val="00826BC7"/>
    <w:rsid w:val="00826D39"/>
    <w:rsid w:val="0082763C"/>
    <w:rsid w:val="008279B8"/>
    <w:rsid w:val="00830042"/>
    <w:rsid w:val="00830200"/>
    <w:rsid w:val="008305DC"/>
    <w:rsid w:val="00831514"/>
    <w:rsid w:val="00832CD8"/>
    <w:rsid w:val="0083393C"/>
    <w:rsid w:val="00833FBF"/>
    <w:rsid w:val="00835A01"/>
    <w:rsid w:val="00835C4E"/>
    <w:rsid w:val="008360C7"/>
    <w:rsid w:val="008366C7"/>
    <w:rsid w:val="00837A0E"/>
    <w:rsid w:val="00837C27"/>
    <w:rsid w:val="00842375"/>
    <w:rsid w:val="00842494"/>
    <w:rsid w:val="00843586"/>
    <w:rsid w:val="00844C9A"/>
    <w:rsid w:val="00844D45"/>
    <w:rsid w:val="0084504F"/>
    <w:rsid w:val="008452F9"/>
    <w:rsid w:val="008469FD"/>
    <w:rsid w:val="00846D1F"/>
    <w:rsid w:val="00847778"/>
    <w:rsid w:val="00847F0B"/>
    <w:rsid w:val="0085088D"/>
    <w:rsid w:val="00851C01"/>
    <w:rsid w:val="00852EB2"/>
    <w:rsid w:val="00853361"/>
    <w:rsid w:val="00853733"/>
    <w:rsid w:val="008537CA"/>
    <w:rsid w:val="00855E11"/>
    <w:rsid w:val="00856646"/>
    <w:rsid w:val="00856A0F"/>
    <w:rsid w:val="00857224"/>
    <w:rsid w:val="00857361"/>
    <w:rsid w:val="0086020D"/>
    <w:rsid w:val="0086048D"/>
    <w:rsid w:val="008605AA"/>
    <w:rsid w:val="00860985"/>
    <w:rsid w:val="00860AEA"/>
    <w:rsid w:val="00861302"/>
    <w:rsid w:val="0086199E"/>
    <w:rsid w:val="00862ADA"/>
    <w:rsid w:val="00862C52"/>
    <w:rsid w:val="0086371B"/>
    <w:rsid w:val="00863FA4"/>
    <w:rsid w:val="00864A13"/>
    <w:rsid w:val="0086797E"/>
    <w:rsid w:val="00867B29"/>
    <w:rsid w:val="0087099C"/>
    <w:rsid w:val="0087200D"/>
    <w:rsid w:val="00872A05"/>
    <w:rsid w:val="00873111"/>
    <w:rsid w:val="008736FE"/>
    <w:rsid w:val="008737F9"/>
    <w:rsid w:val="008746C8"/>
    <w:rsid w:val="00874FFD"/>
    <w:rsid w:val="008758AE"/>
    <w:rsid w:val="00876228"/>
    <w:rsid w:val="0088036B"/>
    <w:rsid w:val="00880490"/>
    <w:rsid w:val="0088136F"/>
    <w:rsid w:val="00881BB7"/>
    <w:rsid w:val="00882E9D"/>
    <w:rsid w:val="0088324E"/>
    <w:rsid w:val="008835CC"/>
    <w:rsid w:val="00883C4A"/>
    <w:rsid w:val="0088550C"/>
    <w:rsid w:val="00885A5F"/>
    <w:rsid w:val="00885D1E"/>
    <w:rsid w:val="008907C3"/>
    <w:rsid w:val="00890F1D"/>
    <w:rsid w:val="00890F39"/>
    <w:rsid w:val="00890FE1"/>
    <w:rsid w:val="008911F2"/>
    <w:rsid w:val="008916D0"/>
    <w:rsid w:val="00891DE8"/>
    <w:rsid w:val="00891F0C"/>
    <w:rsid w:val="00891F23"/>
    <w:rsid w:val="00892FF5"/>
    <w:rsid w:val="008939F0"/>
    <w:rsid w:val="00893E59"/>
    <w:rsid w:val="008958E2"/>
    <w:rsid w:val="00896447"/>
    <w:rsid w:val="00896A2A"/>
    <w:rsid w:val="008A05B5"/>
    <w:rsid w:val="008A0A86"/>
    <w:rsid w:val="008A12E5"/>
    <w:rsid w:val="008A1388"/>
    <w:rsid w:val="008A182C"/>
    <w:rsid w:val="008A1967"/>
    <w:rsid w:val="008A213E"/>
    <w:rsid w:val="008A2281"/>
    <w:rsid w:val="008A295D"/>
    <w:rsid w:val="008A2F77"/>
    <w:rsid w:val="008A3593"/>
    <w:rsid w:val="008A3DB4"/>
    <w:rsid w:val="008A4394"/>
    <w:rsid w:val="008A4B94"/>
    <w:rsid w:val="008A4E15"/>
    <w:rsid w:val="008A5421"/>
    <w:rsid w:val="008A5AEB"/>
    <w:rsid w:val="008A64BB"/>
    <w:rsid w:val="008A681B"/>
    <w:rsid w:val="008A6B2A"/>
    <w:rsid w:val="008A6F51"/>
    <w:rsid w:val="008A7112"/>
    <w:rsid w:val="008A75C9"/>
    <w:rsid w:val="008B0025"/>
    <w:rsid w:val="008B0072"/>
    <w:rsid w:val="008B16CC"/>
    <w:rsid w:val="008B1BEB"/>
    <w:rsid w:val="008B208E"/>
    <w:rsid w:val="008B24FE"/>
    <w:rsid w:val="008B2F62"/>
    <w:rsid w:val="008B30C5"/>
    <w:rsid w:val="008B4897"/>
    <w:rsid w:val="008B51AE"/>
    <w:rsid w:val="008B6143"/>
    <w:rsid w:val="008B6A8F"/>
    <w:rsid w:val="008B6CF0"/>
    <w:rsid w:val="008B7786"/>
    <w:rsid w:val="008B7844"/>
    <w:rsid w:val="008C1B80"/>
    <w:rsid w:val="008C1FD8"/>
    <w:rsid w:val="008C2FA7"/>
    <w:rsid w:val="008C3B0F"/>
    <w:rsid w:val="008C3B85"/>
    <w:rsid w:val="008C4831"/>
    <w:rsid w:val="008C4B37"/>
    <w:rsid w:val="008C4BC3"/>
    <w:rsid w:val="008C5B07"/>
    <w:rsid w:val="008C5F61"/>
    <w:rsid w:val="008C6EAC"/>
    <w:rsid w:val="008C709C"/>
    <w:rsid w:val="008C786E"/>
    <w:rsid w:val="008D0229"/>
    <w:rsid w:val="008D18FE"/>
    <w:rsid w:val="008D2129"/>
    <w:rsid w:val="008D3245"/>
    <w:rsid w:val="008D38FF"/>
    <w:rsid w:val="008D572D"/>
    <w:rsid w:val="008D5802"/>
    <w:rsid w:val="008D649F"/>
    <w:rsid w:val="008D6531"/>
    <w:rsid w:val="008D6782"/>
    <w:rsid w:val="008D78AB"/>
    <w:rsid w:val="008D7C0C"/>
    <w:rsid w:val="008E02E3"/>
    <w:rsid w:val="008E129E"/>
    <w:rsid w:val="008E18B4"/>
    <w:rsid w:val="008E1D21"/>
    <w:rsid w:val="008E26FF"/>
    <w:rsid w:val="008E28AF"/>
    <w:rsid w:val="008E2958"/>
    <w:rsid w:val="008E2B6A"/>
    <w:rsid w:val="008E2CB4"/>
    <w:rsid w:val="008E4DB9"/>
    <w:rsid w:val="008E5E6E"/>
    <w:rsid w:val="008E622D"/>
    <w:rsid w:val="008E634A"/>
    <w:rsid w:val="008E6C91"/>
    <w:rsid w:val="008E7EA3"/>
    <w:rsid w:val="008F03CF"/>
    <w:rsid w:val="008F2634"/>
    <w:rsid w:val="008F33DB"/>
    <w:rsid w:val="008F3B98"/>
    <w:rsid w:val="008F3FB8"/>
    <w:rsid w:val="008F4475"/>
    <w:rsid w:val="008F5367"/>
    <w:rsid w:val="008F57EB"/>
    <w:rsid w:val="008F5B8D"/>
    <w:rsid w:val="009003AC"/>
    <w:rsid w:val="00900602"/>
    <w:rsid w:val="00901D23"/>
    <w:rsid w:val="009030C4"/>
    <w:rsid w:val="0090518B"/>
    <w:rsid w:val="0090695A"/>
    <w:rsid w:val="00907439"/>
    <w:rsid w:val="009112FE"/>
    <w:rsid w:val="00911A3D"/>
    <w:rsid w:val="00911B86"/>
    <w:rsid w:val="009138D0"/>
    <w:rsid w:val="0091453C"/>
    <w:rsid w:val="009145DC"/>
    <w:rsid w:val="00914873"/>
    <w:rsid w:val="0091633E"/>
    <w:rsid w:val="00920372"/>
    <w:rsid w:val="00921F79"/>
    <w:rsid w:val="0092224B"/>
    <w:rsid w:val="00922817"/>
    <w:rsid w:val="00922873"/>
    <w:rsid w:val="00923A4C"/>
    <w:rsid w:val="00924180"/>
    <w:rsid w:val="0092446F"/>
    <w:rsid w:val="00924BB6"/>
    <w:rsid w:val="009257ED"/>
    <w:rsid w:val="00925CAA"/>
    <w:rsid w:val="00926FF4"/>
    <w:rsid w:val="0092701D"/>
    <w:rsid w:val="00927700"/>
    <w:rsid w:val="009277D9"/>
    <w:rsid w:val="009304C0"/>
    <w:rsid w:val="00930AE2"/>
    <w:rsid w:val="0093146F"/>
    <w:rsid w:val="00933556"/>
    <w:rsid w:val="009342A9"/>
    <w:rsid w:val="009354F7"/>
    <w:rsid w:val="00935AD4"/>
    <w:rsid w:val="00935FA2"/>
    <w:rsid w:val="00936125"/>
    <w:rsid w:val="009362D9"/>
    <w:rsid w:val="00936AEF"/>
    <w:rsid w:val="00936B38"/>
    <w:rsid w:val="009402BB"/>
    <w:rsid w:val="0094167A"/>
    <w:rsid w:val="00942422"/>
    <w:rsid w:val="00942B63"/>
    <w:rsid w:val="00943B03"/>
    <w:rsid w:val="00944225"/>
    <w:rsid w:val="009458EE"/>
    <w:rsid w:val="009467E6"/>
    <w:rsid w:val="00946B46"/>
    <w:rsid w:val="0094732F"/>
    <w:rsid w:val="00947A42"/>
    <w:rsid w:val="009509ED"/>
    <w:rsid w:val="009512E4"/>
    <w:rsid w:val="00951ACF"/>
    <w:rsid w:val="00951B1D"/>
    <w:rsid w:val="00952F1B"/>
    <w:rsid w:val="00953720"/>
    <w:rsid w:val="00953F78"/>
    <w:rsid w:val="009541D3"/>
    <w:rsid w:val="009548A1"/>
    <w:rsid w:val="009548AD"/>
    <w:rsid w:val="00954954"/>
    <w:rsid w:val="00955201"/>
    <w:rsid w:val="00955EDE"/>
    <w:rsid w:val="009563B0"/>
    <w:rsid w:val="00956F0E"/>
    <w:rsid w:val="009574DF"/>
    <w:rsid w:val="00960ED2"/>
    <w:rsid w:val="009617E7"/>
    <w:rsid w:val="009627CA"/>
    <w:rsid w:val="00963CD0"/>
    <w:rsid w:val="0096490F"/>
    <w:rsid w:val="009650CA"/>
    <w:rsid w:val="00965421"/>
    <w:rsid w:val="009668C2"/>
    <w:rsid w:val="00970155"/>
    <w:rsid w:val="00970761"/>
    <w:rsid w:val="00971008"/>
    <w:rsid w:val="009712D3"/>
    <w:rsid w:val="00971493"/>
    <w:rsid w:val="0097175C"/>
    <w:rsid w:val="00971A9A"/>
    <w:rsid w:val="009721C0"/>
    <w:rsid w:val="00972B64"/>
    <w:rsid w:val="009746F1"/>
    <w:rsid w:val="00974B79"/>
    <w:rsid w:val="009750CB"/>
    <w:rsid w:val="00975C21"/>
    <w:rsid w:val="009768E9"/>
    <w:rsid w:val="009769FB"/>
    <w:rsid w:val="00976CC4"/>
    <w:rsid w:val="00976FCC"/>
    <w:rsid w:val="009777B5"/>
    <w:rsid w:val="00977CB2"/>
    <w:rsid w:val="0098085A"/>
    <w:rsid w:val="00981212"/>
    <w:rsid w:val="00982DA6"/>
    <w:rsid w:val="00982EA0"/>
    <w:rsid w:val="00983924"/>
    <w:rsid w:val="009851F1"/>
    <w:rsid w:val="00985FDC"/>
    <w:rsid w:val="009879F5"/>
    <w:rsid w:val="00987C47"/>
    <w:rsid w:val="00990171"/>
    <w:rsid w:val="00990759"/>
    <w:rsid w:val="0099089D"/>
    <w:rsid w:val="00990AD4"/>
    <w:rsid w:val="00990C7C"/>
    <w:rsid w:val="00990EA8"/>
    <w:rsid w:val="00990F0C"/>
    <w:rsid w:val="00991367"/>
    <w:rsid w:val="00991401"/>
    <w:rsid w:val="00991E8E"/>
    <w:rsid w:val="00992AC8"/>
    <w:rsid w:val="009948FD"/>
    <w:rsid w:val="00995C7B"/>
    <w:rsid w:val="009963A5"/>
    <w:rsid w:val="009963D3"/>
    <w:rsid w:val="00996E32"/>
    <w:rsid w:val="0099713E"/>
    <w:rsid w:val="009A0574"/>
    <w:rsid w:val="009A22DC"/>
    <w:rsid w:val="009A285E"/>
    <w:rsid w:val="009A288B"/>
    <w:rsid w:val="009A319A"/>
    <w:rsid w:val="009A35D7"/>
    <w:rsid w:val="009A3B5F"/>
    <w:rsid w:val="009A3F01"/>
    <w:rsid w:val="009A4561"/>
    <w:rsid w:val="009A4F35"/>
    <w:rsid w:val="009A4F4A"/>
    <w:rsid w:val="009A5117"/>
    <w:rsid w:val="009A5BE7"/>
    <w:rsid w:val="009A6050"/>
    <w:rsid w:val="009A6918"/>
    <w:rsid w:val="009A72EB"/>
    <w:rsid w:val="009A7423"/>
    <w:rsid w:val="009B0869"/>
    <w:rsid w:val="009B2835"/>
    <w:rsid w:val="009B2940"/>
    <w:rsid w:val="009B2FF8"/>
    <w:rsid w:val="009B385D"/>
    <w:rsid w:val="009B5920"/>
    <w:rsid w:val="009B644D"/>
    <w:rsid w:val="009B7129"/>
    <w:rsid w:val="009B7C81"/>
    <w:rsid w:val="009C0FD3"/>
    <w:rsid w:val="009C2DB8"/>
    <w:rsid w:val="009C2F0D"/>
    <w:rsid w:val="009C35E8"/>
    <w:rsid w:val="009C3944"/>
    <w:rsid w:val="009C500E"/>
    <w:rsid w:val="009C6361"/>
    <w:rsid w:val="009C659B"/>
    <w:rsid w:val="009C6B80"/>
    <w:rsid w:val="009C7B4E"/>
    <w:rsid w:val="009D06FD"/>
    <w:rsid w:val="009D1A50"/>
    <w:rsid w:val="009D1DCE"/>
    <w:rsid w:val="009D3D29"/>
    <w:rsid w:val="009D499F"/>
    <w:rsid w:val="009D4CA3"/>
    <w:rsid w:val="009D4F79"/>
    <w:rsid w:val="009D6046"/>
    <w:rsid w:val="009D77A4"/>
    <w:rsid w:val="009D7E60"/>
    <w:rsid w:val="009E040C"/>
    <w:rsid w:val="009E0EB5"/>
    <w:rsid w:val="009E14B0"/>
    <w:rsid w:val="009E23B9"/>
    <w:rsid w:val="009E2F1E"/>
    <w:rsid w:val="009E5E4D"/>
    <w:rsid w:val="009E6E4B"/>
    <w:rsid w:val="009E7257"/>
    <w:rsid w:val="009E797F"/>
    <w:rsid w:val="009F18C9"/>
    <w:rsid w:val="009F30E0"/>
    <w:rsid w:val="009F5CF8"/>
    <w:rsid w:val="009F69C1"/>
    <w:rsid w:val="00A0170D"/>
    <w:rsid w:val="00A0183E"/>
    <w:rsid w:val="00A01A60"/>
    <w:rsid w:val="00A01C65"/>
    <w:rsid w:val="00A02D16"/>
    <w:rsid w:val="00A034FC"/>
    <w:rsid w:val="00A03568"/>
    <w:rsid w:val="00A03711"/>
    <w:rsid w:val="00A04149"/>
    <w:rsid w:val="00A04472"/>
    <w:rsid w:val="00A04A7A"/>
    <w:rsid w:val="00A04DCB"/>
    <w:rsid w:val="00A05049"/>
    <w:rsid w:val="00A05138"/>
    <w:rsid w:val="00A0528E"/>
    <w:rsid w:val="00A05DE0"/>
    <w:rsid w:val="00A05E1F"/>
    <w:rsid w:val="00A107E4"/>
    <w:rsid w:val="00A1170E"/>
    <w:rsid w:val="00A120DC"/>
    <w:rsid w:val="00A1271D"/>
    <w:rsid w:val="00A13B59"/>
    <w:rsid w:val="00A144B7"/>
    <w:rsid w:val="00A14598"/>
    <w:rsid w:val="00A148A0"/>
    <w:rsid w:val="00A14F69"/>
    <w:rsid w:val="00A156F9"/>
    <w:rsid w:val="00A16B92"/>
    <w:rsid w:val="00A17D77"/>
    <w:rsid w:val="00A200FB"/>
    <w:rsid w:val="00A20F7D"/>
    <w:rsid w:val="00A2130B"/>
    <w:rsid w:val="00A218B4"/>
    <w:rsid w:val="00A22647"/>
    <w:rsid w:val="00A226A2"/>
    <w:rsid w:val="00A23AD8"/>
    <w:rsid w:val="00A2494A"/>
    <w:rsid w:val="00A25BE6"/>
    <w:rsid w:val="00A25D71"/>
    <w:rsid w:val="00A25E0C"/>
    <w:rsid w:val="00A26603"/>
    <w:rsid w:val="00A27047"/>
    <w:rsid w:val="00A27222"/>
    <w:rsid w:val="00A27ABC"/>
    <w:rsid w:val="00A27B4C"/>
    <w:rsid w:val="00A313EF"/>
    <w:rsid w:val="00A323F0"/>
    <w:rsid w:val="00A3306F"/>
    <w:rsid w:val="00A34366"/>
    <w:rsid w:val="00A34537"/>
    <w:rsid w:val="00A34C6A"/>
    <w:rsid w:val="00A352BF"/>
    <w:rsid w:val="00A35C56"/>
    <w:rsid w:val="00A36102"/>
    <w:rsid w:val="00A36404"/>
    <w:rsid w:val="00A36428"/>
    <w:rsid w:val="00A3642C"/>
    <w:rsid w:val="00A36AC9"/>
    <w:rsid w:val="00A40353"/>
    <w:rsid w:val="00A4119E"/>
    <w:rsid w:val="00A43209"/>
    <w:rsid w:val="00A451D3"/>
    <w:rsid w:val="00A4525A"/>
    <w:rsid w:val="00A456C6"/>
    <w:rsid w:val="00A46711"/>
    <w:rsid w:val="00A468D6"/>
    <w:rsid w:val="00A46CA0"/>
    <w:rsid w:val="00A508A1"/>
    <w:rsid w:val="00A509DE"/>
    <w:rsid w:val="00A509E0"/>
    <w:rsid w:val="00A51721"/>
    <w:rsid w:val="00A51CF5"/>
    <w:rsid w:val="00A51E21"/>
    <w:rsid w:val="00A54576"/>
    <w:rsid w:val="00A55BA1"/>
    <w:rsid w:val="00A5712F"/>
    <w:rsid w:val="00A60CD6"/>
    <w:rsid w:val="00A61553"/>
    <w:rsid w:val="00A618BB"/>
    <w:rsid w:val="00A61A4D"/>
    <w:rsid w:val="00A61C30"/>
    <w:rsid w:val="00A61FE6"/>
    <w:rsid w:val="00A62418"/>
    <w:rsid w:val="00A63152"/>
    <w:rsid w:val="00A63390"/>
    <w:rsid w:val="00A6367A"/>
    <w:rsid w:val="00A63721"/>
    <w:rsid w:val="00A6686B"/>
    <w:rsid w:val="00A6694D"/>
    <w:rsid w:val="00A67EE3"/>
    <w:rsid w:val="00A70845"/>
    <w:rsid w:val="00A70EDA"/>
    <w:rsid w:val="00A71686"/>
    <w:rsid w:val="00A71EE6"/>
    <w:rsid w:val="00A721DF"/>
    <w:rsid w:val="00A72E36"/>
    <w:rsid w:val="00A733FA"/>
    <w:rsid w:val="00A747BF"/>
    <w:rsid w:val="00A75DD8"/>
    <w:rsid w:val="00A77074"/>
    <w:rsid w:val="00A77724"/>
    <w:rsid w:val="00A77CE8"/>
    <w:rsid w:val="00A81046"/>
    <w:rsid w:val="00A81585"/>
    <w:rsid w:val="00A825B1"/>
    <w:rsid w:val="00A843C9"/>
    <w:rsid w:val="00A84CFA"/>
    <w:rsid w:val="00A85318"/>
    <w:rsid w:val="00A859C1"/>
    <w:rsid w:val="00A86581"/>
    <w:rsid w:val="00A8716E"/>
    <w:rsid w:val="00A87E73"/>
    <w:rsid w:val="00A87F04"/>
    <w:rsid w:val="00A9143E"/>
    <w:rsid w:val="00A91867"/>
    <w:rsid w:val="00A9240A"/>
    <w:rsid w:val="00A926F4"/>
    <w:rsid w:val="00A9343D"/>
    <w:rsid w:val="00A9348D"/>
    <w:rsid w:val="00A938B9"/>
    <w:rsid w:val="00A94CCC"/>
    <w:rsid w:val="00A95B31"/>
    <w:rsid w:val="00A964B1"/>
    <w:rsid w:val="00A96600"/>
    <w:rsid w:val="00A97A75"/>
    <w:rsid w:val="00A97BBC"/>
    <w:rsid w:val="00AA00FF"/>
    <w:rsid w:val="00AA0AB3"/>
    <w:rsid w:val="00AA21A9"/>
    <w:rsid w:val="00AA2CA7"/>
    <w:rsid w:val="00AA3FB0"/>
    <w:rsid w:val="00AA47D2"/>
    <w:rsid w:val="00AA4C6D"/>
    <w:rsid w:val="00AA635B"/>
    <w:rsid w:val="00AA6412"/>
    <w:rsid w:val="00AA6F3F"/>
    <w:rsid w:val="00AA702B"/>
    <w:rsid w:val="00AA7568"/>
    <w:rsid w:val="00AB0B8B"/>
    <w:rsid w:val="00AB197D"/>
    <w:rsid w:val="00AB2B85"/>
    <w:rsid w:val="00AB2EB9"/>
    <w:rsid w:val="00AB353F"/>
    <w:rsid w:val="00AB3936"/>
    <w:rsid w:val="00AB3C0C"/>
    <w:rsid w:val="00AB400A"/>
    <w:rsid w:val="00AB40A0"/>
    <w:rsid w:val="00AB4DCD"/>
    <w:rsid w:val="00AB50CD"/>
    <w:rsid w:val="00AB6328"/>
    <w:rsid w:val="00AB75FE"/>
    <w:rsid w:val="00AC0108"/>
    <w:rsid w:val="00AC072F"/>
    <w:rsid w:val="00AC085B"/>
    <w:rsid w:val="00AC1A51"/>
    <w:rsid w:val="00AC3CD4"/>
    <w:rsid w:val="00AC6988"/>
    <w:rsid w:val="00AC7098"/>
    <w:rsid w:val="00AC73BF"/>
    <w:rsid w:val="00AD09CC"/>
    <w:rsid w:val="00AD0AB6"/>
    <w:rsid w:val="00AD11CA"/>
    <w:rsid w:val="00AD13F0"/>
    <w:rsid w:val="00AD161C"/>
    <w:rsid w:val="00AD2C3E"/>
    <w:rsid w:val="00AD2ED5"/>
    <w:rsid w:val="00AD3B27"/>
    <w:rsid w:val="00AD476B"/>
    <w:rsid w:val="00AD4B84"/>
    <w:rsid w:val="00AD4C64"/>
    <w:rsid w:val="00AD4ED9"/>
    <w:rsid w:val="00AD532A"/>
    <w:rsid w:val="00AD63D0"/>
    <w:rsid w:val="00AD6A92"/>
    <w:rsid w:val="00AD6CAA"/>
    <w:rsid w:val="00AD6ED1"/>
    <w:rsid w:val="00AD7C42"/>
    <w:rsid w:val="00AE0BBC"/>
    <w:rsid w:val="00AE119F"/>
    <w:rsid w:val="00AE1A65"/>
    <w:rsid w:val="00AE2B3E"/>
    <w:rsid w:val="00AE3259"/>
    <w:rsid w:val="00AE4C46"/>
    <w:rsid w:val="00AE4FA3"/>
    <w:rsid w:val="00AE5053"/>
    <w:rsid w:val="00AE5681"/>
    <w:rsid w:val="00AE73FF"/>
    <w:rsid w:val="00AE7CFE"/>
    <w:rsid w:val="00AE7E23"/>
    <w:rsid w:val="00AF04FC"/>
    <w:rsid w:val="00AF128B"/>
    <w:rsid w:val="00AF1B2A"/>
    <w:rsid w:val="00AF2D1A"/>
    <w:rsid w:val="00AF36CA"/>
    <w:rsid w:val="00AF3FDC"/>
    <w:rsid w:val="00AF4240"/>
    <w:rsid w:val="00AF4A5E"/>
    <w:rsid w:val="00AF5349"/>
    <w:rsid w:val="00AF54AF"/>
    <w:rsid w:val="00AF54E8"/>
    <w:rsid w:val="00AF55D4"/>
    <w:rsid w:val="00AF5A66"/>
    <w:rsid w:val="00AF5C49"/>
    <w:rsid w:val="00AF5CD2"/>
    <w:rsid w:val="00AF7996"/>
    <w:rsid w:val="00B00089"/>
    <w:rsid w:val="00B00409"/>
    <w:rsid w:val="00B00556"/>
    <w:rsid w:val="00B013AD"/>
    <w:rsid w:val="00B0190A"/>
    <w:rsid w:val="00B01CB1"/>
    <w:rsid w:val="00B03446"/>
    <w:rsid w:val="00B03A96"/>
    <w:rsid w:val="00B0491F"/>
    <w:rsid w:val="00B04936"/>
    <w:rsid w:val="00B04FF5"/>
    <w:rsid w:val="00B050C8"/>
    <w:rsid w:val="00B05B52"/>
    <w:rsid w:val="00B06EFF"/>
    <w:rsid w:val="00B070C0"/>
    <w:rsid w:val="00B07493"/>
    <w:rsid w:val="00B07625"/>
    <w:rsid w:val="00B10159"/>
    <w:rsid w:val="00B137DC"/>
    <w:rsid w:val="00B138BB"/>
    <w:rsid w:val="00B13D04"/>
    <w:rsid w:val="00B1457E"/>
    <w:rsid w:val="00B168BE"/>
    <w:rsid w:val="00B17BCE"/>
    <w:rsid w:val="00B17CD4"/>
    <w:rsid w:val="00B17E1E"/>
    <w:rsid w:val="00B201D2"/>
    <w:rsid w:val="00B20251"/>
    <w:rsid w:val="00B20547"/>
    <w:rsid w:val="00B20F9E"/>
    <w:rsid w:val="00B21C73"/>
    <w:rsid w:val="00B21CEC"/>
    <w:rsid w:val="00B22255"/>
    <w:rsid w:val="00B24419"/>
    <w:rsid w:val="00B248D0"/>
    <w:rsid w:val="00B25769"/>
    <w:rsid w:val="00B25A68"/>
    <w:rsid w:val="00B2642A"/>
    <w:rsid w:val="00B26A53"/>
    <w:rsid w:val="00B26B42"/>
    <w:rsid w:val="00B26EA0"/>
    <w:rsid w:val="00B27224"/>
    <w:rsid w:val="00B27C8A"/>
    <w:rsid w:val="00B304E8"/>
    <w:rsid w:val="00B30B37"/>
    <w:rsid w:val="00B3119C"/>
    <w:rsid w:val="00B31AB6"/>
    <w:rsid w:val="00B32C9E"/>
    <w:rsid w:val="00B330D9"/>
    <w:rsid w:val="00B33A4E"/>
    <w:rsid w:val="00B34210"/>
    <w:rsid w:val="00B343E7"/>
    <w:rsid w:val="00B34581"/>
    <w:rsid w:val="00B353B0"/>
    <w:rsid w:val="00B35A83"/>
    <w:rsid w:val="00B409AF"/>
    <w:rsid w:val="00B40CB2"/>
    <w:rsid w:val="00B41573"/>
    <w:rsid w:val="00B418B1"/>
    <w:rsid w:val="00B418C2"/>
    <w:rsid w:val="00B4222C"/>
    <w:rsid w:val="00B42615"/>
    <w:rsid w:val="00B42CBD"/>
    <w:rsid w:val="00B42D41"/>
    <w:rsid w:val="00B433C8"/>
    <w:rsid w:val="00B43510"/>
    <w:rsid w:val="00B43C6C"/>
    <w:rsid w:val="00B443A4"/>
    <w:rsid w:val="00B4659C"/>
    <w:rsid w:val="00B5079F"/>
    <w:rsid w:val="00B51145"/>
    <w:rsid w:val="00B5119F"/>
    <w:rsid w:val="00B5217B"/>
    <w:rsid w:val="00B574A0"/>
    <w:rsid w:val="00B60A4F"/>
    <w:rsid w:val="00B61A6D"/>
    <w:rsid w:val="00B6277C"/>
    <w:rsid w:val="00B631EB"/>
    <w:rsid w:val="00B63971"/>
    <w:rsid w:val="00B64763"/>
    <w:rsid w:val="00B647DA"/>
    <w:rsid w:val="00B6490C"/>
    <w:rsid w:val="00B64A7F"/>
    <w:rsid w:val="00B65435"/>
    <w:rsid w:val="00B65918"/>
    <w:rsid w:val="00B65ABC"/>
    <w:rsid w:val="00B66528"/>
    <w:rsid w:val="00B66BC8"/>
    <w:rsid w:val="00B670B4"/>
    <w:rsid w:val="00B67680"/>
    <w:rsid w:val="00B70534"/>
    <w:rsid w:val="00B706C1"/>
    <w:rsid w:val="00B70765"/>
    <w:rsid w:val="00B70E58"/>
    <w:rsid w:val="00B71225"/>
    <w:rsid w:val="00B7193D"/>
    <w:rsid w:val="00B746AA"/>
    <w:rsid w:val="00B753DE"/>
    <w:rsid w:val="00B7592E"/>
    <w:rsid w:val="00B76831"/>
    <w:rsid w:val="00B77255"/>
    <w:rsid w:val="00B77A48"/>
    <w:rsid w:val="00B80603"/>
    <w:rsid w:val="00B8272F"/>
    <w:rsid w:val="00B82A76"/>
    <w:rsid w:val="00B8325C"/>
    <w:rsid w:val="00B83AFE"/>
    <w:rsid w:val="00B85969"/>
    <w:rsid w:val="00B86E90"/>
    <w:rsid w:val="00B90234"/>
    <w:rsid w:val="00B90C42"/>
    <w:rsid w:val="00B91C9F"/>
    <w:rsid w:val="00B94350"/>
    <w:rsid w:val="00B94757"/>
    <w:rsid w:val="00B9523D"/>
    <w:rsid w:val="00B95A2D"/>
    <w:rsid w:val="00B9707E"/>
    <w:rsid w:val="00B97528"/>
    <w:rsid w:val="00BA0D55"/>
    <w:rsid w:val="00BA0EAB"/>
    <w:rsid w:val="00BA1CE6"/>
    <w:rsid w:val="00BA221C"/>
    <w:rsid w:val="00BA272E"/>
    <w:rsid w:val="00BA3F50"/>
    <w:rsid w:val="00BA426A"/>
    <w:rsid w:val="00BA44B9"/>
    <w:rsid w:val="00BA4FF1"/>
    <w:rsid w:val="00BA5278"/>
    <w:rsid w:val="00BA53A3"/>
    <w:rsid w:val="00BA56CC"/>
    <w:rsid w:val="00BA68EE"/>
    <w:rsid w:val="00BA6CDE"/>
    <w:rsid w:val="00BA7F4E"/>
    <w:rsid w:val="00BB002E"/>
    <w:rsid w:val="00BB09D3"/>
    <w:rsid w:val="00BB0E56"/>
    <w:rsid w:val="00BB12F6"/>
    <w:rsid w:val="00BB1C74"/>
    <w:rsid w:val="00BB2205"/>
    <w:rsid w:val="00BB220D"/>
    <w:rsid w:val="00BB244F"/>
    <w:rsid w:val="00BB2A8B"/>
    <w:rsid w:val="00BB3373"/>
    <w:rsid w:val="00BB3841"/>
    <w:rsid w:val="00BB55C2"/>
    <w:rsid w:val="00BB6368"/>
    <w:rsid w:val="00BB6940"/>
    <w:rsid w:val="00BB6C8B"/>
    <w:rsid w:val="00BB75C9"/>
    <w:rsid w:val="00BC074D"/>
    <w:rsid w:val="00BC09C1"/>
    <w:rsid w:val="00BC0FC8"/>
    <w:rsid w:val="00BC14AA"/>
    <w:rsid w:val="00BC1A19"/>
    <w:rsid w:val="00BC2B70"/>
    <w:rsid w:val="00BC3398"/>
    <w:rsid w:val="00BC3E8C"/>
    <w:rsid w:val="00BC3F16"/>
    <w:rsid w:val="00BC47C2"/>
    <w:rsid w:val="00BC6074"/>
    <w:rsid w:val="00BC610B"/>
    <w:rsid w:val="00BC7825"/>
    <w:rsid w:val="00BC7F4C"/>
    <w:rsid w:val="00BD084E"/>
    <w:rsid w:val="00BD0DD1"/>
    <w:rsid w:val="00BD15E4"/>
    <w:rsid w:val="00BD2B92"/>
    <w:rsid w:val="00BD2BB5"/>
    <w:rsid w:val="00BD3A58"/>
    <w:rsid w:val="00BD3DF4"/>
    <w:rsid w:val="00BD48C5"/>
    <w:rsid w:val="00BD4A0C"/>
    <w:rsid w:val="00BD56B9"/>
    <w:rsid w:val="00BD71CE"/>
    <w:rsid w:val="00BD71E8"/>
    <w:rsid w:val="00BD72CF"/>
    <w:rsid w:val="00BD7552"/>
    <w:rsid w:val="00BE00E1"/>
    <w:rsid w:val="00BE1C31"/>
    <w:rsid w:val="00BE1CB0"/>
    <w:rsid w:val="00BE24A7"/>
    <w:rsid w:val="00BE2CA1"/>
    <w:rsid w:val="00BE3A17"/>
    <w:rsid w:val="00BE54D7"/>
    <w:rsid w:val="00BE5B73"/>
    <w:rsid w:val="00BE66F7"/>
    <w:rsid w:val="00BE6E5E"/>
    <w:rsid w:val="00BE72C9"/>
    <w:rsid w:val="00BE7CA4"/>
    <w:rsid w:val="00BF07A3"/>
    <w:rsid w:val="00BF0C8E"/>
    <w:rsid w:val="00BF12A2"/>
    <w:rsid w:val="00BF1CB8"/>
    <w:rsid w:val="00BF32A6"/>
    <w:rsid w:val="00BF3564"/>
    <w:rsid w:val="00BF3C92"/>
    <w:rsid w:val="00BF3ED1"/>
    <w:rsid w:val="00BF4AD6"/>
    <w:rsid w:val="00BF4CCC"/>
    <w:rsid w:val="00BF4F73"/>
    <w:rsid w:val="00BF54DB"/>
    <w:rsid w:val="00BF578F"/>
    <w:rsid w:val="00BF60BE"/>
    <w:rsid w:val="00BF6EBE"/>
    <w:rsid w:val="00C00B10"/>
    <w:rsid w:val="00C00B86"/>
    <w:rsid w:val="00C00E41"/>
    <w:rsid w:val="00C010E8"/>
    <w:rsid w:val="00C01DCC"/>
    <w:rsid w:val="00C01E36"/>
    <w:rsid w:val="00C03B82"/>
    <w:rsid w:val="00C04070"/>
    <w:rsid w:val="00C046A2"/>
    <w:rsid w:val="00C05442"/>
    <w:rsid w:val="00C05611"/>
    <w:rsid w:val="00C05F61"/>
    <w:rsid w:val="00C06B76"/>
    <w:rsid w:val="00C06C5D"/>
    <w:rsid w:val="00C07876"/>
    <w:rsid w:val="00C102EF"/>
    <w:rsid w:val="00C106E8"/>
    <w:rsid w:val="00C1154C"/>
    <w:rsid w:val="00C1217D"/>
    <w:rsid w:val="00C12678"/>
    <w:rsid w:val="00C13D34"/>
    <w:rsid w:val="00C13E9D"/>
    <w:rsid w:val="00C1486C"/>
    <w:rsid w:val="00C162B8"/>
    <w:rsid w:val="00C1661E"/>
    <w:rsid w:val="00C1672B"/>
    <w:rsid w:val="00C16BA0"/>
    <w:rsid w:val="00C17274"/>
    <w:rsid w:val="00C1773D"/>
    <w:rsid w:val="00C17A86"/>
    <w:rsid w:val="00C2076B"/>
    <w:rsid w:val="00C2097E"/>
    <w:rsid w:val="00C209F4"/>
    <w:rsid w:val="00C20A94"/>
    <w:rsid w:val="00C21464"/>
    <w:rsid w:val="00C21925"/>
    <w:rsid w:val="00C222F4"/>
    <w:rsid w:val="00C23886"/>
    <w:rsid w:val="00C23B9E"/>
    <w:rsid w:val="00C23DF2"/>
    <w:rsid w:val="00C24303"/>
    <w:rsid w:val="00C249F1"/>
    <w:rsid w:val="00C24E57"/>
    <w:rsid w:val="00C250EA"/>
    <w:rsid w:val="00C25EDC"/>
    <w:rsid w:val="00C26405"/>
    <w:rsid w:val="00C2696F"/>
    <w:rsid w:val="00C31C58"/>
    <w:rsid w:val="00C32B5C"/>
    <w:rsid w:val="00C32F9E"/>
    <w:rsid w:val="00C33498"/>
    <w:rsid w:val="00C33E1C"/>
    <w:rsid w:val="00C3404C"/>
    <w:rsid w:val="00C342E1"/>
    <w:rsid w:val="00C34F51"/>
    <w:rsid w:val="00C35FBA"/>
    <w:rsid w:val="00C36205"/>
    <w:rsid w:val="00C372B6"/>
    <w:rsid w:val="00C372BF"/>
    <w:rsid w:val="00C3754E"/>
    <w:rsid w:val="00C40AA7"/>
    <w:rsid w:val="00C41F9A"/>
    <w:rsid w:val="00C423E0"/>
    <w:rsid w:val="00C42669"/>
    <w:rsid w:val="00C43747"/>
    <w:rsid w:val="00C43BC4"/>
    <w:rsid w:val="00C44D59"/>
    <w:rsid w:val="00C44D63"/>
    <w:rsid w:val="00C44FBC"/>
    <w:rsid w:val="00C4531E"/>
    <w:rsid w:val="00C4578F"/>
    <w:rsid w:val="00C45A6C"/>
    <w:rsid w:val="00C471A6"/>
    <w:rsid w:val="00C47823"/>
    <w:rsid w:val="00C478F3"/>
    <w:rsid w:val="00C5020A"/>
    <w:rsid w:val="00C510AE"/>
    <w:rsid w:val="00C52609"/>
    <w:rsid w:val="00C528E8"/>
    <w:rsid w:val="00C53897"/>
    <w:rsid w:val="00C53B51"/>
    <w:rsid w:val="00C5400B"/>
    <w:rsid w:val="00C54CA7"/>
    <w:rsid w:val="00C55372"/>
    <w:rsid w:val="00C57049"/>
    <w:rsid w:val="00C57612"/>
    <w:rsid w:val="00C6131B"/>
    <w:rsid w:val="00C63DCB"/>
    <w:rsid w:val="00C647EE"/>
    <w:rsid w:val="00C64996"/>
    <w:rsid w:val="00C64B08"/>
    <w:rsid w:val="00C65E6C"/>
    <w:rsid w:val="00C65EC0"/>
    <w:rsid w:val="00C65F15"/>
    <w:rsid w:val="00C666B2"/>
    <w:rsid w:val="00C667C8"/>
    <w:rsid w:val="00C66B87"/>
    <w:rsid w:val="00C66C11"/>
    <w:rsid w:val="00C67112"/>
    <w:rsid w:val="00C676BA"/>
    <w:rsid w:val="00C67DBC"/>
    <w:rsid w:val="00C701DC"/>
    <w:rsid w:val="00C704F9"/>
    <w:rsid w:val="00C71C71"/>
    <w:rsid w:val="00C72A46"/>
    <w:rsid w:val="00C739A8"/>
    <w:rsid w:val="00C73EEC"/>
    <w:rsid w:val="00C7417A"/>
    <w:rsid w:val="00C74C59"/>
    <w:rsid w:val="00C75041"/>
    <w:rsid w:val="00C7513E"/>
    <w:rsid w:val="00C80366"/>
    <w:rsid w:val="00C80EDD"/>
    <w:rsid w:val="00C81021"/>
    <w:rsid w:val="00C81149"/>
    <w:rsid w:val="00C8146D"/>
    <w:rsid w:val="00C81B70"/>
    <w:rsid w:val="00C82400"/>
    <w:rsid w:val="00C83369"/>
    <w:rsid w:val="00C84543"/>
    <w:rsid w:val="00C847DE"/>
    <w:rsid w:val="00C862FA"/>
    <w:rsid w:val="00C86629"/>
    <w:rsid w:val="00C867D8"/>
    <w:rsid w:val="00C86B7E"/>
    <w:rsid w:val="00C86BC1"/>
    <w:rsid w:val="00C86E03"/>
    <w:rsid w:val="00C8756B"/>
    <w:rsid w:val="00C87F66"/>
    <w:rsid w:val="00C91997"/>
    <w:rsid w:val="00C919AE"/>
    <w:rsid w:val="00C91E7B"/>
    <w:rsid w:val="00C9247A"/>
    <w:rsid w:val="00C92CA8"/>
    <w:rsid w:val="00C93C67"/>
    <w:rsid w:val="00C93C7C"/>
    <w:rsid w:val="00C9455C"/>
    <w:rsid w:val="00C94B47"/>
    <w:rsid w:val="00C94C0E"/>
    <w:rsid w:val="00C957B2"/>
    <w:rsid w:val="00C96759"/>
    <w:rsid w:val="00C96A8C"/>
    <w:rsid w:val="00CA230E"/>
    <w:rsid w:val="00CA2958"/>
    <w:rsid w:val="00CA349D"/>
    <w:rsid w:val="00CA3621"/>
    <w:rsid w:val="00CA3C00"/>
    <w:rsid w:val="00CA54BE"/>
    <w:rsid w:val="00CA5632"/>
    <w:rsid w:val="00CA5879"/>
    <w:rsid w:val="00CA5D07"/>
    <w:rsid w:val="00CA69A1"/>
    <w:rsid w:val="00CA6AFC"/>
    <w:rsid w:val="00CA7600"/>
    <w:rsid w:val="00CB0520"/>
    <w:rsid w:val="00CB0BF7"/>
    <w:rsid w:val="00CB0F1B"/>
    <w:rsid w:val="00CB103B"/>
    <w:rsid w:val="00CB1268"/>
    <w:rsid w:val="00CB129A"/>
    <w:rsid w:val="00CB1D49"/>
    <w:rsid w:val="00CB2998"/>
    <w:rsid w:val="00CB2B6A"/>
    <w:rsid w:val="00CB38DC"/>
    <w:rsid w:val="00CB48A3"/>
    <w:rsid w:val="00CB4A51"/>
    <w:rsid w:val="00CB5B50"/>
    <w:rsid w:val="00CB69FF"/>
    <w:rsid w:val="00CB7087"/>
    <w:rsid w:val="00CB7497"/>
    <w:rsid w:val="00CC07F8"/>
    <w:rsid w:val="00CC0885"/>
    <w:rsid w:val="00CC0A29"/>
    <w:rsid w:val="00CC1863"/>
    <w:rsid w:val="00CC349C"/>
    <w:rsid w:val="00CC47D2"/>
    <w:rsid w:val="00CC4AC5"/>
    <w:rsid w:val="00CC4EAC"/>
    <w:rsid w:val="00CC60C9"/>
    <w:rsid w:val="00CC744A"/>
    <w:rsid w:val="00CC7CB6"/>
    <w:rsid w:val="00CD1997"/>
    <w:rsid w:val="00CD1A03"/>
    <w:rsid w:val="00CD1A20"/>
    <w:rsid w:val="00CD1D81"/>
    <w:rsid w:val="00CD2857"/>
    <w:rsid w:val="00CD2AF6"/>
    <w:rsid w:val="00CD2C86"/>
    <w:rsid w:val="00CD3A4A"/>
    <w:rsid w:val="00CD3C97"/>
    <w:rsid w:val="00CD3C9E"/>
    <w:rsid w:val="00CD57A9"/>
    <w:rsid w:val="00CD5A38"/>
    <w:rsid w:val="00CD5D73"/>
    <w:rsid w:val="00CD5F83"/>
    <w:rsid w:val="00CD725F"/>
    <w:rsid w:val="00CE04A9"/>
    <w:rsid w:val="00CE107E"/>
    <w:rsid w:val="00CE1F66"/>
    <w:rsid w:val="00CE22D8"/>
    <w:rsid w:val="00CE2A1E"/>
    <w:rsid w:val="00CE34A1"/>
    <w:rsid w:val="00CE34FA"/>
    <w:rsid w:val="00CE3D08"/>
    <w:rsid w:val="00CE58E0"/>
    <w:rsid w:val="00CE643C"/>
    <w:rsid w:val="00CF1F41"/>
    <w:rsid w:val="00CF292E"/>
    <w:rsid w:val="00CF2A7D"/>
    <w:rsid w:val="00CF2BC2"/>
    <w:rsid w:val="00CF2BF9"/>
    <w:rsid w:val="00CF2C28"/>
    <w:rsid w:val="00CF3449"/>
    <w:rsid w:val="00CF3FB0"/>
    <w:rsid w:val="00CF4274"/>
    <w:rsid w:val="00CF5B8F"/>
    <w:rsid w:val="00CF66A2"/>
    <w:rsid w:val="00CF6B75"/>
    <w:rsid w:val="00CF7B83"/>
    <w:rsid w:val="00D003EC"/>
    <w:rsid w:val="00D0075F"/>
    <w:rsid w:val="00D011E7"/>
    <w:rsid w:val="00D01825"/>
    <w:rsid w:val="00D018F3"/>
    <w:rsid w:val="00D01922"/>
    <w:rsid w:val="00D02815"/>
    <w:rsid w:val="00D0317B"/>
    <w:rsid w:val="00D03332"/>
    <w:rsid w:val="00D04649"/>
    <w:rsid w:val="00D04820"/>
    <w:rsid w:val="00D048FA"/>
    <w:rsid w:val="00D049CD"/>
    <w:rsid w:val="00D07171"/>
    <w:rsid w:val="00D0751F"/>
    <w:rsid w:val="00D07698"/>
    <w:rsid w:val="00D07769"/>
    <w:rsid w:val="00D07848"/>
    <w:rsid w:val="00D107CB"/>
    <w:rsid w:val="00D1103B"/>
    <w:rsid w:val="00D112E8"/>
    <w:rsid w:val="00D12058"/>
    <w:rsid w:val="00D1242E"/>
    <w:rsid w:val="00D1377F"/>
    <w:rsid w:val="00D14BAF"/>
    <w:rsid w:val="00D158D0"/>
    <w:rsid w:val="00D159D6"/>
    <w:rsid w:val="00D16BF5"/>
    <w:rsid w:val="00D17DF6"/>
    <w:rsid w:val="00D2100B"/>
    <w:rsid w:val="00D21279"/>
    <w:rsid w:val="00D21720"/>
    <w:rsid w:val="00D21D23"/>
    <w:rsid w:val="00D21F2F"/>
    <w:rsid w:val="00D22B8F"/>
    <w:rsid w:val="00D22D6C"/>
    <w:rsid w:val="00D23E40"/>
    <w:rsid w:val="00D2570E"/>
    <w:rsid w:val="00D25D60"/>
    <w:rsid w:val="00D2658D"/>
    <w:rsid w:val="00D2664D"/>
    <w:rsid w:val="00D26CA7"/>
    <w:rsid w:val="00D30894"/>
    <w:rsid w:val="00D314A4"/>
    <w:rsid w:val="00D31B5C"/>
    <w:rsid w:val="00D32CAC"/>
    <w:rsid w:val="00D3589A"/>
    <w:rsid w:val="00D366DE"/>
    <w:rsid w:val="00D4047D"/>
    <w:rsid w:val="00D410F8"/>
    <w:rsid w:val="00D415B1"/>
    <w:rsid w:val="00D41BD6"/>
    <w:rsid w:val="00D41DC6"/>
    <w:rsid w:val="00D4251D"/>
    <w:rsid w:val="00D43253"/>
    <w:rsid w:val="00D435E1"/>
    <w:rsid w:val="00D4362B"/>
    <w:rsid w:val="00D43CB8"/>
    <w:rsid w:val="00D4525E"/>
    <w:rsid w:val="00D45742"/>
    <w:rsid w:val="00D465D3"/>
    <w:rsid w:val="00D466E5"/>
    <w:rsid w:val="00D46D02"/>
    <w:rsid w:val="00D47AEB"/>
    <w:rsid w:val="00D47C8F"/>
    <w:rsid w:val="00D52A86"/>
    <w:rsid w:val="00D536DE"/>
    <w:rsid w:val="00D53FF1"/>
    <w:rsid w:val="00D5415F"/>
    <w:rsid w:val="00D545A3"/>
    <w:rsid w:val="00D548BD"/>
    <w:rsid w:val="00D54EA0"/>
    <w:rsid w:val="00D558AE"/>
    <w:rsid w:val="00D56390"/>
    <w:rsid w:val="00D569AC"/>
    <w:rsid w:val="00D56DB9"/>
    <w:rsid w:val="00D56EBF"/>
    <w:rsid w:val="00D6002B"/>
    <w:rsid w:val="00D60043"/>
    <w:rsid w:val="00D60259"/>
    <w:rsid w:val="00D6041F"/>
    <w:rsid w:val="00D60CD3"/>
    <w:rsid w:val="00D61471"/>
    <w:rsid w:val="00D62553"/>
    <w:rsid w:val="00D62AF2"/>
    <w:rsid w:val="00D64601"/>
    <w:rsid w:val="00D65EE3"/>
    <w:rsid w:val="00D660C3"/>
    <w:rsid w:val="00D66978"/>
    <w:rsid w:val="00D671CF"/>
    <w:rsid w:val="00D67593"/>
    <w:rsid w:val="00D67EEB"/>
    <w:rsid w:val="00D7053F"/>
    <w:rsid w:val="00D711CD"/>
    <w:rsid w:val="00D716D1"/>
    <w:rsid w:val="00D724B0"/>
    <w:rsid w:val="00D73415"/>
    <w:rsid w:val="00D7408A"/>
    <w:rsid w:val="00D74132"/>
    <w:rsid w:val="00D74478"/>
    <w:rsid w:val="00D7502B"/>
    <w:rsid w:val="00D75402"/>
    <w:rsid w:val="00D75BFB"/>
    <w:rsid w:val="00D774CF"/>
    <w:rsid w:val="00D77CDD"/>
    <w:rsid w:val="00D8033E"/>
    <w:rsid w:val="00D8174C"/>
    <w:rsid w:val="00D818A5"/>
    <w:rsid w:val="00D82A1B"/>
    <w:rsid w:val="00D82F0E"/>
    <w:rsid w:val="00D8626B"/>
    <w:rsid w:val="00D86359"/>
    <w:rsid w:val="00D87FC8"/>
    <w:rsid w:val="00D9046F"/>
    <w:rsid w:val="00D90638"/>
    <w:rsid w:val="00D9113A"/>
    <w:rsid w:val="00D913CF"/>
    <w:rsid w:val="00D91CD7"/>
    <w:rsid w:val="00D9233A"/>
    <w:rsid w:val="00D930A9"/>
    <w:rsid w:val="00D93247"/>
    <w:rsid w:val="00D93D28"/>
    <w:rsid w:val="00D93FA0"/>
    <w:rsid w:val="00D957A0"/>
    <w:rsid w:val="00D95B4E"/>
    <w:rsid w:val="00D97390"/>
    <w:rsid w:val="00D97976"/>
    <w:rsid w:val="00D97F7A"/>
    <w:rsid w:val="00DA01F2"/>
    <w:rsid w:val="00DA1817"/>
    <w:rsid w:val="00DA1C4F"/>
    <w:rsid w:val="00DA4197"/>
    <w:rsid w:val="00DA5614"/>
    <w:rsid w:val="00DA68CE"/>
    <w:rsid w:val="00DA7B45"/>
    <w:rsid w:val="00DB0785"/>
    <w:rsid w:val="00DB0CEB"/>
    <w:rsid w:val="00DB2CC2"/>
    <w:rsid w:val="00DB2DCD"/>
    <w:rsid w:val="00DB2DD1"/>
    <w:rsid w:val="00DB2F31"/>
    <w:rsid w:val="00DB41A2"/>
    <w:rsid w:val="00DB46AD"/>
    <w:rsid w:val="00DC0B8D"/>
    <w:rsid w:val="00DC0C1B"/>
    <w:rsid w:val="00DC44DC"/>
    <w:rsid w:val="00DC610A"/>
    <w:rsid w:val="00DC6547"/>
    <w:rsid w:val="00DC66AE"/>
    <w:rsid w:val="00DC7590"/>
    <w:rsid w:val="00DC770F"/>
    <w:rsid w:val="00DC7EAB"/>
    <w:rsid w:val="00DD031E"/>
    <w:rsid w:val="00DD0567"/>
    <w:rsid w:val="00DD077D"/>
    <w:rsid w:val="00DD0D05"/>
    <w:rsid w:val="00DD0DBA"/>
    <w:rsid w:val="00DD1281"/>
    <w:rsid w:val="00DD1709"/>
    <w:rsid w:val="00DD1FC5"/>
    <w:rsid w:val="00DD1FC7"/>
    <w:rsid w:val="00DD285A"/>
    <w:rsid w:val="00DD3220"/>
    <w:rsid w:val="00DD548B"/>
    <w:rsid w:val="00DD5525"/>
    <w:rsid w:val="00DD65DF"/>
    <w:rsid w:val="00DD6B92"/>
    <w:rsid w:val="00DD7202"/>
    <w:rsid w:val="00DE0C4D"/>
    <w:rsid w:val="00DE1C4C"/>
    <w:rsid w:val="00DE2340"/>
    <w:rsid w:val="00DE2873"/>
    <w:rsid w:val="00DE39BE"/>
    <w:rsid w:val="00DE3E5B"/>
    <w:rsid w:val="00DE4860"/>
    <w:rsid w:val="00DE4D48"/>
    <w:rsid w:val="00DE4F0D"/>
    <w:rsid w:val="00DE4F64"/>
    <w:rsid w:val="00DF03BB"/>
    <w:rsid w:val="00DF0B23"/>
    <w:rsid w:val="00DF12BF"/>
    <w:rsid w:val="00DF1608"/>
    <w:rsid w:val="00DF1B68"/>
    <w:rsid w:val="00DF1E58"/>
    <w:rsid w:val="00DF313B"/>
    <w:rsid w:val="00DF4082"/>
    <w:rsid w:val="00DF4708"/>
    <w:rsid w:val="00DF4FBA"/>
    <w:rsid w:val="00DF57B8"/>
    <w:rsid w:val="00DF62B8"/>
    <w:rsid w:val="00DF6345"/>
    <w:rsid w:val="00E00644"/>
    <w:rsid w:val="00E00DC0"/>
    <w:rsid w:val="00E0171C"/>
    <w:rsid w:val="00E01815"/>
    <w:rsid w:val="00E018E7"/>
    <w:rsid w:val="00E01AE6"/>
    <w:rsid w:val="00E01EF5"/>
    <w:rsid w:val="00E0294A"/>
    <w:rsid w:val="00E02B9F"/>
    <w:rsid w:val="00E02BA2"/>
    <w:rsid w:val="00E0549E"/>
    <w:rsid w:val="00E10BC0"/>
    <w:rsid w:val="00E11615"/>
    <w:rsid w:val="00E11B3D"/>
    <w:rsid w:val="00E1269B"/>
    <w:rsid w:val="00E13228"/>
    <w:rsid w:val="00E1404C"/>
    <w:rsid w:val="00E1665B"/>
    <w:rsid w:val="00E1684F"/>
    <w:rsid w:val="00E16BB8"/>
    <w:rsid w:val="00E178B6"/>
    <w:rsid w:val="00E20690"/>
    <w:rsid w:val="00E212EF"/>
    <w:rsid w:val="00E2178B"/>
    <w:rsid w:val="00E226E0"/>
    <w:rsid w:val="00E22836"/>
    <w:rsid w:val="00E23599"/>
    <w:rsid w:val="00E23982"/>
    <w:rsid w:val="00E23F83"/>
    <w:rsid w:val="00E245CF"/>
    <w:rsid w:val="00E255C1"/>
    <w:rsid w:val="00E2570E"/>
    <w:rsid w:val="00E25BF3"/>
    <w:rsid w:val="00E264AD"/>
    <w:rsid w:val="00E26C30"/>
    <w:rsid w:val="00E27280"/>
    <w:rsid w:val="00E273E1"/>
    <w:rsid w:val="00E279F6"/>
    <w:rsid w:val="00E27B9F"/>
    <w:rsid w:val="00E3051D"/>
    <w:rsid w:val="00E306EE"/>
    <w:rsid w:val="00E31D96"/>
    <w:rsid w:val="00E33937"/>
    <w:rsid w:val="00E33FA2"/>
    <w:rsid w:val="00E34597"/>
    <w:rsid w:val="00E35C9C"/>
    <w:rsid w:val="00E377A7"/>
    <w:rsid w:val="00E40130"/>
    <w:rsid w:val="00E40B43"/>
    <w:rsid w:val="00E418CD"/>
    <w:rsid w:val="00E41BED"/>
    <w:rsid w:val="00E4251D"/>
    <w:rsid w:val="00E431A0"/>
    <w:rsid w:val="00E44306"/>
    <w:rsid w:val="00E4733A"/>
    <w:rsid w:val="00E475C8"/>
    <w:rsid w:val="00E50E94"/>
    <w:rsid w:val="00E50EC2"/>
    <w:rsid w:val="00E51630"/>
    <w:rsid w:val="00E51ADF"/>
    <w:rsid w:val="00E52836"/>
    <w:rsid w:val="00E534A0"/>
    <w:rsid w:val="00E5392F"/>
    <w:rsid w:val="00E548D2"/>
    <w:rsid w:val="00E54A67"/>
    <w:rsid w:val="00E54FAC"/>
    <w:rsid w:val="00E5515D"/>
    <w:rsid w:val="00E55A19"/>
    <w:rsid w:val="00E56CD4"/>
    <w:rsid w:val="00E5717E"/>
    <w:rsid w:val="00E5753B"/>
    <w:rsid w:val="00E57769"/>
    <w:rsid w:val="00E577A7"/>
    <w:rsid w:val="00E57C5B"/>
    <w:rsid w:val="00E57C7E"/>
    <w:rsid w:val="00E6144C"/>
    <w:rsid w:val="00E62020"/>
    <w:rsid w:val="00E62068"/>
    <w:rsid w:val="00E62AF2"/>
    <w:rsid w:val="00E630CD"/>
    <w:rsid w:val="00E63D82"/>
    <w:rsid w:val="00E63FCA"/>
    <w:rsid w:val="00E64272"/>
    <w:rsid w:val="00E644CB"/>
    <w:rsid w:val="00E660C7"/>
    <w:rsid w:val="00E663C6"/>
    <w:rsid w:val="00E6653B"/>
    <w:rsid w:val="00E67AFD"/>
    <w:rsid w:val="00E70602"/>
    <w:rsid w:val="00E715E3"/>
    <w:rsid w:val="00E715FF"/>
    <w:rsid w:val="00E7191E"/>
    <w:rsid w:val="00E72385"/>
    <w:rsid w:val="00E72F04"/>
    <w:rsid w:val="00E74D46"/>
    <w:rsid w:val="00E77846"/>
    <w:rsid w:val="00E77E1F"/>
    <w:rsid w:val="00E77F50"/>
    <w:rsid w:val="00E804BD"/>
    <w:rsid w:val="00E80C90"/>
    <w:rsid w:val="00E8223E"/>
    <w:rsid w:val="00E82C18"/>
    <w:rsid w:val="00E84183"/>
    <w:rsid w:val="00E84400"/>
    <w:rsid w:val="00E85C9B"/>
    <w:rsid w:val="00E85D24"/>
    <w:rsid w:val="00E863A6"/>
    <w:rsid w:val="00E866A5"/>
    <w:rsid w:val="00E8707A"/>
    <w:rsid w:val="00E87502"/>
    <w:rsid w:val="00E903AC"/>
    <w:rsid w:val="00E90F23"/>
    <w:rsid w:val="00E9139A"/>
    <w:rsid w:val="00E91DB9"/>
    <w:rsid w:val="00E92150"/>
    <w:rsid w:val="00E92830"/>
    <w:rsid w:val="00E93053"/>
    <w:rsid w:val="00E93B28"/>
    <w:rsid w:val="00E93BF0"/>
    <w:rsid w:val="00E942B5"/>
    <w:rsid w:val="00E9439D"/>
    <w:rsid w:val="00E958AE"/>
    <w:rsid w:val="00E96906"/>
    <w:rsid w:val="00E97624"/>
    <w:rsid w:val="00E97687"/>
    <w:rsid w:val="00E97876"/>
    <w:rsid w:val="00EA0652"/>
    <w:rsid w:val="00EA0D16"/>
    <w:rsid w:val="00EA0EBE"/>
    <w:rsid w:val="00EA0EEF"/>
    <w:rsid w:val="00EA1059"/>
    <w:rsid w:val="00EA21D5"/>
    <w:rsid w:val="00EA252D"/>
    <w:rsid w:val="00EA308B"/>
    <w:rsid w:val="00EA32EF"/>
    <w:rsid w:val="00EA3ED3"/>
    <w:rsid w:val="00EA475C"/>
    <w:rsid w:val="00EA4860"/>
    <w:rsid w:val="00EA510D"/>
    <w:rsid w:val="00EA64C0"/>
    <w:rsid w:val="00EA67CA"/>
    <w:rsid w:val="00EA7012"/>
    <w:rsid w:val="00EA789C"/>
    <w:rsid w:val="00EA7C8D"/>
    <w:rsid w:val="00EB07F7"/>
    <w:rsid w:val="00EB0E35"/>
    <w:rsid w:val="00EB18A2"/>
    <w:rsid w:val="00EB1C41"/>
    <w:rsid w:val="00EB2013"/>
    <w:rsid w:val="00EB2470"/>
    <w:rsid w:val="00EB2FFE"/>
    <w:rsid w:val="00EB37D8"/>
    <w:rsid w:val="00EB4037"/>
    <w:rsid w:val="00EB406F"/>
    <w:rsid w:val="00EB5118"/>
    <w:rsid w:val="00EB5788"/>
    <w:rsid w:val="00EB5EA8"/>
    <w:rsid w:val="00EB6A13"/>
    <w:rsid w:val="00EB703A"/>
    <w:rsid w:val="00EB7D28"/>
    <w:rsid w:val="00EC043C"/>
    <w:rsid w:val="00EC0AC7"/>
    <w:rsid w:val="00EC2451"/>
    <w:rsid w:val="00EC2538"/>
    <w:rsid w:val="00EC369F"/>
    <w:rsid w:val="00EC3739"/>
    <w:rsid w:val="00EC3F67"/>
    <w:rsid w:val="00EC4783"/>
    <w:rsid w:val="00EC51CE"/>
    <w:rsid w:val="00EC6EC0"/>
    <w:rsid w:val="00ED030F"/>
    <w:rsid w:val="00ED08F6"/>
    <w:rsid w:val="00ED1947"/>
    <w:rsid w:val="00ED1D34"/>
    <w:rsid w:val="00ED2C77"/>
    <w:rsid w:val="00ED335A"/>
    <w:rsid w:val="00ED3D42"/>
    <w:rsid w:val="00ED46E8"/>
    <w:rsid w:val="00ED4F5D"/>
    <w:rsid w:val="00ED6222"/>
    <w:rsid w:val="00ED6905"/>
    <w:rsid w:val="00ED6972"/>
    <w:rsid w:val="00ED7906"/>
    <w:rsid w:val="00EE00BA"/>
    <w:rsid w:val="00EE0128"/>
    <w:rsid w:val="00EE0A61"/>
    <w:rsid w:val="00EE1299"/>
    <w:rsid w:val="00EE1BF3"/>
    <w:rsid w:val="00EE1DAE"/>
    <w:rsid w:val="00EE26D2"/>
    <w:rsid w:val="00EE2770"/>
    <w:rsid w:val="00EE2A85"/>
    <w:rsid w:val="00EE422D"/>
    <w:rsid w:val="00EE4355"/>
    <w:rsid w:val="00EE4608"/>
    <w:rsid w:val="00EE4A47"/>
    <w:rsid w:val="00EE53CD"/>
    <w:rsid w:val="00EE5826"/>
    <w:rsid w:val="00EE5D05"/>
    <w:rsid w:val="00EE65D8"/>
    <w:rsid w:val="00EE69E6"/>
    <w:rsid w:val="00EE73D2"/>
    <w:rsid w:val="00EE7478"/>
    <w:rsid w:val="00EF23D6"/>
    <w:rsid w:val="00EF343E"/>
    <w:rsid w:val="00EF509F"/>
    <w:rsid w:val="00F001CE"/>
    <w:rsid w:val="00F007A1"/>
    <w:rsid w:val="00F007C0"/>
    <w:rsid w:val="00F008A9"/>
    <w:rsid w:val="00F017A7"/>
    <w:rsid w:val="00F0238F"/>
    <w:rsid w:val="00F02584"/>
    <w:rsid w:val="00F029B2"/>
    <w:rsid w:val="00F03069"/>
    <w:rsid w:val="00F03F18"/>
    <w:rsid w:val="00F04294"/>
    <w:rsid w:val="00F04E59"/>
    <w:rsid w:val="00F05284"/>
    <w:rsid w:val="00F05B7C"/>
    <w:rsid w:val="00F0777B"/>
    <w:rsid w:val="00F10548"/>
    <w:rsid w:val="00F11202"/>
    <w:rsid w:val="00F11436"/>
    <w:rsid w:val="00F11CD4"/>
    <w:rsid w:val="00F11F13"/>
    <w:rsid w:val="00F1247B"/>
    <w:rsid w:val="00F12835"/>
    <w:rsid w:val="00F12E12"/>
    <w:rsid w:val="00F14606"/>
    <w:rsid w:val="00F1519F"/>
    <w:rsid w:val="00F15B57"/>
    <w:rsid w:val="00F1721C"/>
    <w:rsid w:val="00F17425"/>
    <w:rsid w:val="00F175A7"/>
    <w:rsid w:val="00F17EC9"/>
    <w:rsid w:val="00F20278"/>
    <w:rsid w:val="00F20CEC"/>
    <w:rsid w:val="00F21551"/>
    <w:rsid w:val="00F22C01"/>
    <w:rsid w:val="00F2337F"/>
    <w:rsid w:val="00F23BD3"/>
    <w:rsid w:val="00F23D2C"/>
    <w:rsid w:val="00F25413"/>
    <w:rsid w:val="00F26121"/>
    <w:rsid w:val="00F26252"/>
    <w:rsid w:val="00F262FE"/>
    <w:rsid w:val="00F26495"/>
    <w:rsid w:val="00F26898"/>
    <w:rsid w:val="00F274F1"/>
    <w:rsid w:val="00F27C90"/>
    <w:rsid w:val="00F27C94"/>
    <w:rsid w:val="00F307B2"/>
    <w:rsid w:val="00F30B05"/>
    <w:rsid w:val="00F30E46"/>
    <w:rsid w:val="00F31BC3"/>
    <w:rsid w:val="00F331F8"/>
    <w:rsid w:val="00F33B96"/>
    <w:rsid w:val="00F33E91"/>
    <w:rsid w:val="00F34343"/>
    <w:rsid w:val="00F346FB"/>
    <w:rsid w:val="00F34D49"/>
    <w:rsid w:val="00F354CA"/>
    <w:rsid w:val="00F35C76"/>
    <w:rsid w:val="00F37350"/>
    <w:rsid w:val="00F40699"/>
    <w:rsid w:val="00F42447"/>
    <w:rsid w:val="00F42E4D"/>
    <w:rsid w:val="00F43137"/>
    <w:rsid w:val="00F4363F"/>
    <w:rsid w:val="00F445DE"/>
    <w:rsid w:val="00F448D3"/>
    <w:rsid w:val="00F45B57"/>
    <w:rsid w:val="00F45FD4"/>
    <w:rsid w:val="00F4676D"/>
    <w:rsid w:val="00F4678F"/>
    <w:rsid w:val="00F468F6"/>
    <w:rsid w:val="00F46EBB"/>
    <w:rsid w:val="00F53A06"/>
    <w:rsid w:val="00F53B90"/>
    <w:rsid w:val="00F54B53"/>
    <w:rsid w:val="00F55177"/>
    <w:rsid w:val="00F55914"/>
    <w:rsid w:val="00F55950"/>
    <w:rsid w:val="00F55C2E"/>
    <w:rsid w:val="00F55C81"/>
    <w:rsid w:val="00F55E7C"/>
    <w:rsid w:val="00F566DC"/>
    <w:rsid w:val="00F56CE9"/>
    <w:rsid w:val="00F574B6"/>
    <w:rsid w:val="00F57B5E"/>
    <w:rsid w:val="00F60216"/>
    <w:rsid w:val="00F60511"/>
    <w:rsid w:val="00F610B7"/>
    <w:rsid w:val="00F611A6"/>
    <w:rsid w:val="00F61208"/>
    <w:rsid w:val="00F6146B"/>
    <w:rsid w:val="00F61CC3"/>
    <w:rsid w:val="00F61DE1"/>
    <w:rsid w:val="00F63905"/>
    <w:rsid w:val="00F64FA5"/>
    <w:rsid w:val="00F65DCE"/>
    <w:rsid w:val="00F670F2"/>
    <w:rsid w:val="00F676EC"/>
    <w:rsid w:val="00F70042"/>
    <w:rsid w:val="00F71887"/>
    <w:rsid w:val="00F71962"/>
    <w:rsid w:val="00F71C7B"/>
    <w:rsid w:val="00F71CB4"/>
    <w:rsid w:val="00F71E7D"/>
    <w:rsid w:val="00F71F42"/>
    <w:rsid w:val="00F72634"/>
    <w:rsid w:val="00F72D4B"/>
    <w:rsid w:val="00F72E0F"/>
    <w:rsid w:val="00F743D5"/>
    <w:rsid w:val="00F74746"/>
    <w:rsid w:val="00F74E5F"/>
    <w:rsid w:val="00F75F2E"/>
    <w:rsid w:val="00F76AFA"/>
    <w:rsid w:val="00F770C2"/>
    <w:rsid w:val="00F81859"/>
    <w:rsid w:val="00F8259A"/>
    <w:rsid w:val="00F8334F"/>
    <w:rsid w:val="00F842B7"/>
    <w:rsid w:val="00F8439C"/>
    <w:rsid w:val="00F84D97"/>
    <w:rsid w:val="00F8577A"/>
    <w:rsid w:val="00F867E0"/>
    <w:rsid w:val="00F86E30"/>
    <w:rsid w:val="00F86EE2"/>
    <w:rsid w:val="00F9069D"/>
    <w:rsid w:val="00F90C2F"/>
    <w:rsid w:val="00F90FC2"/>
    <w:rsid w:val="00F91875"/>
    <w:rsid w:val="00F9193C"/>
    <w:rsid w:val="00F93BA5"/>
    <w:rsid w:val="00F9466C"/>
    <w:rsid w:val="00F957AC"/>
    <w:rsid w:val="00F95D4F"/>
    <w:rsid w:val="00F9628D"/>
    <w:rsid w:val="00F96EF1"/>
    <w:rsid w:val="00F9717E"/>
    <w:rsid w:val="00FA0A98"/>
    <w:rsid w:val="00FA0FFF"/>
    <w:rsid w:val="00FA1152"/>
    <w:rsid w:val="00FA1771"/>
    <w:rsid w:val="00FA24B8"/>
    <w:rsid w:val="00FA4EE1"/>
    <w:rsid w:val="00FA55DF"/>
    <w:rsid w:val="00FA595C"/>
    <w:rsid w:val="00FA5BF7"/>
    <w:rsid w:val="00FA5E7B"/>
    <w:rsid w:val="00FA60DA"/>
    <w:rsid w:val="00FA61C2"/>
    <w:rsid w:val="00FA637A"/>
    <w:rsid w:val="00FA742A"/>
    <w:rsid w:val="00FB075A"/>
    <w:rsid w:val="00FB0E82"/>
    <w:rsid w:val="00FB1A15"/>
    <w:rsid w:val="00FB1CDF"/>
    <w:rsid w:val="00FB39D7"/>
    <w:rsid w:val="00FB434C"/>
    <w:rsid w:val="00FB4DD3"/>
    <w:rsid w:val="00FB5567"/>
    <w:rsid w:val="00FB7655"/>
    <w:rsid w:val="00FB7CA4"/>
    <w:rsid w:val="00FC0C02"/>
    <w:rsid w:val="00FC10FA"/>
    <w:rsid w:val="00FC16A8"/>
    <w:rsid w:val="00FC1802"/>
    <w:rsid w:val="00FC20AF"/>
    <w:rsid w:val="00FC3C5B"/>
    <w:rsid w:val="00FC5596"/>
    <w:rsid w:val="00FC5F97"/>
    <w:rsid w:val="00FC75FE"/>
    <w:rsid w:val="00FD0CFB"/>
    <w:rsid w:val="00FD0EEC"/>
    <w:rsid w:val="00FD1674"/>
    <w:rsid w:val="00FD16B9"/>
    <w:rsid w:val="00FD291D"/>
    <w:rsid w:val="00FD2B34"/>
    <w:rsid w:val="00FD2F47"/>
    <w:rsid w:val="00FD3B9B"/>
    <w:rsid w:val="00FD3E46"/>
    <w:rsid w:val="00FD48E1"/>
    <w:rsid w:val="00FD498F"/>
    <w:rsid w:val="00FD5033"/>
    <w:rsid w:val="00FD5B4E"/>
    <w:rsid w:val="00FD5D5C"/>
    <w:rsid w:val="00FD674A"/>
    <w:rsid w:val="00FD797E"/>
    <w:rsid w:val="00FD7A75"/>
    <w:rsid w:val="00FE08CE"/>
    <w:rsid w:val="00FE17BC"/>
    <w:rsid w:val="00FE1D4C"/>
    <w:rsid w:val="00FE1E1C"/>
    <w:rsid w:val="00FE2206"/>
    <w:rsid w:val="00FE2E15"/>
    <w:rsid w:val="00FE30F7"/>
    <w:rsid w:val="00FE31CE"/>
    <w:rsid w:val="00FE415C"/>
    <w:rsid w:val="00FE41E4"/>
    <w:rsid w:val="00FE6ADA"/>
    <w:rsid w:val="00FE6B8D"/>
    <w:rsid w:val="00FE6E7E"/>
    <w:rsid w:val="00FE76E9"/>
    <w:rsid w:val="00FF045C"/>
    <w:rsid w:val="00FF1604"/>
    <w:rsid w:val="00FF1698"/>
    <w:rsid w:val="00FF2316"/>
    <w:rsid w:val="00FF265F"/>
    <w:rsid w:val="00FF315F"/>
    <w:rsid w:val="00FF343B"/>
    <w:rsid w:val="00FF3656"/>
    <w:rsid w:val="00FF3A50"/>
    <w:rsid w:val="00FF4734"/>
    <w:rsid w:val="00FF5B1F"/>
    <w:rsid w:val="00FF5D0B"/>
    <w:rsid w:val="00FF6010"/>
    <w:rsid w:val="00FF7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DA28F"/>
  <w15:docId w15:val="{4F93AD83-8D2B-4A98-8010-920DCDC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BC"/>
    <w:pPr>
      <w:spacing w:after="160" w:line="259" w:lineRule="auto"/>
      <w:jc w:val="both"/>
    </w:pPr>
    <w:rPr>
      <w:rFonts w:ascii="Sylfaen" w:hAnsi="Sylfaen" w:cs="Times New Roman (Corps CS)"/>
      <w:szCs w:val="22"/>
    </w:rPr>
  </w:style>
  <w:style w:type="paragraph" w:styleId="Titre1">
    <w:name w:val="heading 1"/>
    <w:basedOn w:val="Normal"/>
    <w:next w:val="Normal"/>
    <w:link w:val="Titre1Car"/>
    <w:uiPriority w:val="9"/>
    <w:qFormat/>
    <w:rsid w:val="006269B2"/>
    <w:pPr>
      <w:keepNext/>
      <w:keepLines/>
      <w:spacing w:before="240" w:after="0"/>
      <w:outlineLvl w:val="0"/>
    </w:pPr>
    <w:rPr>
      <w:rFonts w:eastAsiaTheme="majorEastAsia" w:cs="Times New Roman (Titres CS)"/>
      <w:b/>
      <w:sz w:val="28"/>
      <w:szCs w:val="32"/>
    </w:rPr>
  </w:style>
  <w:style w:type="paragraph" w:styleId="Titre2">
    <w:name w:val="heading 2"/>
    <w:basedOn w:val="Normal"/>
    <w:next w:val="Normal"/>
    <w:link w:val="Titre2Car"/>
    <w:uiPriority w:val="9"/>
    <w:unhideWhenUsed/>
    <w:qFormat/>
    <w:rsid w:val="008D57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C010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947"/>
    <w:pPr>
      <w:tabs>
        <w:tab w:val="center" w:pos="4513"/>
        <w:tab w:val="right" w:pos="9026"/>
      </w:tabs>
    </w:pPr>
  </w:style>
  <w:style w:type="character" w:customStyle="1" w:styleId="En-tteCar">
    <w:name w:val="En-tête Car"/>
    <w:basedOn w:val="Policepardfaut"/>
    <w:link w:val="En-tte"/>
    <w:uiPriority w:val="99"/>
    <w:rsid w:val="00ED1947"/>
  </w:style>
  <w:style w:type="paragraph" w:styleId="Pieddepage">
    <w:name w:val="footer"/>
    <w:basedOn w:val="Normal"/>
    <w:link w:val="PieddepageCar"/>
    <w:uiPriority w:val="99"/>
    <w:unhideWhenUsed/>
    <w:rsid w:val="00ED1947"/>
    <w:pPr>
      <w:tabs>
        <w:tab w:val="center" w:pos="4513"/>
        <w:tab w:val="right" w:pos="9026"/>
      </w:tabs>
    </w:pPr>
  </w:style>
  <w:style w:type="character" w:customStyle="1" w:styleId="PieddepageCar">
    <w:name w:val="Pied de page Car"/>
    <w:basedOn w:val="Policepardfaut"/>
    <w:link w:val="Pieddepage"/>
    <w:uiPriority w:val="99"/>
    <w:rsid w:val="00ED1947"/>
  </w:style>
  <w:style w:type="character" w:customStyle="1" w:styleId="Titre1Car">
    <w:name w:val="Titre 1 Car"/>
    <w:basedOn w:val="Policepardfaut"/>
    <w:link w:val="Titre1"/>
    <w:uiPriority w:val="9"/>
    <w:rsid w:val="006269B2"/>
    <w:rPr>
      <w:rFonts w:ascii="Sylfaen" w:eastAsiaTheme="majorEastAsia" w:hAnsi="Sylfaen" w:cs="Times New Roman (Titres CS)"/>
      <w:b/>
      <w:sz w:val="28"/>
      <w:szCs w:val="32"/>
    </w:rPr>
  </w:style>
  <w:style w:type="paragraph" w:styleId="Paragraphedeliste">
    <w:name w:val="List Paragraph"/>
    <w:aliases w:val="Bullets,Paragraphe de liste1,Paragraphe 2,Titre1,Paragraphe de liste11,L_4,Paragraphe de liste4,References,- List tir,liste 1,puce 1,r2,inspringtekst,Numbered paragraph,ADB paragraph numbering,Colorful List - Accent 11,Liste 1,figure"/>
    <w:basedOn w:val="Normal"/>
    <w:link w:val="ParagraphedelisteCar"/>
    <w:uiPriority w:val="42"/>
    <w:qFormat/>
    <w:rsid w:val="00ED1947"/>
    <w:pPr>
      <w:ind w:left="720"/>
      <w:contextualSpacing/>
    </w:pPr>
  </w:style>
  <w:style w:type="paragraph" w:styleId="TM1">
    <w:name w:val="toc 1"/>
    <w:basedOn w:val="Normal"/>
    <w:next w:val="Normal"/>
    <w:autoRedefine/>
    <w:uiPriority w:val="39"/>
    <w:unhideWhenUsed/>
    <w:rsid w:val="00BC7825"/>
    <w:pPr>
      <w:tabs>
        <w:tab w:val="right" w:leader="dot" w:pos="9016"/>
      </w:tabs>
      <w:spacing w:after="100"/>
    </w:pPr>
  </w:style>
  <w:style w:type="character" w:styleId="Lienhypertexte">
    <w:name w:val="Hyperlink"/>
    <w:basedOn w:val="Policepardfaut"/>
    <w:uiPriority w:val="99"/>
    <w:unhideWhenUsed/>
    <w:rsid w:val="00C01E36"/>
    <w:rPr>
      <w:color w:val="0563C1" w:themeColor="hyperlink"/>
      <w:u w:val="single"/>
    </w:rPr>
  </w:style>
  <w:style w:type="paragraph" w:customStyle="1" w:styleId="Default">
    <w:name w:val="Default"/>
    <w:rsid w:val="00485EC8"/>
    <w:pPr>
      <w:autoSpaceDE w:val="0"/>
      <w:autoSpaceDN w:val="0"/>
      <w:adjustRightInd w:val="0"/>
    </w:pPr>
    <w:rPr>
      <w:rFonts w:ascii="Arial" w:hAnsi="Arial" w:cs="Arial"/>
      <w:color w:val="000000"/>
    </w:rPr>
  </w:style>
  <w:style w:type="character" w:customStyle="1" w:styleId="ParagraphedelisteCar">
    <w:name w:val="Paragraphe de liste Car"/>
    <w:aliases w:val="Bullets Car,Paragraphe de liste1 Car,Paragraphe 2 Car,Titre1 Car,Paragraphe de liste11 Car,L_4 Car,Paragraphe de liste4 Car,References Car,- List tir Car,liste 1 Car,puce 1 Car,r2 Car,inspringtekst Car,Numbered paragraph Car"/>
    <w:link w:val="Paragraphedeliste"/>
    <w:uiPriority w:val="34"/>
    <w:qFormat/>
    <w:rsid w:val="00485EC8"/>
    <w:rPr>
      <w:sz w:val="22"/>
      <w:szCs w:val="22"/>
      <w:lang w:val="fr-FR"/>
    </w:rPr>
  </w:style>
  <w:style w:type="table" w:styleId="Grilledutableau">
    <w:name w:val="Table Grid"/>
    <w:basedOn w:val="TableauNormal"/>
    <w:uiPriority w:val="39"/>
    <w:rsid w:val="0045188A"/>
    <w:rPr>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aliases w:val="LVT Table Heading,Légende1,Légende21,Légende111,Car111,Car Car Car Car Car Car Car Car Car111,Car Car Car Car Car111,Car Car Car Car111,Car Car Car Car Car Car Car Car211,Car Car Car Car Car Car Car Car Car Car Car Car Car Car Car11,Caption Char"/>
    <w:basedOn w:val="Normal"/>
    <w:next w:val="Normal"/>
    <w:link w:val="LgendeCar"/>
    <w:uiPriority w:val="35"/>
    <w:unhideWhenUsed/>
    <w:qFormat/>
    <w:rsid w:val="0045188A"/>
    <w:pPr>
      <w:spacing w:after="200" w:line="240" w:lineRule="auto"/>
    </w:pPr>
    <w:rPr>
      <w:i/>
      <w:iCs/>
      <w:color w:val="44546A" w:themeColor="text2"/>
      <w:sz w:val="18"/>
      <w:szCs w:val="18"/>
    </w:rPr>
  </w:style>
  <w:style w:type="character" w:customStyle="1" w:styleId="FontStyle39">
    <w:name w:val="Font Style39"/>
    <w:basedOn w:val="Policepardfaut"/>
    <w:uiPriority w:val="99"/>
    <w:rsid w:val="006128D3"/>
    <w:rPr>
      <w:rFonts w:ascii="Times New Roman" w:hAnsi="Times New Roman" w:cs="Times New Roman"/>
      <w:color w:val="000000"/>
      <w:spacing w:val="10"/>
      <w:sz w:val="22"/>
      <w:szCs w:val="22"/>
    </w:rPr>
  </w:style>
  <w:style w:type="paragraph" w:customStyle="1" w:styleId="Style7">
    <w:name w:val="Style7"/>
    <w:basedOn w:val="Normal"/>
    <w:uiPriority w:val="99"/>
    <w:rsid w:val="006128D3"/>
    <w:pPr>
      <w:widowControl w:val="0"/>
      <w:autoSpaceDE w:val="0"/>
      <w:autoSpaceDN w:val="0"/>
      <w:adjustRightInd w:val="0"/>
      <w:spacing w:after="0" w:line="341" w:lineRule="exact"/>
    </w:pPr>
    <w:rPr>
      <w:rFonts w:ascii="Times New Roman" w:eastAsiaTheme="minorEastAsia" w:hAnsi="Times New Roman" w:cs="Times New Roman"/>
      <w:szCs w:val="24"/>
      <w:lang w:eastAsia="fr-FR"/>
    </w:rPr>
  </w:style>
  <w:style w:type="paragraph" w:customStyle="1" w:styleId="Style10">
    <w:name w:val="Style10"/>
    <w:basedOn w:val="Normal"/>
    <w:uiPriority w:val="99"/>
    <w:rsid w:val="006128D3"/>
    <w:pPr>
      <w:widowControl w:val="0"/>
      <w:autoSpaceDE w:val="0"/>
      <w:autoSpaceDN w:val="0"/>
      <w:adjustRightInd w:val="0"/>
      <w:spacing w:after="0" w:line="305" w:lineRule="exact"/>
      <w:ind w:hanging="1435"/>
    </w:pPr>
    <w:rPr>
      <w:rFonts w:ascii="Times New Roman" w:eastAsiaTheme="minorEastAsia" w:hAnsi="Times New Roman" w:cs="Times New Roman"/>
      <w:szCs w:val="24"/>
      <w:lang w:eastAsia="fr-FR"/>
    </w:rPr>
  </w:style>
  <w:style w:type="character" w:styleId="Lienhypertextesuivivisit">
    <w:name w:val="FollowedHyperlink"/>
    <w:basedOn w:val="Policepardfaut"/>
    <w:uiPriority w:val="99"/>
    <w:semiHidden/>
    <w:unhideWhenUsed/>
    <w:rsid w:val="00292AFD"/>
    <w:rPr>
      <w:color w:val="954F72"/>
      <w:u w:val="single"/>
    </w:rPr>
  </w:style>
  <w:style w:type="paragraph" w:customStyle="1" w:styleId="msonormal0">
    <w:name w:val="msonormal"/>
    <w:basedOn w:val="Normal"/>
    <w:rsid w:val="00292AFD"/>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font5">
    <w:name w:val="font5"/>
    <w:basedOn w:val="Normal"/>
    <w:rsid w:val="00292AFD"/>
    <w:pPr>
      <w:spacing w:before="100" w:beforeAutospacing="1" w:after="100" w:afterAutospacing="1" w:line="240" w:lineRule="auto"/>
      <w:jc w:val="left"/>
    </w:pPr>
    <w:rPr>
      <w:rFonts w:ascii="Rockwell" w:eastAsia="Times New Roman" w:hAnsi="Rockwell" w:cs="Times New Roman"/>
      <w:color w:val="0070C0"/>
      <w:szCs w:val="24"/>
      <w:lang w:eastAsia="fr-FR"/>
    </w:rPr>
  </w:style>
  <w:style w:type="paragraph" w:customStyle="1" w:styleId="font6">
    <w:name w:val="font6"/>
    <w:basedOn w:val="Normal"/>
    <w:rsid w:val="00292AFD"/>
    <w:pPr>
      <w:spacing w:before="100" w:beforeAutospacing="1" w:after="100" w:afterAutospacing="1" w:line="240" w:lineRule="auto"/>
      <w:jc w:val="left"/>
    </w:pPr>
    <w:rPr>
      <w:rFonts w:ascii="Tahoma" w:eastAsia="Times New Roman" w:hAnsi="Tahoma" w:cs="Tahoma"/>
      <w:b/>
      <w:bCs/>
      <w:color w:val="000000"/>
      <w:sz w:val="20"/>
      <w:szCs w:val="20"/>
      <w:lang w:eastAsia="fr-FR"/>
    </w:rPr>
  </w:style>
  <w:style w:type="paragraph" w:customStyle="1" w:styleId="font7">
    <w:name w:val="font7"/>
    <w:basedOn w:val="Normal"/>
    <w:rsid w:val="00292AFD"/>
    <w:pPr>
      <w:spacing w:before="100" w:beforeAutospacing="1" w:after="100" w:afterAutospacing="1" w:line="240" w:lineRule="auto"/>
      <w:jc w:val="left"/>
    </w:pPr>
    <w:rPr>
      <w:rFonts w:ascii="Tahoma" w:eastAsia="Times New Roman" w:hAnsi="Tahoma" w:cs="Tahoma"/>
      <w:color w:val="000000"/>
      <w:sz w:val="20"/>
      <w:szCs w:val="20"/>
      <w:lang w:eastAsia="fr-FR"/>
    </w:rPr>
  </w:style>
  <w:style w:type="paragraph" w:customStyle="1" w:styleId="xl65">
    <w:name w:val="xl65"/>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66">
    <w:name w:val="xl66"/>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67">
    <w:name w:val="xl67"/>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68">
    <w:name w:val="xl68"/>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69">
    <w:name w:val="xl69"/>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70">
    <w:name w:val="xl70"/>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71">
    <w:name w:val="xl71"/>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72">
    <w:name w:val="xl72"/>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73">
    <w:name w:val="xl73"/>
    <w:basedOn w:val="Normal"/>
    <w:rsid w:val="00292A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74">
    <w:name w:val="xl74"/>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lang w:eastAsia="fr-FR"/>
    </w:rPr>
  </w:style>
  <w:style w:type="paragraph" w:customStyle="1" w:styleId="xl75">
    <w:name w:val="xl75"/>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76">
    <w:name w:val="xl76"/>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0"/>
      <w:szCs w:val="20"/>
      <w:lang w:eastAsia="fr-FR"/>
    </w:rPr>
  </w:style>
  <w:style w:type="paragraph" w:customStyle="1" w:styleId="xl77">
    <w:name w:val="xl77"/>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0"/>
      <w:szCs w:val="20"/>
      <w:lang w:eastAsia="fr-FR"/>
    </w:rPr>
  </w:style>
  <w:style w:type="paragraph" w:customStyle="1" w:styleId="xl78">
    <w:name w:val="xl78"/>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 w:val="20"/>
      <w:szCs w:val="20"/>
      <w:lang w:eastAsia="fr-FR"/>
    </w:rPr>
  </w:style>
  <w:style w:type="paragraph" w:customStyle="1" w:styleId="xl79">
    <w:name w:val="xl79"/>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80">
    <w:name w:val="xl80"/>
    <w:basedOn w:val="Normal"/>
    <w:rsid w:val="00292A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81">
    <w:name w:val="xl81"/>
    <w:basedOn w:val="Normal"/>
    <w:rsid w:val="00292A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82">
    <w:name w:val="xl82"/>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83">
    <w:name w:val="xl83"/>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84">
    <w:name w:val="xl84"/>
    <w:basedOn w:val="Normal"/>
    <w:rsid w:val="00292A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color w:val="000000"/>
      <w:sz w:val="20"/>
      <w:szCs w:val="20"/>
      <w:lang w:eastAsia="fr-FR"/>
    </w:rPr>
  </w:style>
  <w:style w:type="paragraph" w:customStyle="1" w:styleId="xl85">
    <w:name w:val="xl85"/>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86">
    <w:name w:val="xl86"/>
    <w:basedOn w:val="Normal"/>
    <w:rsid w:val="00292A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87">
    <w:name w:val="xl87"/>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88">
    <w:name w:val="xl88"/>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0"/>
      <w:szCs w:val="20"/>
      <w:lang w:eastAsia="fr-FR"/>
    </w:rPr>
  </w:style>
  <w:style w:type="paragraph" w:customStyle="1" w:styleId="xl89">
    <w:name w:val="xl89"/>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90">
    <w:name w:val="xl90"/>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 w:val="20"/>
      <w:szCs w:val="20"/>
      <w:lang w:eastAsia="fr-FR"/>
    </w:rPr>
  </w:style>
  <w:style w:type="paragraph" w:customStyle="1" w:styleId="xl91">
    <w:name w:val="xl91"/>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92">
    <w:name w:val="xl92"/>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93">
    <w:name w:val="xl93"/>
    <w:basedOn w:val="Normal"/>
    <w:rsid w:val="00292AFD"/>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xl94">
    <w:name w:val="xl94"/>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 w:val="20"/>
      <w:szCs w:val="20"/>
      <w:lang w:eastAsia="fr-FR"/>
    </w:rPr>
  </w:style>
  <w:style w:type="paragraph" w:customStyle="1" w:styleId="xl95">
    <w:name w:val="xl95"/>
    <w:basedOn w:val="Normal"/>
    <w:rsid w:val="00292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96">
    <w:name w:val="xl96"/>
    <w:basedOn w:val="Normal"/>
    <w:rsid w:val="00292A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left"/>
      <w:textAlignment w:val="center"/>
    </w:pPr>
    <w:rPr>
      <w:rFonts w:eastAsia="Times New Roman" w:cs="Times New Roman"/>
      <w:b/>
      <w:bCs/>
      <w:szCs w:val="24"/>
      <w:lang w:eastAsia="fr-FR"/>
    </w:rPr>
  </w:style>
  <w:style w:type="paragraph" w:customStyle="1" w:styleId="xl97">
    <w:name w:val="xl97"/>
    <w:basedOn w:val="Normal"/>
    <w:rsid w:val="00292A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left"/>
      <w:textAlignment w:val="center"/>
    </w:pPr>
    <w:rPr>
      <w:rFonts w:eastAsia="Times New Roman" w:cs="Times New Roman"/>
      <w:b/>
      <w:bCs/>
      <w:szCs w:val="24"/>
      <w:lang w:eastAsia="fr-FR"/>
    </w:rPr>
  </w:style>
  <w:style w:type="paragraph" w:customStyle="1" w:styleId="xl98">
    <w:name w:val="xl98"/>
    <w:basedOn w:val="Normal"/>
    <w:rsid w:val="00292A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99">
    <w:name w:val="xl99"/>
    <w:basedOn w:val="Normal"/>
    <w:rsid w:val="00292AFD"/>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2Car">
    <w:name w:val="Titre 2 Car"/>
    <w:basedOn w:val="Policepardfaut"/>
    <w:link w:val="Titre2"/>
    <w:uiPriority w:val="9"/>
    <w:rsid w:val="008D572D"/>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A67EE3"/>
    <w:pPr>
      <w:spacing w:after="100"/>
      <w:ind w:left="240"/>
    </w:pPr>
  </w:style>
  <w:style w:type="paragraph" w:styleId="NormalWeb">
    <w:name w:val="Normal (Web)"/>
    <w:basedOn w:val="Normal"/>
    <w:uiPriority w:val="99"/>
    <w:semiHidden/>
    <w:unhideWhenUsed/>
    <w:rsid w:val="00AC0108"/>
    <w:pPr>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Titre3Car">
    <w:name w:val="Titre 3 Car"/>
    <w:basedOn w:val="Policepardfaut"/>
    <w:link w:val="Titre3"/>
    <w:uiPriority w:val="9"/>
    <w:rsid w:val="00AC0108"/>
    <w:rPr>
      <w:rFonts w:asciiTheme="majorHAnsi" w:eastAsiaTheme="majorEastAsia" w:hAnsiTheme="majorHAnsi" w:cstheme="majorBidi"/>
      <w:color w:val="1F3763" w:themeColor="accent1" w:themeShade="7F"/>
    </w:rPr>
  </w:style>
  <w:style w:type="numbering" w:customStyle="1" w:styleId="Style1">
    <w:name w:val="Style1"/>
    <w:uiPriority w:val="99"/>
    <w:rsid w:val="00AC0108"/>
    <w:pPr>
      <w:numPr>
        <w:numId w:val="1"/>
      </w:numPr>
    </w:pPr>
  </w:style>
  <w:style w:type="numbering" w:customStyle="1" w:styleId="Style2">
    <w:name w:val="Style2"/>
    <w:uiPriority w:val="99"/>
    <w:rsid w:val="00AC0108"/>
    <w:pPr>
      <w:numPr>
        <w:numId w:val="2"/>
      </w:numPr>
    </w:pPr>
  </w:style>
  <w:style w:type="paragraph" w:styleId="TM3">
    <w:name w:val="toc 3"/>
    <w:basedOn w:val="Normal"/>
    <w:next w:val="Normal"/>
    <w:autoRedefine/>
    <w:uiPriority w:val="39"/>
    <w:unhideWhenUsed/>
    <w:rsid w:val="00F84D97"/>
    <w:pPr>
      <w:tabs>
        <w:tab w:val="left" w:pos="1320"/>
        <w:tab w:val="right" w:leader="dot" w:pos="9016"/>
      </w:tabs>
      <w:spacing w:after="100"/>
      <w:ind w:left="480"/>
    </w:pPr>
  </w:style>
  <w:style w:type="character" w:styleId="Marquedecommentaire">
    <w:name w:val="annotation reference"/>
    <w:basedOn w:val="Policepardfaut"/>
    <w:uiPriority w:val="99"/>
    <w:unhideWhenUsed/>
    <w:qFormat/>
    <w:rsid w:val="005115CE"/>
    <w:rPr>
      <w:sz w:val="16"/>
      <w:szCs w:val="16"/>
    </w:rPr>
  </w:style>
  <w:style w:type="paragraph" w:styleId="Commentaire">
    <w:name w:val="annotation text"/>
    <w:basedOn w:val="Normal"/>
    <w:link w:val="CommentaireCar"/>
    <w:uiPriority w:val="99"/>
    <w:unhideWhenUsed/>
    <w:qFormat/>
    <w:rsid w:val="005115CE"/>
    <w:pPr>
      <w:spacing w:line="240" w:lineRule="auto"/>
    </w:pPr>
    <w:rPr>
      <w:sz w:val="20"/>
      <w:szCs w:val="20"/>
    </w:rPr>
  </w:style>
  <w:style w:type="character" w:customStyle="1" w:styleId="CommentaireCar">
    <w:name w:val="Commentaire Car"/>
    <w:basedOn w:val="Policepardfaut"/>
    <w:link w:val="Commentaire"/>
    <w:uiPriority w:val="99"/>
    <w:qFormat/>
    <w:rsid w:val="005115CE"/>
    <w:rPr>
      <w:rFonts w:ascii="Sylfaen" w:hAnsi="Sylfaen" w:cs="Times New Roman (Corps CS)"/>
      <w:sz w:val="20"/>
      <w:szCs w:val="20"/>
    </w:rPr>
  </w:style>
  <w:style w:type="paragraph" w:styleId="Objetducommentaire">
    <w:name w:val="annotation subject"/>
    <w:basedOn w:val="Commentaire"/>
    <w:next w:val="Commentaire"/>
    <w:link w:val="ObjetducommentaireCar"/>
    <w:uiPriority w:val="99"/>
    <w:semiHidden/>
    <w:unhideWhenUsed/>
    <w:rsid w:val="005115CE"/>
    <w:rPr>
      <w:b/>
      <w:bCs/>
    </w:rPr>
  </w:style>
  <w:style w:type="character" w:customStyle="1" w:styleId="ObjetducommentaireCar">
    <w:name w:val="Objet du commentaire Car"/>
    <w:basedOn w:val="CommentaireCar"/>
    <w:link w:val="Objetducommentaire"/>
    <w:uiPriority w:val="99"/>
    <w:semiHidden/>
    <w:rsid w:val="005115CE"/>
    <w:rPr>
      <w:rFonts w:ascii="Sylfaen" w:hAnsi="Sylfaen" w:cs="Times New Roman (Corps CS)"/>
      <w:b/>
      <w:bCs/>
      <w:sz w:val="20"/>
      <w:szCs w:val="20"/>
    </w:rPr>
  </w:style>
  <w:style w:type="paragraph" w:customStyle="1" w:styleId="xl100">
    <w:name w:val="xl100"/>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01">
    <w:name w:val="xl10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02">
    <w:name w:val="xl10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03">
    <w:name w:val="xl10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04">
    <w:name w:val="xl10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105">
    <w:name w:val="xl10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06">
    <w:name w:val="xl10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107">
    <w:name w:val="xl10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08">
    <w:name w:val="xl10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109">
    <w:name w:val="xl109"/>
    <w:basedOn w:val="Normal"/>
    <w:rsid w:val="00AE73F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10">
    <w:name w:val="xl11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11">
    <w:name w:val="xl11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0"/>
      <w:szCs w:val="20"/>
      <w:lang w:eastAsia="fr-FR"/>
    </w:rPr>
  </w:style>
  <w:style w:type="paragraph" w:customStyle="1" w:styleId="xl112">
    <w:name w:val="xl11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0"/>
      <w:szCs w:val="20"/>
      <w:lang w:eastAsia="fr-FR"/>
    </w:rPr>
  </w:style>
  <w:style w:type="paragraph" w:customStyle="1" w:styleId="xl113">
    <w:name w:val="xl11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 w:val="20"/>
      <w:szCs w:val="20"/>
      <w:lang w:eastAsia="fr-FR"/>
    </w:rPr>
  </w:style>
  <w:style w:type="paragraph" w:customStyle="1" w:styleId="xl114">
    <w:name w:val="xl114"/>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15">
    <w:name w:val="xl11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0"/>
      <w:szCs w:val="20"/>
      <w:lang w:eastAsia="fr-FR"/>
    </w:rPr>
  </w:style>
  <w:style w:type="paragraph" w:customStyle="1" w:styleId="xl116">
    <w:name w:val="xl11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17">
    <w:name w:val="xl117"/>
    <w:basedOn w:val="Normal"/>
    <w:rsid w:val="00AE73FF"/>
    <w:pPr>
      <w:spacing w:before="100" w:beforeAutospacing="1" w:after="100" w:afterAutospacing="1" w:line="240" w:lineRule="auto"/>
      <w:jc w:val="left"/>
    </w:pPr>
    <w:rPr>
      <w:rFonts w:eastAsia="Times New Roman" w:cs="Times New Roman"/>
      <w:sz w:val="20"/>
      <w:szCs w:val="20"/>
      <w:lang w:eastAsia="fr-FR"/>
    </w:rPr>
  </w:style>
  <w:style w:type="paragraph" w:customStyle="1" w:styleId="xl118">
    <w:name w:val="xl118"/>
    <w:basedOn w:val="Normal"/>
    <w:rsid w:val="00AE73F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119">
    <w:name w:val="xl119"/>
    <w:basedOn w:val="Normal"/>
    <w:rsid w:val="00AE73F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eastAsia="Times New Roman" w:cs="Times New Roman"/>
      <w:b/>
      <w:bCs/>
      <w:sz w:val="20"/>
      <w:szCs w:val="20"/>
      <w:lang w:eastAsia="fr-FR"/>
    </w:rPr>
  </w:style>
  <w:style w:type="paragraph" w:customStyle="1" w:styleId="xl120">
    <w:name w:val="xl120"/>
    <w:basedOn w:val="Normal"/>
    <w:rsid w:val="00AE73F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121">
    <w:name w:val="xl12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122">
    <w:name w:val="xl12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23">
    <w:name w:val="xl12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24">
    <w:name w:val="xl12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0"/>
      <w:szCs w:val="20"/>
      <w:lang w:eastAsia="fr-FR"/>
    </w:rPr>
  </w:style>
  <w:style w:type="paragraph" w:customStyle="1" w:styleId="xl125">
    <w:name w:val="xl12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0"/>
      <w:szCs w:val="20"/>
      <w:lang w:eastAsia="fr-FR"/>
    </w:rPr>
  </w:style>
  <w:style w:type="paragraph" w:customStyle="1" w:styleId="xl126">
    <w:name w:val="xl126"/>
    <w:basedOn w:val="Normal"/>
    <w:rsid w:val="00AE73FF"/>
    <w:pPr>
      <w:spacing w:before="100" w:beforeAutospacing="1" w:after="100" w:afterAutospacing="1" w:line="240" w:lineRule="auto"/>
      <w:jc w:val="left"/>
    </w:pPr>
    <w:rPr>
      <w:rFonts w:eastAsia="Times New Roman" w:cs="Times New Roman"/>
      <w:b/>
      <w:bCs/>
      <w:sz w:val="20"/>
      <w:szCs w:val="20"/>
      <w:lang w:eastAsia="fr-FR"/>
    </w:rPr>
  </w:style>
  <w:style w:type="paragraph" w:customStyle="1" w:styleId="xl127">
    <w:name w:val="xl12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lang w:eastAsia="fr-FR"/>
    </w:rPr>
  </w:style>
  <w:style w:type="paragraph" w:customStyle="1" w:styleId="xl128">
    <w:name w:val="xl12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29">
    <w:name w:val="xl12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0"/>
      <w:szCs w:val="20"/>
      <w:lang w:eastAsia="fr-FR"/>
    </w:rPr>
  </w:style>
  <w:style w:type="paragraph" w:customStyle="1" w:styleId="xl130">
    <w:name w:val="xl130"/>
    <w:basedOn w:val="Normal"/>
    <w:rsid w:val="00AE73FF"/>
    <w:pP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131">
    <w:name w:val="xl131"/>
    <w:basedOn w:val="Normal"/>
    <w:rsid w:val="00AE73FF"/>
    <w:pP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32">
    <w:name w:val="xl132"/>
    <w:basedOn w:val="Normal"/>
    <w:rsid w:val="00AE73FF"/>
    <w:pP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33">
    <w:name w:val="xl13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34">
    <w:name w:val="xl13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35">
    <w:name w:val="xl13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36">
    <w:name w:val="xl13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37">
    <w:name w:val="xl137"/>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38">
    <w:name w:val="xl138"/>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39">
    <w:name w:val="xl13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0"/>
      <w:szCs w:val="20"/>
      <w:lang w:eastAsia="fr-FR"/>
    </w:rPr>
  </w:style>
  <w:style w:type="paragraph" w:customStyle="1" w:styleId="xl140">
    <w:name w:val="xl14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color w:val="000000"/>
      <w:sz w:val="20"/>
      <w:szCs w:val="20"/>
      <w:lang w:eastAsia="fr-FR"/>
    </w:rPr>
  </w:style>
  <w:style w:type="paragraph" w:customStyle="1" w:styleId="xl141">
    <w:name w:val="xl14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42">
    <w:name w:val="xl14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43">
    <w:name w:val="xl143"/>
    <w:basedOn w:val="Normal"/>
    <w:rsid w:val="00AE73FF"/>
    <w:pPr>
      <w:shd w:val="clear" w:color="000000" w:fill="FCE4D6"/>
      <w:spacing w:before="100" w:beforeAutospacing="1" w:after="100" w:afterAutospacing="1" w:line="240" w:lineRule="auto"/>
      <w:jc w:val="left"/>
    </w:pPr>
    <w:rPr>
      <w:rFonts w:eastAsia="Times New Roman" w:cs="Times New Roman"/>
      <w:sz w:val="20"/>
      <w:szCs w:val="20"/>
      <w:lang w:eastAsia="fr-FR"/>
    </w:rPr>
  </w:style>
  <w:style w:type="paragraph" w:customStyle="1" w:styleId="xl144">
    <w:name w:val="xl14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45">
    <w:name w:val="xl14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46">
    <w:name w:val="xl146"/>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47">
    <w:name w:val="xl14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48">
    <w:name w:val="xl148"/>
    <w:basedOn w:val="Normal"/>
    <w:rsid w:val="00AE73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49">
    <w:name w:val="xl14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50">
    <w:name w:val="xl15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51">
    <w:name w:val="xl15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152">
    <w:name w:val="xl15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153">
    <w:name w:val="xl15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sz w:val="20"/>
      <w:szCs w:val="20"/>
      <w:lang w:eastAsia="fr-FR"/>
    </w:rPr>
  </w:style>
  <w:style w:type="paragraph" w:customStyle="1" w:styleId="xl154">
    <w:name w:val="xl15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155">
    <w:name w:val="xl15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156">
    <w:name w:val="xl15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57">
    <w:name w:val="xl15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158">
    <w:name w:val="xl15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159">
    <w:name w:val="xl159"/>
    <w:basedOn w:val="Normal"/>
    <w:rsid w:val="00AE73FF"/>
    <w:pP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160">
    <w:name w:val="xl16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161">
    <w:name w:val="xl16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162">
    <w:name w:val="xl16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163">
    <w:name w:val="xl16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sz w:val="20"/>
      <w:szCs w:val="20"/>
      <w:lang w:eastAsia="fr-FR"/>
    </w:rPr>
  </w:style>
  <w:style w:type="paragraph" w:customStyle="1" w:styleId="xl164">
    <w:name w:val="xl16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65">
    <w:name w:val="xl165"/>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166">
    <w:name w:val="xl166"/>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167">
    <w:name w:val="xl167"/>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168">
    <w:name w:val="xl16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69">
    <w:name w:val="xl16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170">
    <w:name w:val="xl170"/>
    <w:basedOn w:val="Normal"/>
    <w:rsid w:val="00AE7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color w:val="000000"/>
      <w:sz w:val="20"/>
      <w:szCs w:val="20"/>
      <w:lang w:eastAsia="fr-FR"/>
    </w:rPr>
  </w:style>
  <w:style w:type="paragraph" w:customStyle="1" w:styleId="xl171">
    <w:name w:val="xl17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Cs w:val="24"/>
      <w:lang w:eastAsia="fr-FR"/>
    </w:rPr>
  </w:style>
  <w:style w:type="paragraph" w:customStyle="1" w:styleId="xl172">
    <w:name w:val="xl17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sz w:val="20"/>
      <w:szCs w:val="20"/>
      <w:lang w:eastAsia="fr-FR"/>
    </w:rPr>
  </w:style>
  <w:style w:type="paragraph" w:customStyle="1" w:styleId="xl173">
    <w:name w:val="xl17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74">
    <w:name w:val="xl17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75">
    <w:name w:val="xl17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76">
    <w:name w:val="xl17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177">
    <w:name w:val="xl17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78">
    <w:name w:val="xl17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179">
    <w:name w:val="xl17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180">
    <w:name w:val="xl18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181">
    <w:name w:val="xl18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82">
    <w:name w:val="xl18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83">
    <w:name w:val="xl18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ascii="Times New Roman" w:eastAsia="Times New Roman" w:hAnsi="Times New Roman" w:cs="Times New Roman"/>
      <w:b/>
      <w:bCs/>
      <w:szCs w:val="24"/>
      <w:lang w:eastAsia="fr-FR"/>
    </w:rPr>
  </w:style>
  <w:style w:type="paragraph" w:customStyle="1" w:styleId="xl184">
    <w:name w:val="xl184"/>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sz w:val="20"/>
      <w:szCs w:val="20"/>
      <w:lang w:eastAsia="fr-FR"/>
    </w:rPr>
  </w:style>
  <w:style w:type="paragraph" w:customStyle="1" w:styleId="xl185">
    <w:name w:val="xl185"/>
    <w:basedOn w:val="Normal"/>
    <w:rsid w:val="00AE73FF"/>
    <w:pPr>
      <w:pBdr>
        <w:top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86">
    <w:name w:val="xl186"/>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187">
    <w:name w:val="xl187"/>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Times New Roman" w:eastAsia="Times New Roman" w:hAnsi="Times New Roman" w:cs="Times New Roman"/>
      <w:b/>
      <w:bCs/>
      <w:szCs w:val="24"/>
      <w:lang w:eastAsia="fr-FR"/>
    </w:rPr>
  </w:style>
  <w:style w:type="paragraph" w:customStyle="1" w:styleId="xl188">
    <w:name w:val="xl188"/>
    <w:basedOn w:val="Normal"/>
    <w:rsid w:val="00AE73FF"/>
    <w:pPr>
      <w:pBdr>
        <w:right w:val="single" w:sz="8"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89">
    <w:name w:val="xl189"/>
    <w:basedOn w:val="Normal"/>
    <w:rsid w:val="00AE73FF"/>
    <w:pPr>
      <w:pBdr>
        <w:right w:val="single" w:sz="8"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190">
    <w:name w:val="xl190"/>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xl191">
    <w:name w:val="xl19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192">
    <w:name w:val="xl192"/>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93">
    <w:name w:val="xl193"/>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94">
    <w:name w:val="xl194"/>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95">
    <w:name w:val="xl19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196">
    <w:name w:val="xl19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197">
    <w:name w:val="xl19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198">
    <w:name w:val="xl198"/>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199">
    <w:name w:val="xl199"/>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Cs w:val="24"/>
      <w:lang w:eastAsia="fr-FR"/>
    </w:rPr>
  </w:style>
  <w:style w:type="paragraph" w:customStyle="1" w:styleId="xl200">
    <w:name w:val="xl200"/>
    <w:basedOn w:val="Normal"/>
    <w:rsid w:val="00AE7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0"/>
      <w:szCs w:val="20"/>
      <w:lang w:eastAsia="fr-FR"/>
    </w:rPr>
  </w:style>
  <w:style w:type="paragraph" w:customStyle="1" w:styleId="xl201">
    <w:name w:val="xl20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02">
    <w:name w:val="xl202"/>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03">
    <w:name w:val="xl20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04">
    <w:name w:val="xl20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05">
    <w:name w:val="xl20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06">
    <w:name w:val="xl206"/>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07">
    <w:name w:val="xl207"/>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08">
    <w:name w:val="xl20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09">
    <w:name w:val="xl20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10">
    <w:name w:val="xl21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sz w:val="20"/>
      <w:szCs w:val="20"/>
      <w:lang w:eastAsia="fr-FR"/>
    </w:rPr>
  </w:style>
  <w:style w:type="paragraph" w:customStyle="1" w:styleId="xl211">
    <w:name w:val="xl21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212">
    <w:name w:val="xl212"/>
    <w:basedOn w:val="Normal"/>
    <w:rsid w:val="00AE73FF"/>
    <w:pPr>
      <w:shd w:val="clear" w:color="000000" w:fill="FFFF00"/>
      <w:spacing w:before="100" w:beforeAutospacing="1" w:after="100" w:afterAutospacing="1" w:line="240" w:lineRule="auto"/>
      <w:jc w:val="left"/>
    </w:pPr>
    <w:rPr>
      <w:rFonts w:eastAsia="Times New Roman" w:cs="Times New Roman"/>
      <w:b/>
      <w:bCs/>
      <w:sz w:val="20"/>
      <w:szCs w:val="20"/>
      <w:lang w:eastAsia="fr-FR"/>
    </w:rPr>
  </w:style>
  <w:style w:type="paragraph" w:customStyle="1" w:styleId="xl213">
    <w:name w:val="xl213"/>
    <w:basedOn w:val="Normal"/>
    <w:rsid w:val="00AE73FF"/>
    <w:pPr>
      <w:shd w:val="clear" w:color="000000" w:fill="FCE4D6"/>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214">
    <w:name w:val="xl214"/>
    <w:basedOn w:val="Normal"/>
    <w:rsid w:val="00AE73FF"/>
    <w:pP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215">
    <w:name w:val="xl21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216">
    <w:name w:val="xl21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217">
    <w:name w:val="xl21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Times New Roman" w:eastAsia="Times New Roman" w:hAnsi="Times New Roman" w:cs="Times New Roman"/>
      <w:b/>
      <w:bCs/>
      <w:szCs w:val="24"/>
      <w:lang w:eastAsia="fr-FR"/>
    </w:rPr>
  </w:style>
  <w:style w:type="paragraph" w:customStyle="1" w:styleId="xl218">
    <w:name w:val="xl21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219">
    <w:name w:val="xl21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customStyle="1" w:styleId="xl220">
    <w:name w:val="xl22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21">
    <w:name w:val="xl22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222">
    <w:name w:val="xl22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223">
    <w:name w:val="xl223"/>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24">
    <w:name w:val="xl224"/>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25">
    <w:name w:val="xl225"/>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26">
    <w:name w:val="xl226"/>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Cs w:val="24"/>
      <w:lang w:eastAsia="fr-FR"/>
    </w:rPr>
  </w:style>
  <w:style w:type="paragraph" w:customStyle="1" w:styleId="xl227">
    <w:name w:val="xl227"/>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28">
    <w:name w:val="xl228"/>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29">
    <w:name w:val="xl229"/>
    <w:basedOn w:val="Normal"/>
    <w:rsid w:val="00AE73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30">
    <w:name w:val="xl230"/>
    <w:basedOn w:val="Normal"/>
    <w:rsid w:val="00AE73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31">
    <w:name w:val="xl231"/>
    <w:basedOn w:val="Normal"/>
    <w:rsid w:val="00AE73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32">
    <w:name w:val="xl232"/>
    <w:basedOn w:val="Normal"/>
    <w:rsid w:val="00AE73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233">
    <w:name w:val="xl233"/>
    <w:basedOn w:val="Normal"/>
    <w:rsid w:val="00AE73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34">
    <w:name w:val="xl234"/>
    <w:basedOn w:val="Normal"/>
    <w:rsid w:val="00AE73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35">
    <w:name w:val="xl235"/>
    <w:basedOn w:val="Normal"/>
    <w:rsid w:val="00AE73F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236">
    <w:name w:val="xl236"/>
    <w:basedOn w:val="Normal"/>
    <w:rsid w:val="00AE73FF"/>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37">
    <w:name w:val="xl237"/>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38">
    <w:name w:val="xl238"/>
    <w:basedOn w:val="Normal"/>
    <w:rsid w:val="00AE7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0"/>
      <w:szCs w:val="20"/>
      <w:lang w:eastAsia="fr-FR"/>
    </w:rPr>
  </w:style>
  <w:style w:type="paragraph" w:customStyle="1" w:styleId="xl239">
    <w:name w:val="xl239"/>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40">
    <w:name w:val="xl240"/>
    <w:basedOn w:val="Normal"/>
    <w:rsid w:val="00AE7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41">
    <w:name w:val="xl241"/>
    <w:basedOn w:val="Normal"/>
    <w:rsid w:val="00AE73FF"/>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42">
    <w:name w:val="xl242"/>
    <w:basedOn w:val="Normal"/>
    <w:rsid w:val="00AE7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43">
    <w:name w:val="xl243"/>
    <w:basedOn w:val="Normal"/>
    <w:rsid w:val="00AE73F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44">
    <w:name w:val="xl244"/>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245">
    <w:name w:val="xl245"/>
    <w:basedOn w:val="Normal"/>
    <w:rsid w:val="00AE73FF"/>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246">
    <w:name w:val="xl246"/>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247">
    <w:name w:val="xl247"/>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248">
    <w:name w:val="xl248"/>
    <w:basedOn w:val="Normal"/>
    <w:rsid w:val="00AE73F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249">
    <w:name w:val="xl249"/>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250">
    <w:name w:val="xl250"/>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251">
    <w:name w:val="xl251"/>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52">
    <w:name w:val="xl25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color w:val="000000"/>
      <w:sz w:val="20"/>
      <w:szCs w:val="20"/>
      <w:lang w:eastAsia="fr-FR"/>
    </w:rPr>
  </w:style>
  <w:style w:type="paragraph" w:customStyle="1" w:styleId="xl253">
    <w:name w:val="xl253"/>
    <w:basedOn w:val="Normal"/>
    <w:rsid w:val="00AE73FF"/>
    <w:pPr>
      <w:pBdr>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54">
    <w:name w:val="xl25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sz w:val="20"/>
      <w:szCs w:val="20"/>
      <w:lang w:eastAsia="fr-FR"/>
    </w:rPr>
  </w:style>
  <w:style w:type="paragraph" w:customStyle="1" w:styleId="xl255">
    <w:name w:val="xl25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sz w:val="20"/>
      <w:szCs w:val="20"/>
      <w:lang w:eastAsia="fr-FR"/>
    </w:rPr>
  </w:style>
  <w:style w:type="paragraph" w:customStyle="1" w:styleId="xl256">
    <w:name w:val="xl25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257">
    <w:name w:val="xl25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sz w:val="20"/>
      <w:szCs w:val="20"/>
      <w:lang w:eastAsia="fr-FR"/>
    </w:rPr>
  </w:style>
  <w:style w:type="paragraph" w:customStyle="1" w:styleId="xl258">
    <w:name w:val="xl25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0"/>
      <w:szCs w:val="20"/>
      <w:lang w:eastAsia="fr-FR"/>
    </w:rPr>
  </w:style>
  <w:style w:type="paragraph" w:customStyle="1" w:styleId="xl259">
    <w:name w:val="xl25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0"/>
      <w:szCs w:val="20"/>
      <w:lang w:eastAsia="fr-FR"/>
    </w:rPr>
  </w:style>
  <w:style w:type="paragraph" w:customStyle="1" w:styleId="xl260">
    <w:name w:val="xl26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0"/>
      <w:szCs w:val="20"/>
      <w:lang w:eastAsia="fr-FR"/>
    </w:rPr>
  </w:style>
  <w:style w:type="paragraph" w:customStyle="1" w:styleId="xl261">
    <w:name w:val="xl26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62">
    <w:name w:val="xl262"/>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263">
    <w:name w:val="xl263"/>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64">
    <w:name w:val="xl26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i/>
      <w:iCs/>
      <w:color w:val="000000"/>
      <w:sz w:val="20"/>
      <w:szCs w:val="20"/>
      <w:lang w:eastAsia="fr-FR"/>
    </w:rPr>
  </w:style>
  <w:style w:type="paragraph" w:customStyle="1" w:styleId="xl265">
    <w:name w:val="xl26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0"/>
      <w:szCs w:val="20"/>
      <w:lang w:eastAsia="fr-FR"/>
    </w:rPr>
  </w:style>
  <w:style w:type="paragraph" w:customStyle="1" w:styleId="xl266">
    <w:name w:val="xl26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267">
    <w:name w:val="xl26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268">
    <w:name w:val="xl26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0"/>
      <w:szCs w:val="20"/>
      <w:lang w:eastAsia="fr-FR"/>
    </w:rPr>
  </w:style>
  <w:style w:type="paragraph" w:customStyle="1" w:styleId="xl269">
    <w:name w:val="xl26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color w:val="000000"/>
      <w:sz w:val="20"/>
      <w:szCs w:val="20"/>
      <w:lang w:eastAsia="fr-FR"/>
    </w:rPr>
  </w:style>
  <w:style w:type="paragraph" w:customStyle="1" w:styleId="xl270">
    <w:name w:val="xl27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271">
    <w:name w:val="xl27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72">
    <w:name w:val="xl27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73">
    <w:name w:val="xl273"/>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74">
    <w:name w:val="xl27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275">
    <w:name w:val="xl275"/>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276">
    <w:name w:val="xl276"/>
    <w:basedOn w:val="Normal"/>
    <w:rsid w:val="00AE73FF"/>
    <w:pPr>
      <w:pBdr>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277">
    <w:name w:val="xl277"/>
    <w:basedOn w:val="Normal"/>
    <w:rsid w:val="00AE73FF"/>
    <w:pPr>
      <w:pBdr>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78">
    <w:name w:val="xl278"/>
    <w:basedOn w:val="Normal"/>
    <w:rsid w:val="00AE73FF"/>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79">
    <w:name w:val="xl279"/>
    <w:basedOn w:val="Normal"/>
    <w:rsid w:val="00AE73FF"/>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280">
    <w:name w:val="xl280"/>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81">
    <w:name w:val="xl281"/>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82">
    <w:name w:val="xl282"/>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283">
    <w:name w:val="xl28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84">
    <w:name w:val="xl28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sz w:val="20"/>
      <w:szCs w:val="20"/>
      <w:lang w:eastAsia="fr-FR"/>
    </w:rPr>
  </w:style>
  <w:style w:type="paragraph" w:customStyle="1" w:styleId="xl285">
    <w:name w:val="xl28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286">
    <w:name w:val="xl28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287">
    <w:name w:val="xl28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88">
    <w:name w:val="xl28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89">
    <w:name w:val="xl28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90">
    <w:name w:val="xl29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91">
    <w:name w:val="xl29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sz w:val="20"/>
      <w:szCs w:val="20"/>
      <w:lang w:eastAsia="fr-FR"/>
    </w:rPr>
  </w:style>
  <w:style w:type="paragraph" w:customStyle="1" w:styleId="xl292">
    <w:name w:val="xl29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293">
    <w:name w:val="xl29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294">
    <w:name w:val="xl29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295">
    <w:name w:val="xl29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296">
    <w:name w:val="xl29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297">
    <w:name w:val="xl29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298">
    <w:name w:val="xl29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sz w:val="20"/>
      <w:szCs w:val="20"/>
      <w:lang w:eastAsia="fr-FR"/>
    </w:rPr>
  </w:style>
  <w:style w:type="paragraph" w:customStyle="1" w:styleId="xl299">
    <w:name w:val="xl29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00">
    <w:name w:val="xl30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301">
    <w:name w:val="xl30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02">
    <w:name w:val="xl30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303">
    <w:name w:val="xl30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04">
    <w:name w:val="xl30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05">
    <w:name w:val="xl30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06">
    <w:name w:val="xl30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07">
    <w:name w:val="xl30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308">
    <w:name w:val="xl30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09">
    <w:name w:val="xl30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10">
    <w:name w:val="xl31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311">
    <w:name w:val="xl31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312">
    <w:name w:val="xl31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313">
    <w:name w:val="xl31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314">
    <w:name w:val="xl31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315">
    <w:name w:val="xl31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316">
    <w:name w:val="xl31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17">
    <w:name w:val="xl31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18">
    <w:name w:val="xl31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19">
    <w:name w:val="xl31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320">
    <w:name w:val="xl32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21">
    <w:name w:val="xl32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22">
    <w:name w:val="xl32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323">
    <w:name w:val="xl32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24">
    <w:name w:val="xl32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25">
    <w:name w:val="xl32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26">
    <w:name w:val="xl32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27">
    <w:name w:val="xl32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28">
    <w:name w:val="xl32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29">
    <w:name w:val="xl32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u w:val="single"/>
      <w:lang w:eastAsia="fr-FR"/>
    </w:rPr>
  </w:style>
  <w:style w:type="paragraph" w:customStyle="1" w:styleId="xl330">
    <w:name w:val="xl33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331">
    <w:name w:val="xl33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32">
    <w:name w:val="xl33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333">
    <w:name w:val="xl33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34">
    <w:name w:val="xl33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35">
    <w:name w:val="xl335"/>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color w:val="000000"/>
      <w:sz w:val="20"/>
      <w:szCs w:val="20"/>
      <w:lang w:eastAsia="fr-FR"/>
    </w:rPr>
  </w:style>
  <w:style w:type="paragraph" w:customStyle="1" w:styleId="xl336">
    <w:name w:val="xl336"/>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37">
    <w:name w:val="xl33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6000"/>
      <w:sz w:val="20"/>
      <w:szCs w:val="20"/>
      <w:lang w:eastAsia="fr-FR"/>
    </w:rPr>
  </w:style>
  <w:style w:type="paragraph" w:customStyle="1" w:styleId="xl338">
    <w:name w:val="xl33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color w:val="000000"/>
      <w:sz w:val="20"/>
      <w:szCs w:val="20"/>
      <w:lang w:eastAsia="fr-FR"/>
    </w:rPr>
  </w:style>
  <w:style w:type="paragraph" w:customStyle="1" w:styleId="xl339">
    <w:name w:val="xl339"/>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40">
    <w:name w:val="xl340"/>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0"/>
      <w:szCs w:val="20"/>
      <w:lang w:eastAsia="fr-FR"/>
    </w:rPr>
  </w:style>
  <w:style w:type="paragraph" w:customStyle="1" w:styleId="xl341">
    <w:name w:val="xl341"/>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42">
    <w:name w:val="xl34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43">
    <w:name w:val="xl343"/>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sz w:val="20"/>
      <w:szCs w:val="20"/>
      <w:lang w:eastAsia="fr-FR"/>
    </w:rPr>
  </w:style>
  <w:style w:type="paragraph" w:customStyle="1" w:styleId="xl344">
    <w:name w:val="xl34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sz w:val="20"/>
      <w:szCs w:val="20"/>
      <w:lang w:eastAsia="fr-FR"/>
    </w:rPr>
  </w:style>
  <w:style w:type="paragraph" w:customStyle="1" w:styleId="xl345">
    <w:name w:val="xl34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color w:val="000000"/>
      <w:sz w:val="20"/>
      <w:szCs w:val="20"/>
      <w:lang w:eastAsia="fr-FR"/>
    </w:rPr>
  </w:style>
  <w:style w:type="paragraph" w:customStyle="1" w:styleId="xl346">
    <w:name w:val="xl34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D0D0D"/>
      <w:sz w:val="20"/>
      <w:szCs w:val="20"/>
      <w:lang w:eastAsia="fr-FR"/>
    </w:rPr>
  </w:style>
  <w:style w:type="paragraph" w:customStyle="1" w:styleId="xl347">
    <w:name w:val="xl34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348">
    <w:name w:val="xl34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49">
    <w:name w:val="xl34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D0D0D"/>
      <w:sz w:val="20"/>
      <w:szCs w:val="20"/>
      <w:lang w:eastAsia="fr-FR"/>
    </w:rPr>
  </w:style>
  <w:style w:type="paragraph" w:customStyle="1" w:styleId="xl350">
    <w:name w:val="xl35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D0D0D"/>
      <w:sz w:val="20"/>
      <w:szCs w:val="20"/>
      <w:lang w:eastAsia="fr-FR"/>
    </w:rPr>
  </w:style>
  <w:style w:type="paragraph" w:customStyle="1" w:styleId="xl351">
    <w:name w:val="xl35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52">
    <w:name w:val="xl352"/>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53">
    <w:name w:val="xl353"/>
    <w:basedOn w:val="Normal"/>
    <w:rsid w:val="00AE7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D0D0D"/>
      <w:sz w:val="20"/>
      <w:szCs w:val="20"/>
      <w:lang w:eastAsia="fr-FR"/>
    </w:rPr>
  </w:style>
  <w:style w:type="paragraph" w:customStyle="1" w:styleId="xl354">
    <w:name w:val="xl35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55">
    <w:name w:val="xl35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56">
    <w:name w:val="xl35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57">
    <w:name w:val="xl35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58">
    <w:name w:val="xl35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59">
    <w:name w:val="xl35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60">
    <w:name w:val="xl36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61">
    <w:name w:val="xl36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62">
    <w:name w:val="xl36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63">
    <w:name w:val="xl36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64">
    <w:name w:val="xl364"/>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sz w:val="20"/>
      <w:szCs w:val="20"/>
      <w:lang w:eastAsia="fr-FR"/>
    </w:rPr>
  </w:style>
  <w:style w:type="paragraph" w:customStyle="1" w:styleId="xl365">
    <w:name w:val="xl365"/>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66">
    <w:name w:val="xl366"/>
    <w:basedOn w:val="Normal"/>
    <w:rsid w:val="00AE73F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67">
    <w:name w:val="xl36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sz w:val="20"/>
      <w:szCs w:val="20"/>
      <w:lang w:eastAsia="fr-FR"/>
    </w:rPr>
  </w:style>
  <w:style w:type="paragraph" w:customStyle="1" w:styleId="xl368">
    <w:name w:val="xl368"/>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69">
    <w:name w:val="xl369"/>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70">
    <w:name w:val="xl37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71">
    <w:name w:val="xl371"/>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0"/>
      <w:szCs w:val="20"/>
      <w:lang w:eastAsia="fr-FR"/>
    </w:rPr>
  </w:style>
  <w:style w:type="paragraph" w:customStyle="1" w:styleId="xl372">
    <w:name w:val="xl372"/>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73">
    <w:name w:val="xl37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374">
    <w:name w:val="xl37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75">
    <w:name w:val="xl37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376">
    <w:name w:val="xl37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77">
    <w:name w:val="xl377"/>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378">
    <w:name w:val="xl37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379">
    <w:name w:val="xl379"/>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380">
    <w:name w:val="xl38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81">
    <w:name w:val="xl38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382">
    <w:name w:val="xl38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383">
    <w:name w:val="xl38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384">
    <w:name w:val="xl38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85">
    <w:name w:val="xl38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386">
    <w:name w:val="xl38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387">
    <w:name w:val="xl38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388">
    <w:name w:val="xl38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b/>
      <w:bCs/>
      <w:color w:val="000000"/>
      <w:sz w:val="20"/>
      <w:szCs w:val="20"/>
      <w:lang w:eastAsia="fr-FR"/>
    </w:rPr>
  </w:style>
  <w:style w:type="paragraph" w:customStyle="1" w:styleId="xl389">
    <w:name w:val="xl38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sz w:val="20"/>
      <w:szCs w:val="20"/>
      <w:lang w:eastAsia="fr-FR"/>
    </w:rPr>
  </w:style>
  <w:style w:type="paragraph" w:customStyle="1" w:styleId="xl390">
    <w:name w:val="xl39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sz w:val="20"/>
      <w:szCs w:val="20"/>
      <w:lang w:eastAsia="fr-FR"/>
    </w:rPr>
  </w:style>
  <w:style w:type="paragraph" w:customStyle="1" w:styleId="xl391">
    <w:name w:val="xl39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392">
    <w:name w:val="xl39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393">
    <w:name w:val="xl39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394">
    <w:name w:val="xl39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395">
    <w:name w:val="xl39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396">
    <w:name w:val="xl39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397">
    <w:name w:val="xl397"/>
    <w:basedOn w:val="Normal"/>
    <w:rsid w:val="00AE73FF"/>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eastAsia="Times New Roman" w:cs="Times New Roman"/>
      <w:sz w:val="20"/>
      <w:szCs w:val="20"/>
      <w:lang w:eastAsia="fr-FR"/>
    </w:rPr>
  </w:style>
  <w:style w:type="paragraph" w:customStyle="1" w:styleId="xl398">
    <w:name w:val="xl39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399">
    <w:name w:val="xl39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sz w:val="20"/>
      <w:szCs w:val="20"/>
      <w:lang w:eastAsia="fr-FR"/>
    </w:rPr>
  </w:style>
  <w:style w:type="paragraph" w:customStyle="1" w:styleId="xl400">
    <w:name w:val="xl40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401">
    <w:name w:val="xl40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402">
    <w:name w:val="xl40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403">
    <w:name w:val="xl40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404">
    <w:name w:val="xl40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05">
    <w:name w:val="xl40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406">
    <w:name w:val="xl40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07">
    <w:name w:val="xl40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08">
    <w:name w:val="xl408"/>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09">
    <w:name w:val="xl409"/>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10">
    <w:name w:val="xl410"/>
    <w:basedOn w:val="Normal"/>
    <w:rsid w:val="00AE73FF"/>
    <w:pPr>
      <w:pBdr>
        <w:top w:val="single" w:sz="8"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411">
    <w:name w:val="xl411"/>
    <w:basedOn w:val="Normal"/>
    <w:rsid w:val="00AE73FF"/>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12">
    <w:name w:val="xl412"/>
    <w:basedOn w:val="Normal"/>
    <w:rsid w:val="00AE73FF"/>
    <w:pPr>
      <w:pBdr>
        <w:top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13">
    <w:name w:val="xl413"/>
    <w:basedOn w:val="Normal"/>
    <w:rsid w:val="00AE73FF"/>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14">
    <w:name w:val="xl414"/>
    <w:basedOn w:val="Normal"/>
    <w:rsid w:val="00AE73FF"/>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15">
    <w:name w:val="xl415"/>
    <w:basedOn w:val="Normal"/>
    <w:rsid w:val="00AE73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16">
    <w:name w:val="xl416"/>
    <w:basedOn w:val="Normal"/>
    <w:rsid w:val="00AE73F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417">
    <w:name w:val="xl417"/>
    <w:basedOn w:val="Normal"/>
    <w:rsid w:val="00AE73FF"/>
    <w:pP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18">
    <w:name w:val="xl418"/>
    <w:basedOn w:val="Normal"/>
    <w:rsid w:val="00AE73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19">
    <w:name w:val="xl419"/>
    <w:basedOn w:val="Normal"/>
    <w:rsid w:val="00AE73FF"/>
    <w:pPr>
      <w:pBdr>
        <w:lef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20">
    <w:name w:val="xl420"/>
    <w:basedOn w:val="Normal"/>
    <w:rsid w:val="00AE73F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421">
    <w:name w:val="xl421"/>
    <w:basedOn w:val="Normal"/>
    <w:rsid w:val="00AE73F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422">
    <w:name w:val="xl422"/>
    <w:basedOn w:val="Normal"/>
    <w:rsid w:val="00AE73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23">
    <w:name w:val="xl423"/>
    <w:basedOn w:val="Normal"/>
    <w:rsid w:val="00AE73FF"/>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24">
    <w:name w:val="xl424"/>
    <w:basedOn w:val="Normal"/>
    <w:rsid w:val="00AE73FF"/>
    <w:pPr>
      <w:pBdr>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25">
    <w:name w:val="xl425"/>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26">
    <w:name w:val="xl42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B050"/>
      <w:sz w:val="20"/>
      <w:szCs w:val="20"/>
      <w:lang w:eastAsia="fr-FR"/>
    </w:rPr>
  </w:style>
  <w:style w:type="paragraph" w:customStyle="1" w:styleId="xl427">
    <w:name w:val="xl427"/>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sz w:val="20"/>
      <w:szCs w:val="20"/>
      <w:lang w:eastAsia="fr-FR"/>
    </w:rPr>
  </w:style>
  <w:style w:type="paragraph" w:customStyle="1" w:styleId="xl428">
    <w:name w:val="xl428"/>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29">
    <w:name w:val="xl429"/>
    <w:basedOn w:val="Normal"/>
    <w:rsid w:val="00AE73F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430">
    <w:name w:val="xl430"/>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431">
    <w:name w:val="xl43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432">
    <w:name w:val="xl43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33">
    <w:name w:val="xl43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434">
    <w:name w:val="xl43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35">
    <w:name w:val="xl435"/>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36">
    <w:name w:val="xl436"/>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437">
    <w:name w:val="xl437"/>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438">
    <w:name w:val="xl43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39">
    <w:name w:val="xl43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40">
    <w:name w:val="xl44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41">
    <w:name w:val="xl441"/>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42">
    <w:name w:val="xl44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sz w:val="20"/>
      <w:szCs w:val="20"/>
      <w:lang w:eastAsia="fr-FR"/>
    </w:rPr>
  </w:style>
  <w:style w:type="paragraph" w:customStyle="1" w:styleId="xl443">
    <w:name w:val="xl44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44">
    <w:name w:val="xl44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45">
    <w:name w:val="xl44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46">
    <w:name w:val="xl446"/>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47">
    <w:name w:val="xl44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48">
    <w:name w:val="xl44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0"/>
      <w:szCs w:val="20"/>
      <w:lang w:eastAsia="fr-FR"/>
    </w:rPr>
  </w:style>
  <w:style w:type="paragraph" w:customStyle="1" w:styleId="xl449">
    <w:name w:val="xl449"/>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50">
    <w:name w:val="xl450"/>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FF0000"/>
      <w:sz w:val="20"/>
      <w:szCs w:val="20"/>
      <w:lang w:eastAsia="fr-FR"/>
    </w:rPr>
  </w:style>
  <w:style w:type="paragraph" w:customStyle="1" w:styleId="xl451">
    <w:name w:val="xl451"/>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D0D0D"/>
      <w:sz w:val="20"/>
      <w:szCs w:val="20"/>
      <w:lang w:eastAsia="fr-FR"/>
    </w:rPr>
  </w:style>
  <w:style w:type="paragraph" w:customStyle="1" w:styleId="xl452">
    <w:name w:val="xl45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53">
    <w:name w:val="xl45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54">
    <w:name w:val="xl45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color w:val="0D0D0D"/>
      <w:sz w:val="20"/>
      <w:szCs w:val="20"/>
      <w:lang w:eastAsia="fr-FR"/>
    </w:rPr>
  </w:style>
  <w:style w:type="paragraph" w:customStyle="1" w:styleId="xl455">
    <w:name w:val="xl45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56">
    <w:name w:val="xl45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fr-FR"/>
    </w:rPr>
  </w:style>
  <w:style w:type="paragraph" w:customStyle="1" w:styleId="xl457">
    <w:name w:val="xl457"/>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fr-FR"/>
    </w:rPr>
  </w:style>
  <w:style w:type="paragraph" w:customStyle="1" w:styleId="xl458">
    <w:name w:val="xl45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459">
    <w:name w:val="xl45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460">
    <w:name w:val="xl46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61">
    <w:name w:val="xl461"/>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62">
    <w:name w:val="xl462"/>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463">
    <w:name w:val="xl463"/>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0"/>
      <w:szCs w:val="20"/>
      <w:lang w:eastAsia="fr-FR"/>
    </w:rPr>
  </w:style>
  <w:style w:type="paragraph" w:customStyle="1" w:styleId="xl464">
    <w:name w:val="xl464"/>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65">
    <w:name w:val="xl465"/>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fr-FR"/>
    </w:rPr>
  </w:style>
  <w:style w:type="paragraph" w:customStyle="1" w:styleId="xl466">
    <w:name w:val="xl466"/>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467">
    <w:name w:val="xl46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468">
    <w:name w:val="xl46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color w:val="000000"/>
      <w:sz w:val="20"/>
      <w:szCs w:val="20"/>
      <w:lang w:eastAsia="fr-FR"/>
    </w:rPr>
  </w:style>
  <w:style w:type="paragraph" w:customStyle="1" w:styleId="xl469">
    <w:name w:val="xl46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470">
    <w:name w:val="xl47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b/>
      <w:bCs/>
      <w:sz w:val="20"/>
      <w:szCs w:val="20"/>
      <w:lang w:eastAsia="fr-FR"/>
    </w:rPr>
  </w:style>
  <w:style w:type="paragraph" w:customStyle="1" w:styleId="xl471">
    <w:name w:val="xl47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72">
    <w:name w:val="xl47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sz w:val="20"/>
      <w:szCs w:val="20"/>
      <w:lang w:eastAsia="fr-FR"/>
    </w:rPr>
  </w:style>
  <w:style w:type="paragraph" w:customStyle="1" w:styleId="xl473">
    <w:name w:val="xl473"/>
    <w:basedOn w:val="Normal"/>
    <w:rsid w:val="00AE73FF"/>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74">
    <w:name w:val="xl474"/>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475">
    <w:name w:val="xl475"/>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76">
    <w:name w:val="xl476"/>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000000"/>
      <w:sz w:val="20"/>
      <w:szCs w:val="20"/>
      <w:lang w:eastAsia="fr-FR"/>
    </w:rPr>
  </w:style>
  <w:style w:type="paragraph" w:customStyle="1" w:styleId="xl477">
    <w:name w:val="xl477"/>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478">
    <w:name w:val="xl478"/>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79">
    <w:name w:val="xl479"/>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80">
    <w:name w:val="xl480"/>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81">
    <w:name w:val="xl481"/>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82">
    <w:name w:val="xl482"/>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83">
    <w:name w:val="xl483"/>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000000"/>
      <w:sz w:val="20"/>
      <w:szCs w:val="20"/>
      <w:lang w:eastAsia="fr-FR"/>
    </w:rPr>
  </w:style>
  <w:style w:type="paragraph" w:customStyle="1" w:styleId="xl484">
    <w:name w:val="xl484"/>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85">
    <w:name w:val="xl485"/>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sz w:val="20"/>
      <w:szCs w:val="20"/>
      <w:lang w:eastAsia="fr-FR"/>
    </w:rPr>
  </w:style>
  <w:style w:type="paragraph" w:customStyle="1" w:styleId="xl486">
    <w:name w:val="xl486"/>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87">
    <w:name w:val="xl487"/>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88">
    <w:name w:val="xl488"/>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eastAsia="Times New Roman" w:cs="Times New Roman"/>
      <w:sz w:val="20"/>
      <w:szCs w:val="20"/>
      <w:lang w:eastAsia="fr-FR"/>
    </w:rPr>
  </w:style>
  <w:style w:type="paragraph" w:customStyle="1" w:styleId="xl489">
    <w:name w:val="xl48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490">
    <w:name w:val="xl490"/>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91">
    <w:name w:val="xl491"/>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eastAsia="fr-FR"/>
    </w:rPr>
  </w:style>
  <w:style w:type="paragraph" w:customStyle="1" w:styleId="xl492">
    <w:name w:val="xl492"/>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b/>
      <w:bCs/>
      <w:color w:val="000000"/>
      <w:sz w:val="20"/>
      <w:szCs w:val="20"/>
      <w:lang w:eastAsia="fr-FR"/>
    </w:rPr>
  </w:style>
  <w:style w:type="paragraph" w:customStyle="1" w:styleId="xl493">
    <w:name w:val="xl493"/>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494">
    <w:name w:val="xl494"/>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495">
    <w:name w:val="xl495"/>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eastAsia="Times New Roman" w:cs="Times New Roman"/>
      <w:b/>
      <w:bCs/>
      <w:sz w:val="20"/>
      <w:szCs w:val="20"/>
      <w:lang w:eastAsia="fr-FR"/>
    </w:rPr>
  </w:style>
  <w:style w:type="paragraph" w:customStyle="1" w:styleId="xl496">
    <w:name w:val="xl496"/>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497">
    <w:name w:val="xl497"/>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498">
    <w:name w:val="xl498"/>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eastAsia="fr-FR"/>
    </w:rPr>
  </w:style>
  <w:style w:type="paragraph" w:customStyle="1" w:styleId="xl499">
    <w:name w:val="xl499"/>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500">
    <w:name w:val="xl500"/>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sz w:val="20"/>
      <w:szCs w:val="20"/>
      <w:lang w:eastAsia="fr-FR"/>
    </w:rPr>
  </w:style>
  <w:style w:type="paragraph" w:customStyle="1" w:styleId="xl501">
    <w:name w:val="xl501"/>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502">
    <w:name w:val="xl502"/>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503">
    <w:name w:val="xl503"/>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504">
    <w:name w:val="xl504"/>
    <w:basedOn w:val="Normal"/>
    <w:rsid w:val="00AE7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fr-FR"/>
    </w:rPr>
  </w:style>
  <w:style w:type="paragraph" w:customStyle="1" w:styleId="xl505">
    <w:name w:val="xl505"/>
    <w:basedOn w:val="Normal"/>
    <w:rsid w:val="00AE7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506">
    <w:name w:val="xl506"/>
    <w:basedOn w:val="Normal"/>
    <w:rsid w:val="00AE73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507">
    <w:name w:val="xl507"/>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eastAsia="Times New Roman" w:cs="Times New Roman"/>
      <w:b/>
      <w:bCs/>
      <w:color w:val="000000"/>
      <w:sz w:val="20"/>
      <w:szCs w:val="20"/>
      <w:lang w:eastAsia="fr-FR"/>
    </w:rPr>
  </w:style>
  <w:style w:type="paragraph" w:customStyle="1" w:styleId="xl508">
    <w:name w:val="xl508"/>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509">
    <w:name w:val="xl509"/>
    <w:basedOn w:val="Normal"/>
    <w:rsid w:val="00AE73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cs="Times New Roman"/>
      <w:b/>
      <w:bCs/>
      <w:sz w:val="20"/>
      <w:szCs w:val="20"/>
      <w:lang w:eastAsia="fr-FR"/>
    </w:rPr>
  </w:style>
  <w:style w:type="paragraph" w:customStyle="1" w:styleId="xl510">
    <w:name w:val="xl510"/>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511">
    <w:name w:val="xl511"/>
    <w:basedOn w:val="Normal"/>
    <w:rsid w:val="00AE73F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customStyle="1" w:styleId="xl512">
    <w:name w:val="xl512"/>
    <w:basedOn w:val="Normal"/>
    <w:rsid w:val="00AE73FF"/>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Times New Roman"/>
      <w:b/>
      <w:bCs/>
      <w:sz w:val="20"/>
      <w:szCs w:val="20"/>
      <w:lang w:eastAsia="fr-FR"/>
    </w:rPr>
  </w:style>
  <w:style w:type="paragraph" w:styleId="Textedebulles">
    <w:name w:val="Balloon Text"/>
    <w:basedOn w:val="Normal"/>
    <w:link w:val="TextedebullesCar"/>
    <w:uiPriority w:val="99"/>
    <w:semiHidden/>
    <w:unhideWhenUsed/>
    <w:rsid w:val="001844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40E"/>
    <w:rPr>
      <w:rFonts w:ascii="Segoe UI" w:hAnsi="Segoe UI" w:cs="Segoe UI"/>
      <w:sz w:val="18"/>
      <w:szCs w:val="18"/>
    </w:rPr>
  </w:style>
  <w:style w:type="table" w:customStyle="1" w:styleId="TableauGrille4-Accentuation11">
    <w:name w:val="Tableau Grille 4 - Accentuation 11"/>
    <w:basedOn w:val="TableauNormal"/>
    <w:uiPriority w:val="49"/>
    <w:rsid w:val="0055795F"/>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63">
    <w:name w:val="xl63"/>
    <w:basedOn w:val="Normal"/>
    <w:rsid w:val="008171EB"/>
    <w:pPr>
      <w:spacing w:before="100" w:beforeAutospacing="1" w:after="100" w:afterAutospacing="1" w:line="240" w:lineRule="auto"/>
      <w:jc w:val="left"/>
      <w:textAlignment w:val="center"/>
    </w:pPr>
    <w:rPr>
      <w:rFonts w:eastAsia="Times New Roman" w:cs="Times New Roman"/>
      <w:sz w:val="20"/>
      <w:szCs w:val="20"/>
      <w:lang w:eastAsia="fr-FR"/>
    </w:rPr>
  </w:style>
  <w:style w:type="paragraph" w:customStyle="1" w:styleId="xl64">
    <w:name w:val="xl64"/>
    <w:basedOn w:val="Normal"/>
    <w:rsid w:val="008171EB"/>
    <w:pPr>
      <w:shd w:val="clear" w:color="000000" w:fill="FCE4D6"/>
      <w:spacing w:before="100" w:beforeAutospacing="1" w:after="100" w:afterAutospacing="1" w:line="240" w:lineRule="auto"/>
      <w:jc w:val="left"/>
      <w:textAlignment w:val="center"/>
    </w:pPr>
    <w:rPr>
      <w:rFonts w:eastAsia="Times New Roman" w:cs="Times New Roman"/>
      <w:sz w:val="20"/>
      <w:szCs w:val="20"/>
      <w:lang w:eastAsia="fr-FR"/>
    </w:rPr>
  </w:style>
  <w:style w:type="table" w:customStyle="1" w:styleId="TableauGrille4-Accentuation12">
    <w:name w:val="Tableau Grille 4 - Accentuation 12"/>
    <w:basedOn w:val="TableauNormal"/>
    <w:uiPriority w:val="49"/>
    <w:rsid w:val="00F8439C"/>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T1">
    <w:name w:val="PAT1"/>
    <w:basedOn w:val="Normal"/>
    <w:qFormat/>
    <w:rsid w:val="001D0062"/>
    <w:pPr>
      <w:numPr>
        <w:numId w:val="3"/>
      </w:numPr>
      <w:jc w:val="left"/>
      <w:outlineLvl w:val="0"/>
    </w:pPr>
    <w:rPr>
      <w:b/>
      <w:sz w:val="28"/>
    </w:rPr>
  </w:style>
  <w:style w:type="paragraph" w:customStyle="1" w:styleId="PAT2">
    <w:name w:val="PAT2"/>
    <w:basedOn w:val="Normal"/>
    <w:next w:val="PAT1"/>
    <w:qFormat/>
    <w:rsid w:val="00043374"/>
    <w:pPr>
      <w:numPr>
        <w:ilvl w:val="1"/>
        <w:numId w:val="3"/>
      </w:numPr>
      <w:outlineLvl w:val="1"/>
    </w:pPr>
    <w:rPr>
      <w:rFonts w:cs="Times New Roman (Titres CS)"/>
      <w:b/>
      <w:bCs/>
      <w:sz w:val="28"/>
      <w:szCs w:val="56"/>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PAT3">
    <w:name w:val="PAT3"/>
    <w:basedOn w:val="Normal"/>
    <w:next w:val="PAT2"/>
    <w:qFormat/>
    <w:rsid w:val="00043374"/>
    <w:pPr>
      <w:numPr>
        <w:ilvl w:val="2"/>
        <w:numId w:val="3"/>
      </w:numPr>
      <w:outlineLvl w:val="2"/>
    </w:pPr>
    <w:rPr>
      <w:b/>
      <w:bCs/>
      <w:sz w:val="28"/>
    </w:rPr>
  </w:style>
  <w:style w:type="paragraph" w:customStyle="1" w:styleId="PAT4">
    <w:name w:val="PAT4"/>
    <w:basedOn w:val="Normal"/>
    <w:next w:val="PAT3"/>
    <w:qFormat/>
    <w:rsid w:val="00043374"/>
    <w:pPr>
      <w:numPr>
        <w:ilvl w:val="3"/>
        <w:numId w:val="3"/>
      </w:numPr>
      <w:spacing w:before="77" w:line="276" w:lineRule="auto"/>
      <w:outlineLvl w:val="3"/>
    </w:pPr>
    <w:rPr>
      <w:rFonts w:eastAsia="Calibri"/>
      <w:b/>
      <w:bCs/>
      <w:sz w:val="26"/>
    </w:rPr>
  </w:style>
  <w:style w:type="numbering" w:customStyle="1" w:styleId="PATListe">
    <w:name w:val="PAT Liste"/>
    <w:uiPriority w:val="99"/>
    <w:rsid w:val="007E77CF"/>
    <w:pPr>
      <w:numPr>
        <w:numId w:val="4"/>
      </w:numPr>
    </w:pPr>
  </w:style>
  <w:style w:type="table" w:customStyle="1" w:styleId="TableauGrille2-Accentuation11">
    <w:name w:val="Tableau Grille 2 - Accentuation 11"/>
    <w:basedOn w:val="TableauNormal"/>
    <w:uiPriority w:val="47"/>
    <w:qFormat/>
    <w:rsid w:val="00091C8B"/>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111">
    <w:name w:val="Tableau Grille 4 - Accentuation 111"/>
    <w:basedOn w:val="TableauNormal"/>
    <w:uiPriority w:val="49"/>
    <w:rsid w:val="00F55E7C"/>
    <w:pPr>
      <w:ind w:firstLine="170"/>
      <w:jc w:val="both"/>
    </w:pPr>
    <w:rPr>
      <w:rFonts w:ascii="Cambria" w:hAnsi="Cambria"/>
      <w:sz w:val="22"/>
      <w:szCs w:val="22"/>
      <w:lang w:val="fr-C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Rvision">
    <w:name w:val="Revision"/>
    <w:hidden/>
    <w:uiPriority w:val="99"/>
    <w:semiHidden/>
    <w:rsid w:val="00A34537"/>
    <w:rPr>
      <w:rFonts w:ascii="Sylfaen" w:hAnsi="Sylfaen" w:cs="Times New Roman (Corps CS)"/>
      <w:szCs w:val="22"/>
    </w:rPr>
  </w:style>
  <w:style w:type="table" w:customStyle="1" w:styleId="TableauGrille2-Accentuation115">
    <w:name w:val="Tableau Grille 2 - Accentuation 115"/>
    <w:basedOn w:val="TableauNormal"/>
    <w:uiPriority w:val="47"/>
    <w:rsid w:val="005559E9"/>
    <w:pPr>
      <w:jc w:val="both"/>
    </w:pPr>
    <w:rPr>
      <w:rFonts w:ascii="Calibri" w:eastAsia="Calibri" w:hAnsi="Calibri" w:cs="Times New Roman"/>
      <w:sz w:val="20"/>
      <w:szCs w:val="20"/>
      <w:lang w:eastAsia="fr-FR"/>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NDES1">
    <w:name w:val="PNDES1"/>
    <w:basedOn w:val="Titre1"/>
    <w:next w:val="Normal"/>
    <w:autoRedefine/>
    <w:qFormat/>
    <w:rsid w:val="00244BE3"/>
    <w:pPr>
      <w:numPr>
        <w:numId w:val="5"/>
      </w:numPr>
      <w:spacing w:before="0" w:after="120" w:line="276" w:lineRule="auto"/>
      <w:ind w:right="-1"/>
    </w:pPr>
    <w:rPr>
      <w:rFonts w:eastAsia="Times New Roman" w:cs="Times New Roman"/>
      <w:caps/>
      <w:sz w:val="24"/>
      <w:szCs w:val="24"/>
      <w:lang w:eastAsia="fr-FR"/>
    </w:rPr>
  </w:style>
  <w:style w:type="paragraph" w:customStyle="1" w:styleId="PNDES2">
    <w:name w:val="PNDES 2"/>
    <w:basedOn w:val="Titre2"/>
    <w:next w:val="Normal"/>
    <w:autoRedefine/>
    <w:qFormat/>
    <w:rsid w:val="00244BE3"/>
    <w:pPr>
      <w:numPr>
        <w:ilvl w:val="1"/>
        <w:numId w:val="5"/>
      </w:numPr>
      <w:spacing w:before="0" w:after="120" w:line="276" w:lineRule="auto"/>
    </w:pPr>
    <w:rPr>
      <w:rFonts w:ascii="Sylfaen" w:eastAsia="Times New Roman" w:hAnsi="Sylfaen" w:cs="Times New Roman"/>
      <w:b/>
      <w:color w:val="auto"/>
      <w:sz w:val="24"/>
      <w:szCs w:val="24"/>
    </w:rPr>
  </w:style>
  <w:style w:type="paragraph" w:customStyle="1" w:styleId="PNDES3">
    <w:name w:val="PNDES 3"/>
    <w:basedOn w:val="Titre3"/>
    <w:next w:val="Normal"/>
    <w:autoRedefine/>
    <w:qFormat/>
    <w:rsid w:val="00244BE3"/>
    <w:pPr>
      <w:numPr>
        <w:ilvl w:val="2"/>
        <w:numId w:val="5"/>
      </w:numPr>
      <w:spacing w:before="0" w:line="240" w:lineRule="auto"/>
    </w:pPr>
    <w:rPr>
      <w:rFonts w:ascii="Sylfaen" w:eastAsia="Times New Roman" w:hAnsi="Sylfaen" w:cs="Times New Roman"/>
      <w:b/>
      <w:color w:val="auto"/>
    </w:rPr>
  </w:style>
  <w:style w:type="paragraph" w:customStyle="1" w:styleId="PNDES4">
    <w:name w:val="PNDES 4"/>
    <w:basedOn w:val="PNDES3"/>
    <w:qFormat/>
    <w:rsid w:val="00244BE3"/>
    <w:pPr>
      <w:numPr>
        <w:ilvl w:val="3"/>
      </w:numPr>
    </w:pPr>
  </w:style>
  <w:style w:type="paragraph" w:customStyle="1" w:styleId="CSDSEA">
    <w:name w:val="CSD SEA"/>
    <w:basedOn w:val="Normal"/>
    <w:qFormat/>
    <w:rsid w:val="00244BE3"/>
    <w:pPr>
      <w:keepNext/>
      <w:keepLines/>
      <w:numPr>
        <w:ilvl w:val="4"/>
        <w:numId w:val="5"/>
      </w:numPr>
      <w:spacing w:before="240" w:after="120" w:line="240" w:lineRule="auto"/>
      <w:jc w:val="center"/>
      <w:outlineLvl w:val="4"/>
    </w:pPr>
    <w:rPr>
      <w:rFonts w:eastAsiaTheme="majorEastAsia" w:cs="Times New Roman"/>
      <w:b/>
      <w:szCs w:val="26"/>
    </w:rPr>
  </w:style>
  <w:style w:type="table" w:customStyle="1" w:styleId="TableauGrille4-Accentuation1157">
    <w:name w:val="Tableau Grille 4 - Accentuation 1157"/>
    <w:basedOn w:val="TableauNormal"/>
    <w:uiPriority w:val="49"/>
    <w:rsid w:val="000C6BF9"/>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5">
    <w:name w:val="Grid Table 4 Accent 5"/>
    <w:basedOn w:val="TableauNormal"/>
    <w:uiPriority w:val="49"/>
    <w:rsid w:val="000C6BF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116">
    <w:name w:val="Tableau Grille 4 - Accentuation 116"/>
    <w:basedOn w:val="TableauNormal"/>
    <w:uiPriority w:val="49"/>
    <w:rsid w:val="000C6BF9"/>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gendeCar">
    <w:name w:val="Légende Car"/>
    <w:aliases w:val="LVT Table Heading Car,Légende1 Car,Légende21 Car,Légende111 Car,Car111 Car,Car Car Car Car Car Car Car Car Car111 Car,Car Car Car Car Car111 Car,Car Car Car Car111 Car,Car Car Car Car Car Car Car Car211 Car,Caption Char Car"/>
    <w:link w:val="Lgende"/>
    <w:uiPriority w:val="35"/>
    <w:qFormat/>
    <w:locked/>
    <w:rsid w:val="00930AE2"/>
    <w:rPr>
      <w:rFonts w:ascii="Sylfaen" w:hAnsi="Sylfaen" w:cs="Times New Roman (Corps CS)"/>
      <w:i/>
      <w:iCs/>
      <w:color w:val="44546A" w:themeColor="text2"/>
      <w:sz w:val="18"/>
      <w:szCs w:val="18"/>
    </w:rPr>
  </w:style>
  <w:style w:type="paragraph" w:styleId="Notedebasdepage">
    <w:name w:val="footnote text"/>
    <w:aliases w:val="single space,FOOTNOTES,fn,footnote text,Fodnotetekst Tegn,footnote text Char,Fodnotetekst Tegn Char,single space Char,footnote text Char Char Char,Fodnotetekst Tegn Char1,single space Char1,footnote text Char Char1,ADB,Footnote,12pt"/>
    <w:basedOn w:val="Normal"/>
    <w:link w:val="NotedebasdepageCar"/>
    <w:uiPriority w:val="99"/>
    <w:unhideWhenUsed/>
    <w:qFormat/>
    <w:rsid w:val="00505289"/>
    <w:pPr>
      <w:spacing w:after="0" w:line="240" w:lineRule="auto"/>
      <w:jc w:val="left"/>
    </w:pPr>
    <w:rPr>
      <w:rFonts w:ascii="Times New Roman" w:eastAsia="Times New Roman" w:hAnsi="Times New Roman" w:cs="Times New Roman"/>
      <w:sz w:val="20"/>
      <w:szCs w:val="20"/>
      <w:lang w:eastAsia="fr-FR"/>
    </w:rPr>
  </w:style>
  <w:style w:type="character" w:customStyle="1" w:styleId="NotedebasdepageCar">
    <w:name w:val="Note de bas de page Car"/>
    <w:aliases w:val="single space Car,FOOTNOTES Car,fn Car,footnote text Car,Fodnotetekst Tegn Car,footnote text Char Car,Fodnotetekst Tegn Char Car,single space Char Car,footnote text Char Char Char Car,Fodnotetekst Tegn Char1 Car,ADB Car,12pt Car"/>
    <w:basedOn w:val="Policepardfaut"/>
    <w:link w:val="Notedebasdepage"/>
    <w:uiPriority w:val="99"/>
    <w:qFormat/>
    <w:rsid w:val="00505289"/>
    <w:rPr>
      <w:rFonts w:ascii="Times New Roman" w:eastAsia="Times New Roman" w:hAnsi="Times New Roman" w:cs="Times New Roman"/>
      <w:sz w:val="20"/>
      <w:szCs w:val="20"/>
      <w:lang w:eastAsia="fr-FR"/>
    </w:rPr>
  </w:style>
  <w:style w:type="character" w:styleId="Appelnotedebasdep">
    <w:name w:val="footnote reference"/>
    <w:aliases w:val="ftref,16 Point,Superscript 6 Point,Car Car Char Car Char Car Car Char Car Char Char,Car Car Car Car Car Car Car Car Char Car Car Char Car Car Car Char Car Char Char Char,SUPERS, BVI fnr,BVI fnr,Référence pied de page,BVI fn,FO,fr"/>
    <w:basedOn w:val="Policepardfaut"/>
    <w:link w:val="BVIfnrCharCharCharCharCharChar1CharCharCharCharCharChar"/>
    <w:uiPriority w:val="99"/>
    <w:unhideWhenUsed/>
    <w:qFormat/>
    <w:rsid w:val="00505289"/>
    <w:rPr>
      <w:vertAlign w:val="superscript"/>
    </w:rPr>
  </w:style>
  <w:style w:type="paragraph" w:styleId="En-ttedetabledesmatires">
    <w:name w:val="TOC Heading"/>
    <w:basedOn w:val="Titre1"/>
    <w:next w:val="Normal"/>
    <w:uiPriority w:val="39"/>
    <w:unhideWhenUsed/>
    <w:qFormat/>
    <w:rsid w:val="001655C1"/>
    <w:pPr>
      <w:jc w:val="left"/>
      <w:outlineLvl w:val="9"/>
    </w:pPr>
    <w:rPr>
      <w:rFonts w:asciiTheme="majorHAnsi" w:hAnsiTheme="majorHAnsi" w:cstheme="majorBidi"/>
      <w:b w:val="0"/>
      <w:color w:val="2F5496" w:themeColor="accent1" w:themeShade="BF"/>
      <w:sz w:val="32"/>
      <w:lang w:val="en-US"/>
    </w:rPr>
  </w:style>
  <w:style w:type="paragraph" w:styleId="Tabledesillustrations">
    <w:name w:val="table of figures"/>
    <w:basedOn w:val="Normal"/>
    <w:next w:val="Normal"/>
    <w:uiPriority w:val="99"/>
    <w:unhideWhenUsed/>
    <w:rsid w:val="00132F53"/>
    <w:pPr>
      <w:spacing w:after="0"/>
    </w:pPr>
  </w:style>
  <w:style w:type="character" w:customStyle="1" w:styleId="Mentionnonrsolue1">
    <w:name w:val="Mention non résolue1"/>
    <w:basedOn w:val="Policepardfaut"/>
    <w:uiPriority w:val="99"/>
    <w:semiHidden/>
    <w:unhideWhenUsed/>
    <w:rsid w:val="00132F53"/>
    <w:rPr>
      <w:color w:val="605E5C"/>
      <w:shd w:val="clear" w:color="auto" w:fill="E1DFDD"/>
    </w:rPr>
  </w:style>
  <w:style w:type="character" w:customStyle="1" w:styleId="Ancredenotedebasdepage">
    <w:name w:val="Ancre de note de bas de page"/>
    <w:rsid w:val="0081723D"/>
    <w:rPr>
      <w:vertAlign w:val="superscript"/>
    </w:rPr>
  </w:style>
  <w:style w:type="character" w:customStyle="1" w:styleId="Caractresdenotedebasdepage">
    <w:name w:val="Caractères de note de bas de page"/>
    <w:qFormat/>
    <w:rsid w:val="0081723D"/>
  </w:style>
  <w:style w:type="table" w:styleId="TableauGrille4-Accentuation1">
    <w:name w:val="Grid Table 4 Accent 1"/>
    <w:basedOn w:val="TableauNormal"/>
    <w:uiPriority w:val="49"/>
    <w:rsid w:val="0081723D"/>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tionnonrsolue11">
    <w:name w:val="Mention non résolue11"/>
    <w:basedOn w:val="Policepardfaut"/>
    <w:uiPriority w:val="99"/>
    <w:semiHidden/>
    <w:unhideWhenUsed/>
    <w:rsid w:val="001D606C"/>
    <w:rPr>
      <w:color w:val="605E5C"/>
      <w:shd w:val="clear" w:color="auto" w:fill="E1DFDD"/>
    </w:rPr>
  </w:style>
  <w:style w:type="paragraph" w:styleId="TM4">
    <w:name w:val="toc 4"/>
    <w:basedOn w:val="Normal"/>
    <w:next w:val="Normal"/>
    <w:autoRedefine/>
    <w:uiPriority w:val="39"/>
    <w:unhideWhenUsed/>
    <w:rsid w:val="00F84D97"/>
    <w:pPr>
      <w:spacing w:after="100"/>
      <w:ind w:left="720"/>
    </w:pPr>
  </w:style>
  <w:style w:type="paragraph" w:styleId="Corpsdetexte">
    <w:name w:val="Body Text"/>
    <w:basedOn w:val="Normal"/>
    <w:link w:val="CorpsdetexteCar"/>
    <w:autoRedefine/>
    <w:uiPriority w:val="99"/>
    <w:unhideWhenUsed/>
    <w:rsid w:val="005E5071"/>
    <w:pPr>
      <w:keepNext/>
      <w:spacing w:before="120" w:after="200" w:line="240" w:lineRule="auto"/>
      <w:ind w:left="720" w:hanging="720"/>
    </w:pPr>
    <w:rPr>
      <w:rFonts w:eastAsia="Calibri"/>
      <w:bCs/>
      <w:iCs/>
      <w:sz w:val="22"/>
    </w:rPr>
  </w:style>
  <w:style w:type="character" w:customStyle="1" w:styleId="CorpsdetexteCar">
    <w:name w:val="Corps de texte Car"/>
    <w:basedOn w:val="Policepardfaut"/>
    <w:link w:val="Corpsdetexte"/>
    <w:uiPriority w:val="99"/>
    <w:rsid w:val="005E5071"/>
    <w:rPr>
      <w:rFonts w:ascii="Sylfaen" w:eastAsia="Calibri" w:hAnsi="Sylfaen" w:cs="Times New Roman (Corps CS)"/>
      <w:bCs/>
      <w:iCs/>
      <w:sz w:val="22"/>
      <w:szCs w:val="22"/>
    </w:rPr>
  </w:style>
  <w:style w:type="paragraph" w:styleId="Listepuces">
    <w:name w:val="List Bullet"/>
    <w:basedOn w:val="Normal"/>
    <w:autoRedefine/>
    <w:uiPriority w:val="99"/>
    <w:unhideWhenUsed/>
    <w:rsid w:val="001C26E3"/>
    <w:pPr>
      <w:autoSpaceDE w:val="0"/>
      <w:autoSpaceDN w:val="0"/>
      <w:adjustRightInd w:val="0"/>
      <w:spacing w:before="100" w:beforeAutospacing="1" w:after="100" w:afterAutospacing="1" w:line="240" w:lineRule="auto"/>
    </w:pPr>
    <w:rPr>
      <w:rFonts w:eastAsia="Calibri" w:cs="Times New Roman"/>
      <w:szCs w:val="24"/>
      <w:lang w:eastAsia="fr-FR"/>
    </w:rPr>
  </w:style>
  <w:style w:type="table" w:customStyle="1" w:styleId="GridTable4-Accent111">
    <w:name w:val="Grid Table 4 - Accent 111"/>
    <w:basedOn w:val="TableauNormal"/>
    <w:uiPriority w:val="49"/>
    <w:rsid w:val="00C87F66"/>
    <w:rPr>
      <w:rFonts w:ascii="Calibri" w:eastAsia="Calibri" w:hAnsi="Calibri" w:cs="Times New Roman"/>
      <w:sz w:val="20"/>
      <w:szCs w:val="20"/>
      <w:lang w:eastAsia="fr-F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4-Accentuation112">
    <w:name w:val="Tableau Grille 4 - Accentuation 112"/>
    <w:basedOn w:val="TableauNormal"/>
    <w:uiPriority w:val="49"/>
    <w:rsid w:val="000B004A"/>
    <w:pPr>
      <w:ind w:firstLine="170"/>
      <w:jc w:val="both"/>
    </w:pPr>
    <w:rPr>
      <w:rFonts w:ascii="Cambria" w:hAnsi="Cambria"/>
      <w:sz w:val="22"/>
      <w:szCs w:val="22"/>
      <w:lang w:val="fr-C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3">
    <w:name w:val="Tableau Grille 4 - Accentuation 113"/>
    <w:basedOn w:val="TableauNormal"/>
    <w:uiPriority w:val="49"/>
    <w:rsid w:val="00745FBC"/>
    <w:pPr>
      <w:ind w:firstLine="170"/>
      <w:jc w:val="both"/>
    </w:pPr>
    <w:rPr>
      <w:rFonts w:ascii="Cambria" w:hAnsi="Cambria"/>
      <w:sz w:val="22"/>
      <w:szCs w:val="22"/>
      <w:lang w:val="fr-C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Appelnotedebasdep"/>
    <w:uiPriority w:val="99"/>
    <w:rsid w:val="007A1D5B"/>
    <w:pPr>
      <w:spacing w:after="0" w:line="240" w:lineRule="auto"/>
    </w:pPr>
    <w:rPr>
      <w:rFonts w:asciiTheme="minorHAnsi" w:hAnsiTheme="minorHAnsi" w:cstheme="minorBidi"/>
      <w:szCs w:val="24"/>
      <w:vertAlign w:val="superscript"/>
    </w:rPr>
  </w:style>
  <w:style w:type="table" w:customStyle="1" w:styleId="TableauGrille4-Accentuation1113">
    <w:name w:val="Tableau Grille 4 - Accentuation 1113"/>
    <w:basedOn w:val="TableauNormal"/>
    <w:uiPriority w:val="49"/>
    <w:rsid w:val="006A2B66"/>
    <w:pPr>
      <w:ind w:firstLine="170"/>
      <w:jc w:val="both"/>
    </w:pPr>
    <w:rPr>
      <w:rFonts w:ascii="Cambria" w:hAnsi="Cambria"/>
      <w:sz w:val="22"/>
      <w:szCs w:val="22"/>
      <w:lang w:val="fr-C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4-Accentuation117">
    <w:name w:val="Tableau Grille 4 - Accentuation 117"/>
    <w:basedOn w:val="TableauNormal"/>
    <w:uiPriority w:val="49"/>
    <w:rsid w:val="00A63152"/>
    <w:pPr>
      <w:ind w:firstLine="170"/>
      <w:jc w:val="both"/>
    </w:pPr>
    <w:rPr>
      <w:rFonts w:ascii="Cambria" w:hAnsi="Cambria"/>
      <w:sz w:val="22"/>
      <w:szCs w:val="22"/>
      <w:lang w:val="fr-C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Policepardfaut"/>
    <w:uiPriority w:val="99"/>
    <w:semiHidden/>
    <w:unhideWhenUsed/>
    <w:rsid w:val="005C500E"/>
    <w:rPr>
      <w:color w:val="605E5C"/>
      <w:shd w:val="clear" w:color="auto" w:fill="E1DFDD"/>
    </w:rPr>
  </w:style>
  <w:style w:type="table" w:customStyle="1" w:styleId="GridTable4-Accent1113">
    <w:name w:val="Grid Table 4 - Accent 1113"/>
    <w:basedOn w:val="TableauNormal"/>
    <w:uiPriority w:val="49"/>
    <w:rsid w:val="00C33498"/>
    <w:rPr>
      <w:rFonts w:ascii="Calibri" w:eastAsia="Calibri" w:hAnsi="Calibri" w:cs="Times New Roman"/>
      <w:sz w:val="20"/>
      <w:szCs w:val="20"/>
      <w:lang w:eastAsia="fr-F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4-Accentuation119">
    <w:name w:val="Tableau Grille 4 - Accentuation 119"/>
    <w:basedOn w:val="TableauNormal"/>
    <w:uiPriority w:val="49"/>
    <w:rsid w:val="00C701DC"/>
    <w:pPr>
      <w:ind w:firstLine="170"/>
      <w:jc w:val="both"/>
    </w:pPr>
    <w:rPr>
      <w:rFonts w:ascii="Cambria" w:hAnsi="Cambria"/>
      <w:sz w:val="22"/>
      <w:szCs w:val="22"/>
      <w:lang w:val="fr-C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4-Accentuation115">
    <w:name w:val="Tableau Grille 4 - Accentuation 115"/>
    <w:basedOn w:val="TableauNormal"/>
    <w:uiPriority w:val="49"/>
    <w:rsid w:val="0043621C"/>
    <w:pPr>
      <w:ind w:firstLine="170"/>
      <w:jc w:val="both"/>
    </w:pPr>
    <w:rPr>
      <w:rFonts w:ascii="Cambria" w:hAnsi="Cambria"/>
      <w:sz w:val="22"/>
      <w:szCs w:val="22"/>
      <w:lang w:val="fr-C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5">
    <w:name w:val="toc 5"/>
    <w:basedOn w:val="Normal"/>
    <w:next w:val="Normal"/>
    <w:autoRedefine/>
    <w:uiPriority w:val="39"/>
    <w:unhideWhenUsed/>
    <w:rsid w:val="0073361C"/>
    <w:pPr>
      <w:spacing w:after="100"/>
      <w:ind w:left="880"/>
      <w:jc w:val="left"/>
    </w:pPr>
    <w:rPr>
      <w:rFonts w:asciiTheme="minorHAnsi" w:eastAsiaTheme="minorEastAsia" w:hAnsiTheme="minorHAnsi" w:cstheme="minorBidi"/>
      <w:kern w:val="2"/>
      <w:sz w:val="22"/>
      <w:lang w:val="en-US"/>
      <w14:ligatures w14:val="standardContextual"/>
    </w:rPr>
  </w:style>
  <w:style w:type="paragraph" w:styleId="TM6">
    <w:name w:val="toc 6"/>
    <w:basedOn w:val="Normal"/>
    <w:next w:val="Normal"/>
    <w:autoRedefine/>
    <w:uiPriority w:val="39"/>
    <w:unhideWhenUsed/>
    <w:rsid w:val="0073361C"/>
    <w:pPr>
      <w:spacing w:after="100"/>
      <w:ind w:left="1100"/>
      <w:jc w:val="left"/>
    </w:pPr>
    <w:rPr>
      <w:rFonts w:asciiTheme="minorHAnsi" w:eastAsiaTheme="minorEastAsia" w:hAnsiTheme="minorHAnsi" w:cstheme="minorBidi"/>
      <w:kern w:val="2"/>
      <w:sz w:val="22"/>
      <w:lang w:val="en-US"/>
      <w14:ligatures w14:val="standardContextual"/>
    </w:rPr>
  </w:style>
  <w:style w:type="paragraph" w:styleId="TM7">
    <w:name w:val="toc 7"/>
    <w:basedOn w:val="Normal"/>
    <w:next w:val="Normal"/>
    <w:autoRedefine/>
    <w:uiPriority w:val="39"/>
    <w:unhideWhenUsed/>
    <w:rsid w:val="0073361C"/>
    <w:pPr>
      <w:spacing w:after="100"/>
      <w:ind w:left="1320"/>
      <w:jc w:val="left"/>
    </w:pPr>
    <w:rPr>
      <w:rFonts w:asciiTheme="minorHAnsi" w:eastAsiaTheme="minorEastAsia" w:hAnsiTheme="minorHAnsi" w:cstheme="minorBidi"/>
      <w:kern w:val="2"/>
      <w:sz w:val="22"/>
      <w:lang w:val="en-US"/>
      <w14:ligatures w14:val="standardContextual"/>
    </w:rPr>
  </w:style>
  <w:style w:type="paragraph" w:styleId="TM8">
    <w:name w:val="toc 8"/>
    <w:basedOn w:val="Normal"/>
    <w:next w:val="Normal"/>
    <w:autoRedefine/>
    <w:uiPriority w:val="39"/>
    <w:unhideWhenUsed/>
    <w:rsid w:val="0073361C"/>
    <w:pPr>
      <w:spacing w:after="100"/>
      <w:ind w:left="1540"/>
      <w:jc w:val="left"/>
    </w:pPr>
    <w:rPr>
      <w:rFonts w:asciiTheme="minorHAnsi" w:eastAsiaTheme="minorEastAsia" w:hAnsiTheme="minorHAnsi" w:cstheme="minorBidi"/>
      <w:kern w:val="2"/>
      <w:sz w:val="22"/>
      <w:lang w:val="en-US"/>
      <w14:ligatures w14:val="standardContextual"/>
    </w:rPr>
  </w:style>
  <w:style w:type="paragraph" w:styleId="TM9">
    <w:name w:val="toc 9"/>
    <w:basedOn w:val="Normal"/>
    <w:next w:val="Normal"/>
    <w:autoRedefine/>
    <w:uiPriority w:val="39"/>
    <w:unhideWhenUsed/>
    <w:rsid w:val="0073361C"/>
    <w:pPr>
      <w:spacing w:after="100"/>
      <w:ind w:left="1760"/>
      <w:jc w:val="left"/>
    </w:pPr>
    <w:rPr>
      <w:rFonts w:asciiTheme="minorHAnsi" w:eastAsiaTheme="minorEastAsia" w:hAnsiTheme="minorHAnsi" w:cstheme="minorBidi"/>
      <w:kern w:val="2"/>
      <w:sz w:val="22"/>
      <w:lang w:val="en-US"/>
      <w14:ligatures w14:val="standardContextual"/>
    </w:rPr>
  </w:style>
  <w:style w:type="table" w:styleId="TableauGrille7Couleur-Accentuation1">
    <w:name w:val="Grid Table 7 Colorful Accent 1"/>
    <w:basedOn w:val="TableauNormal"/>
    <w:uiPriority w:val="52"/>
    <w:rsid w:val="00EC0AC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5">
    <w:name w:val="Grid Table 7 Colorful Accent 5"/>
    <w:basedOn w:val="TableauNormal"/>
    <w:uiPriority w:val="52"/>
    <w:rsid w:val="0019290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1">
    <w:name w:val="Grid Table 3 Accent 1"/>
    <w:basedOn w:val="TableauNormal"/>
    <w:uiPriority w:val="48"/>
    <w:rsid w:val="001929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1465">
      <w:bodyDiv w:val="1"/>
      <w:marLeft w:val="0"/>
      <w:marRight w:val="0"/>
      <w:marTop w:val="0"/>
      <w:marBottom w:val="0"/>
      <w:divBdr>
        <w:top w:val="none" w:sz="0" w:space="0" w:color="auto"/>
        <w:left w:val="none" w:sz="0" w:space="0" w:color="auto"/>
        <w:bottom w:val="none" w:sz="0" w:space="0" w:color="auto"/>
        <w:right w:val="none" w:sz="0" w:space="0" w:color="auto"/>
      </w:divBdr>
    </w:div>
    <w:div w:id="53625882">
      <w:bodyDiv w:val="1"/>
      <w:marLeft w:val="0"/>
      <w:marRight w:val="0"/>
      <w:marTop w:val="0"/>
      <w:marBottom w:val="0"/>
      <w:divBdr>
        <w:top w:val="none" w:sz="0" w:space="0" w:color="auto"/>
        <w:left w:val="none" w:sz="0" w:space="0" w:color="auto"/>
        <w:bottom w:val="none" w:sz="0" w:space="0" w:color="auto"/>
        <w:right w:val="none" w:sz="0" w:space="0" w:color="auto"/>
      </w:divBdr>
    </w:div>
    <w:div w:id="76906390">
      <w:bodyDiv w:val="1"/>
      <w:marLeft w:val="0"/>
      <w:marRight w:val="0"/>
      <w:marTop w:val="0"/>
      <w:marBottom w:val="0"/>
      <w:divBdr>
        <w:top w:val="none" w:sz="0" w:space="0" w:color="auto"/>
        <w:left w:val="none" w:sz="0" w:space="0" w:color="auto"/>
        <w:bottom w:val="none" w:sz="0" w:space="0" w:color="auto"/>
        <w:right w:val="none" w:sz="0" w:space="0" w:color="auto"/>
      </w:divBdr>
    </w:div>
    <w:div w:id="146484807">
      <w:bodyDiv w:val="1"/>
      <w:marLeft w:val="0"/>
      <w:marRight w:val="0"/>
      <w:marTop w:val="0"/>
      <w:marBottom w:val="0"/>
      <w:divBdr>
        <w:top w:val="none" w:sz="0" w:space="0" w:color="auto"/>
        <w:left w:val="none" w:sz="0" w:space="0" w:color="auto"/>
        <w:bottom w:val="none" w:sz="0" w:space="0" w:color="auto"/>
        <w:right w:val="none" w:sz="0" w:space="0" w:color="auto"/>
      </w:divBdr>
    </w:div>
    <w:div w:id="170220165">
      <w:bodyDiv w:val="1"/>
      <w:marLeft w:val="0"/>
      <w:marRight w:val="0"/>
      <w:marTop w:val="0"/>
      <w:marBottom w:val="0"/>
      <w:divBdr>
        <w:top w:val="none" w:sz="0" w:space="0" w:color="auto"/>
        <w:left w:val="none" w:sz="0" w:space="0" w:color="auto"/>
        <w:bottom w:val="none" w:sz="0" w:space="0" w:color="auto"/>
        <w:right w:val="none" w:sz="0" w:space="0" w:color="auto"/>
      </w:divBdr>
    </w:div>
    <w:div w:id="200900146">
      <w:bodyDiv w:val="1"/>
      <w:marLeft w:val="0"/>
      <w:marRight w:val="0"/>
      <w:marTop w:val="0"/>
      <w:marBottom w:val="0"/>
      <w:divBdr>
        <w:top w:val="none" w:sz="0" w:space="0" w:color="auto"/>
        <w:left w:val="none" w:sz="0" w:space="0" w:color="auto"/>
        <w:bottom w:val="none" w:sz="0" w:space="0" w:color="auto"/>
        <w:right w:val="none" w:sz="0" w:space="0" w:color="auto"/>
      </w:divBdr>
    </w:div>
    <w:div w:id="215436241">
      <w:bodyDiv w:val="1"/>
      <w:marLeft w:val="0"/>
      <w:marRight w:val="0"/>
      <w:marTop w:val="0"/>
      <w:marBottom w:val="0"/>
      <w:divBdr>
        <w:top w:val="none" w:sz="0" w:space="0" w:color="auto"/>
        <w:left w:val="none" w:sz="0" w:space="0" w:color="auto"/>
        <w:bottom w:val="none" w:sz="0" w:space="0" w:color="auto"/>
        <w:right w:val="none" w:sz="0" w:space="0" w:color="auto"/>
      </w:divBdr>
    </w:div>
    <w:div w:id="261575331">
      <w:bodyDiv w:val="1"/>
      <w:marLeft w:val="0"/>
      <w:marRight w:val="0"/>
      <w:marTop w:val="0"/>
      <w:marBottom w:val="0"/>
      <w:divBdr>
        <w:top w:val="none" w:sz="0" w:space="0" w:color="auto"/>
        <w:left w:val="none" w:sz="0" w:space="0" w:color="auto"/>
        <w:bottom w:val="none" w:sz="0" w:space="0" w:color="auto"/>
        <w:right w:val="none" w:sz="0" w:space="0" w:color="auto"/>
      </w:divBdr>
    </w:div>
    <w:div w:id="268702206">
      <w:bodyDiv w:val="1"/>
      <w:marLeft w:val="0"/>
      <w:marRight w:val="0"/>
      <w:marTop w:val="0"/>
      <w:marBottom w:val="0"/>
      <w:divBdr>
        <w:top w:val="none" w:sz="0" w:space="0" w:color="auto"/>
        <w:left w:val="none" w:sz="0" w:space="0" w:color="auto"/>
        <w:bottom w:val="none" w:sz="0" w:space="0" w:color="auto"/>
        <w:right w:val="none" w:sz="0" w:space="0" w:color="auto"/>
      </w:divBdr>
    </w:div>
    <w:div w:id="277759471">
      <w:bodyDiv w:val="1"/>
      <w:marLeft w:val="0"/>
      <w:marRight w:val="0"/>
      <w:marTop w:val="0"/>
      <w:marBottom w:val="0"/>
      <w:divBdr>
        <w:top w:val="none" w:sz="0" w:space="0" w:color="auto"/>
        <w:left w:val="none" w:sz="0" w:space="0" w:color="auto"/>
        <w:bottom w:val="none" w:sz="0" w:space="0" w:color="auto"/>
        <w:right w:val="none" w:sz="0" w:space="0" w:color="auto"/>
      </w:divBdr>
    </w:div>
    <w:div w:id="304744331">
      <w:bodyDiv w:val="1"/>
      <w:marLeft w:val="0"/>
      <w:marRight w:val="0"/>
      <w:marTop w:val="0"/>
      <w:marBottom w:val="0"/>
      <w:divBdr>
        <w:top w:val="none" w:sz="0" w:space="0" w:color="auto"/>
        <w:left w:val="none" w:sz="0" w:space="0" w:color="auto"/>
        <w:bottom w:val="none" w:sz="0" w:space="0" w:color="auto"/>
        <w:right w:val="none" w:sz="0" w:space="0" w:color="auto"/>
      </w:divBdr>
    </w:div>
    <w:div w:id="308171035">
      <w:bodyDiv w:val="1"/>
      <w:marLeft w:val="0"/>
      <w:marRight w:val="0"/>
      <w:marTop w:val="0"/>
      <w:marBottom w:val="0"/>
      <w:divBdr>
        <w:top w:val="none" w:sz="0" w:space="0" w:color="auto"/>
        <w:left w:val="none" w:sz="0" w:space="0" w:color="auto"/>
        <w:bottom w:val="none" w:sz="0" w:space="0" w:color="auto"/>
        <w:right w:val="none" w:sz="0" w:space="0" w:color="auto"/>
      </w:divBdr>
    </w:div>
    <w:div w:id="346714352">
      <w:bodyDiv w:val="1"/>
      <w:marLeft w:val="0"/>
      <w:marRight w:val="0"/>
      <w:marTop w:val="0"/>
      <w:marBottom w:val="0"/>
      <w:divBdr>
        <w:top w:val="none" w:sz="0" w:space="0" w:color="auto"/>
        <w:left w:val="none" w:sz="0" w:space="0" w:color="auto"/>
        <w:bottom w:val="none" w:sz="0" w:space="0" w:color="auto"/>
        <w:right w:val="none" w:sz="0" w:space="0" w:color="auto"/>
      </w:divBdr>
    </w:div>
    <w:div w:id="350957595">
      <w:bodyDiv w:val="1"/>
      <w:marLeft w:val="0"/>
      <w:marRight w:val="0"/>
      <w:marTop w:val="0"/>
      <w:marBottom w:val="0"/>
      <w:divBdr>
        <w:top w:val="none" w:sz="0" w:space="0" w:color="auto"/>
        <w:left w:val="none" w:sz="0" w:space="0" w:color="auto"/>
        <w:bottom w:val="none" w:sz="0" w:space="0" w:color="auto"/>
        <w:right w:val="none" w:sz="0" w:space="0" w:color="auto"/>
      </w:divBdr>
    </w:div>
    <w:div w:id="391083191">
      <w:bodyDiv w:val="1"/>
      <w:marLeft w:val="0"/>
      <w:marRight w:val="0"/>
      <w:marTop w:val="0"/>
      <w:marBottom w:val="0"/>
      <w:divBdr>
        <w:top w:val="none" w:sz="0" w:space="0" w:color="auto"/>
        <w:left w:val="none" w:sz="0" w:space="0" w:color="auto"/>
        <w:bottom w:val="none" w:sz="0" w:space="0" w:color="auto"/>
        <w:right w:val="none" w:sz="0" w:space="0" w:color="auto"/>
      </w:divBdr>
    </w:div>
    <w:div w:id="635984942">
      <w:bodyDiv w:val="1"/>
      <w:marLeft w:val="0"/>
      <w:marRight w:val="0"/>
      <w:marTop w:val="0"/>
      <w:marBottom w:val="0"/>
      <w:divBdr>
        <w:top w:val="none" w:sz="0" w:space="0" w:color="auto"/>
        <w:left w:val="none" w:sz="0" w:space="0" w:color="auto"/>
        <w:bottom w:val="none" w:sz="0" w:space="0" w:color="auto"/>
        <w:right w:val="none" w:sz="0" w:space="0" w:color="auto"/>
      </w:divBdr>
    </w:div>
    <w:div w:id="688146185">
      <w:bodyDiv w:val="1"/>
      <w:marLeft w:val="0"/>
      <w:marRight w:val="0"/>
      <w:marTop w:val="0"/>
      <w:marBottom w:val="0"/>
      <w:divBdr>
        <w:top w:val="none" w:sz="0" w:space="0" w:color="auto"/>
        <w:left w:val="none" w:sz="0" w:space="0" w:color="auto"/>
        <w:bottom w:val="none" w:sz="0" w:space="0" w:color="auto"/>
        <w:right w:val="none" w:sz="0" w:space="0" w:color="auto"/>
      </w:divBdr>
    </w:div>
    <w:div w:id="713042940">
      <w:bodyDiv w:val="1"/>
      <w:marLeft w:val="0"/>
      <w:marRight w:val="0"/>
      <w:marTop w:val="0"/>
      <w:marBottom w:val="0"/>
      <w:divBdr>
        <w:top w:val="none" w:sz="0" w:space="0" w:color="auto"/>
        <w:left w:val="none" w:sz="0" w:space="0" w:color="auto"/>
        <w:bottom w:val="none" w:sz="0" w:space="0" w:color="auto"/>
        <w:right w:val="none" w:sz="0" w:space="0" w:color="auto"/>
      </w:divBdr>
    </w:div>
    <w:div w:id="739135807">
      <w:bodyDiv w:val="1"/>
      <w:marLeft w:val="0"/>
      <w:marRight w:val="0"/>
      <w:marTop w:val="0"/>
      <w:marBottom w:val="0"/>
      <w:divBdr>
        <w:top w:val="none" w:sz="0" w:space="0" w:color="auto"/>
        <w:left w:val="none" w:sz="0" w:space="0" w:color="auto"/>
        <w:bottom w:val="none" w:sz="0" w:space="0" w:color="auto"/>
        <w:right w:val="none" w:sz="0" w:space="0" w:color="auto"/>
      </w:divBdr>
    </w:div>
    <w:div w:id="759523753">
      <w:bodyDiv w:val="1"/>
      <w:marLeft w:val="0"/>
      <w:marRight w:val="0"/>
      <w:marTop w:val="0"/>
      <w:marBottom w:val="0"/>
      <w:divBdr>
        <w:top w:val="none" w:sz="0" w:space="0" w:color="auto"/>
        <w:left w:val="none" w:sz="0" w:space="0" w:color="auto"/>
        <w:bottom w:val="none" w:sz="0" w:space="0" w:color="auto"/>
        <w:right w:val="none" w:sz="0" w:space="0" w:color="auto"/>
      </w:divBdr>
    </w:div>
    <w:div w:id="942343223">
      <w:bodyDiv w:val="1"/>
      <w:marLeft w:val="0"/>
      <w:marRight w:val="0"/>
      <w:marTop w:val="0"/>
      <w:marBottom w:val="0"/>
      <w:divBdr>
        <w:top w:val="none" w:sz="0" w:space="0" w:color="auto"/>
        <w:left w:val="none" w:sz="0" w:space="0" w:color="auto"/>
        <w:bottom w:val="none" w:sz="0" w:space="0" w:color="auto"/>
        <w:right w:val="none" w:sz="0" w:space="0" w:color="auto"/>
      </w:divBdr>
    </w:div>
    <w:div w:id="968515572">
      <w:bodyDiv w:val="1"/>
      <w:marLeft w:val="0"/>
      <w:marRight w:val="0"/>
      <w:marTop w:val="0"/>
      <w:marBottom w:val="0"/>
      <w:divBdr>
        <w:top w:val="none" w:sz="0" w:space="0" w:color="auto"/>
        <w:left w:val="none" w:sz="0" w:space="0" w:color="auto"/>
        <w:bottom w:val="none" w:sz="0" w:space="0" w:color="auto"/>
        <w:right w:val="none" w:sz="0" w:space="0" w:color="auto"/>
      </w:divBdr>
    </w:div>
    <w:div w:id="970205931">
      <w:bodyDiv w:val="1"/>
      <w:marLeft w:val="0"/>
      <w:marRight w:val="0"/>
      <w:marTop w:val="0"/>
      <w:marBottom w:val="0"/>
      <w:divBdr>
        <w:top w:val="none" w:sz="0" w:space="0" w:color="auto"/>
        <w:left w:val="none" w:sz="0" w:space="0" w:color="auto"/>
        <w:bottom w:val="none" w:sz="0" w:space="0" w:color="auto"/>
        <w:right w:val="none" w:sz="0" w:space="0" w:color="auto"/>
      </w:divBdr>
    </w:div>
    <w:div w:id="987440461">
      <w:bodyDiv w:val="1"/>
      <w:marLeft w:val="0"/>
      <w:marRight w:val="0"/>
      <w:marTop w:val="0"/>
      <w:marBottom w:val="0"/>
      <w:divBdr>
        <w:top w:val="none" w:sz="0" w:space="0" w:color="auto"/>
        <w:left w:val="none" w:sz="0" w:space="0" w:color="auto"/>
        <w:bottom w:val="none" w:sz="0" w:space="0" w:color="auto"/>
        <w:right w:val="none" w:sz="0" w:space="0" w:color="auto"/>
      </w:divBdr>
    </w:div>
    <w:div w:id="1034037194">
      <w:bodyDiv w:val="1"/>
      <w:marLeft w:val="0"/>
      <w:marRight w:val="0"/>
      <w:marTop w:val="0"/>
      <w:marBottom w:val="0"/>
      <w:divBdr>
        <w:top w:val="none" w:sz="0" w:space="0" w:color="auto"/>
        <w:left w:val="none" w:sz="0" w:space="0" w:color="auto"/>
        <w:bottom w:val="none" w:sz="0" w:space="0" w:color="auto"/>
        <w:right w:val="none" w:sz="0" w:space="0" w:color="auto"/>
      </w:divBdr>
    </w:div>
    <w:div w:id="1114714443">
      <w:bodyDiv w:val="1"/>
      <w:marLeft w:val="0"/>
      <w:marRight w:val="0"/>
      <w:marTop w:val="0"/>
      <w:marBottom w:val="0"/>
      <w:divBdr>
        <w:top w:val="none" w:sz="0" w:space="0" w:color="auto"/>
        <w:left w:val="none" w:sz="0" w:space="0" w:color="auto"/>
        <w:bottom w:val="none" w:sz="0" w:space="0" w:color="auto"/>
        <w:right w:val="none" w:sz="0" w:space="0" w:color="auto"/>
      </w:divBdr>
    </w:div>
    <w:div w:id="1129396658">
      <w:bodyDiv w:val="1"/>
      <w:marLeft w:val="0"/>
      <w:marRight w:val="0"/>
      <w:marTop w:val="0"/>
      <w:marBottom w:val="0"/>
      <w:divBdr>
        <w:top w:val="none" w:sz="0" w:space="0" w:color="auto"/>
        <w:left w:val="none" w:sz="0" w:space="0" w:color="auto"/>
        <w:bottom w:val="none" w:sz="0" w:space="0" w:color="auto"/>
        <w:right w:val="none" w:sz="0" w:space="0" w:color="auto"/>
      </w:divBdr>
    </w:div>
    <w:div w:id="1135870960">
      <w:bodyDiv w:val="1"/>
      <w:marLeft w:val="0"/>
      <w:marRight w:val="0"/>
      <w:marTop w:val="0"/>
      <w:marBottom w:val="0"/>
      <w:divBdr>
        <w:top w:val="none" w:sz="0" w:space="0" w:color="auto"/>
        <w:left w:val="none" w:sz="0" w:space="0" w:color="auto"/>
        <w:bottom w:val="none" w:sz="0" w:space="0" w:color="auto"/>
        <w:right w:val="none" w:sz="0" w:space="0" w:color="auto"/>
      </w:divBdr>
    </w:div>
    <w:div w:id="1277446657">
      <w:bodyDiv w:val="1"/>
      <w:marLeft w:val="0"/>
      <w:marRight w:val="0"/>
      <w:marTop w:val="0"/>
      <w:marBottom w:val="0"/>
      <w:divBdr>
        <w:top w:val="none" w:sz="0" w:space="0" w:color="auto"/>
        <w:left w:val="none" w:sz="0" w:space="0" w:color="auto"/>
        <w:bottom w:val="none" w:sz="0" w:space="0" w:color="auto"/>
        <w:right w:val="none" w:sz="0" w:space="0" w:color="auto"/>
      </w:divBdr>
    </w:div>
    <w:div w:id="1305349921">
      <w:bodyDiv w:val="1"/>
      <w:marLeft w:val="0"/>
      <w:marRight w:val="0"/>
      <w:marTop w:val="0"/>
      <w:marBottom w:val="0"/>
      <w:divBdr>
        <w:top w:val="none" w:sz="0" w:space="0" w:color="auto"/>
        <w:left w:val="none" w:sz="0" w:space="0" w:color="auto"/>
        <w:bottom w:val="none" w:sz="0" w:space="0" w:color="auto"/>
        <w:right w:val="none" w:sz="0" w:space="0" w:color="auto"/>
      </w:divBdr>
    </w:div>
    <w:div w:id="1342464399">
      <w:bodyDiv w:val="1"/>
      <w:marLeft w:val="0"/>
      <w:marRight w:val="0"/>
      <w:marTop w:val="0"/>
      <w:marBottom w:val="0"/>
      <w:divBdr>
        <w:top w:val="none" w:sz="0" w:space="0" w:color="auto"/>
        <w:left w:val="none" w:sz="0" w:space="0" w:color="auto"/>
        <w:bottom w:val="none" w:sz="0" w:space="0" w:color="auto"/>
        <w:right w:val="none" w:sz="0" w:space="0" w:color="auto"/>
      </w:divBdr>
    </w:div>
    <w:div w:id="1348865936">
      <w:bodyDiv w:val="1"/>
      <w:marLeft w:val="0"/>
      <w:marRight w:val="0"/>
      <w:marTop w:val="0"/>
      <w:marBottom w:val="0"/>
      <w:divBdr>
        <w:top w:val="none" w:sz="0" w:space="0" w:color="auto"/>
        <w:left w:val="none" w:sz="0" w:space="0" w:color="auto"/>
        <w:bottom w:val="none" w:sz="0" w:space="0" w:color="auto"/>
        <w:right w:val="none" w:sz="0" w:space="0" w:color="auto"/>
      </w:divBdr>
    </w:div>
    <w:div w:id="1373463057">
      <w:bodyDiv w:val="1"/>
      <w:marLeft w:val="0"/>
      <w:marRight w:val="0"/>
      <w:marTop w:val="0"/>
      <w:marBottom w:val="0"/>
      <w:divBdr>
        <w:top w:val="none" w:sz="0" w:space="0" w:color="auto"/>
        <w:left w:val="none" w:sz="0" w:space="0" w:color="auto"/>
        <w:bottom w:val="none" w:sz="0" w:space="0" w:color="auto"/>
        <w:right w:val="none" w:sz="0" w:space="0" w:color="auto"/>
      </w:divBdr>
    </w:div>
    <w:div w:id="1431046402">
      <w:bodyDiv w:val="1"/>
      <w:marLeft w:val="0"/>
      <w:marRight w:val="0"/>
      <w:marTop w:val="0"/>
      <w:marBottom w:val="0"/>
      <w:divBdr>
        <w:top w:val="none" w:sz="0" w:space="0" w:color="auto"/>
        <w:left w:val="none" w:sz="0" w:space="0" w:color="auto"/>
        <w:bottom w:val="none" w:sz="0" w:space="0" w:color="auto"/>
        <w:right w:val="none" w:sz="0" w:space="0" w:color="auto"/>
      </w:divBdr>
    </w:div>
    <w:div w:id="1433160576">
      <w:bodyDiv w:val="1"/>
      <w:marLeft w:val="0"/>
      <w:marRight w:val="0"/>
      <w:marTop w:val="0"/>
      <w:marBottom w:val="0"/>
      <w:divBdr>
        <w:top w:val="none" w:sz="0" w:space="0" w:color="auto"/>
        <w:left w:val="none" w:sz="0" w:space="0" w:color="auto"/>
        <w:bottom w:val="none" w:sz="0" w:space="0" w:color="auto"/>
        <w:right w:val="none" w:sz="0" w:space="0" w:color="auto"/>
      </w:divBdr>
    </w:div>
    <w:div w:id="1450007181">
      <w:bodyDiv w:val="1"/>
      <w:marLeft w:val="0"/>
      <w:marRight w:val="0"/>
      <w:marTop w:val="0"/>
      <w:marBottom w:val="0"/>
      <w:divBdr>
        <w:top w:val="none" w:sz="0" w:space="0" w:color="auto"/>
        <w:left w:val="none" w:sz="0" w:space="0" w:color="auto"/>
        <w:bottom w:val="none" w:sz="0" w:space="0" w:color="auto"/>
        <w:right w:val="none" w:sz="0" w:space="0" w:color="auto"/>
      </w:divBdr>
    </w:div>
    <w:div w:id="1468400048">
      <w:bodyDiv w:val="1"/>
      <w:marLeft w:val="0"/>
      <w:marRight w:val="0"/>
      <w:marTop w:val="0"/>
      <w:marBottom w:val="0"/>
      <w:divBdr>
        <w:top w:val="none" w:sz="0" w:space="0" w:color="auto"/>
        <w:left w:val="none" w:sz="0" w:space="0" w:color="auto"/>
        <w:bottom w:val="none" w:sz="0" w:space="0" w:color="auto"/>
        <w:right w:val="none" w:sz="0" w:space="0" w:color="auto"/>
      </w:divBdr>
    </w:div>
    <w:div w:id="1500922189">
      <w:bodyDiv w:val="1"/>
      <w:marLeft w:val="0"/>
      <w:marRight w:val="0"/>
      <w:marTop w:val="0"/>
      <w:marBottom w:val="0"/>
      <w:divBdr>
        <w:top w:val="none" w:sz="0" w:space="0" w:color="auto"/>
        <w:left w:val="none" w:sz="0" w:space="0" w:color="auto"/>
        <w:bottom w:val="none" w:sz="0" w:space="0" w:color="auto"/>
        <w:right w:val="none" w:sz="0" w:space="0" w:color="auto"/>
      </w:divBdr>
    </w:div>
    <w:div w:id="1505775971">
      <w:bodyDiv w:val="1"/>
      <w:marLeft w:val="0"/>
      <w:marRight w:val="0"/>
      <w:marTop w:val="0"/>
      <w:marBottom w:val="0"/>
      <w:divBdr>
        <w:top w:val="none" w:sz="0" w:space="0" w:color="auto"/>
        <w:left w:val="none" w:sz="0" w:space="0" w:color="auto"/>
        <w:bottom w:val="none" w:sz="0" w:space="0" w:color="auto"/>
        <w:right w:val="none" w:sz="0" w:space="0" w:color="auto"/>
      </w:divBdr>
    </w:div>
    <w:div w:id="1510175323">
      <w:bodyDiv w:val="1"/>
      <w:marLeft w:val="0"/>
      <w:marRight w:val="0"/>
      <w:marTop w:val="0"/>
      <w:marBottom w:val="0"/>
      <w:divBdr>
        <w:top w:val="none" w:sz="0" w:space="0" w:color="auto"/>
        <w:left w:val="none" w:sz="0" w:space="0" w:color="auto"/>
        <w:bottom w:val="none" w:sz="0" w:space="0" w:color="auto"/>
        <w:right w:val="none" w:sz="0" w:space="0" w:color="auto"/>
      </w:divBdr>
    </w:div>
    <w:div w:id="1559052871">
      <w:bodyDiv w:val="1"/>
      <w:marLeft w:val="0"/>
      <w:marRight w:val="0"/>
      <w:marTop w:val="0"/>
      <w:marBottom w:val="0"/>
      <w:divBdr>
        <w:top w:val="none" w:sz="0" w:space="0" w:color="auto"/>
        <w:left w:val="none" w:sz="0" w:space="0" w:color="auto"/>
        <w:bottom w:val="none" w:sz="0" w:space="0" w:color="auto"/>
        <w:right w:val="none" w:sz="0" w:space="0" w:color="auto"/>
      </w:divBdr>
    </w:div>
    <w:div w:id="1563755339">
      <w:bodyDiv w:val="1"/>
      <w:marLeft w:val="0"/>
      <w:marRight w:val="0"/>
      <w:marTop w:val="0"/>
      <w:marBottom w:val="0"/>
      <w:divBdr>
        <w:top w:val="none" w:sz="0" w:space="0" w:color="auto"/>
        <w:left w:val="none" w:sz="0" w:space="0" w:color="auto"/>
        <w:bottom w:val="none" w:sz="0" w:space="0" w:color="auto"/>
        <w:right w:val="none" w:sz="0" w:space="0" w:color="auto"/>
      </w:divBdr>
      <w:divsChild>
        <w:div w:id="1508595373">
          <w:marLeft w:val="0"/>
          <w:marRight w:val="0"/>
          <w:marTop w:val="0"/>
          <w:marBottom w:val="0"/>
          <w:divBdr>
            <w:top w:val="none" w:sz="0" w:space="0" w:color="auto"/>
            <w:left w:val="none" w:sz="0" w:space="0" w:color="auto"/>
            <w:bottom w:val="none" w:sz="0" w:space="0" w:color="auto"/>
            <w:right w:val="none" w:sz="0" w:space="0" w:color="auto"/>
          </w:divBdr>
          <w:divsChild>
            <w:div w:id="203912930">
              <w:marLeft w:val="0"/>
              <w:marRight w:val="0"/>
              <w:marTop w:val="0"/>
              <w:marBottom w:val="0"/>
              <w:divBdr>
                <w:top w:val="none" w:sz="0" w:space="0" w:color="auto"/>
                <w:left w:val="none" w:sz="0" w:space="0" w:color="auto"/>
                <w:bottom w:val="none" w:sz="0" w:space="0" w:color="auto"/>
                <w:right w:val="none" w:sz="0" w:space="0" w:color="auto"/>
              </w:divBdr>
              <w:divsChild>
                <w:div w:id="1827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951">
      <w:bodyDiv w:val="1"/>
      <w:marLeft w:val="0"/>
      <w:marRight w:val="0"/>
      <w:marTop w:val="0"/>
      <w:marBottom w:val="0"/>
      <w:divBdr>
        <w:top w:val="none" w:sz="0" w:space="0" w:color="auto"/>
        <w:left w:val="none" w:sz="0" w:space="0" w:color="auto"/>
        <w:bottom w:val="none" w:sz="0" w:space="0" w:color="auto"/>
        <w:right w:val="none" w:sz="0" w:space="0" w:color="auto"/>
      </w:divBdr>
    </w:div>
    <w:div w:id="1682465082">
      <w:bodyDiv w:val="1"/>
      <w:marLeft w:val="0"/>
      <w:marRight w:val="0"/>
      <w:marTop w:val="0"/>
      <w:marBottom w:val="0"/>
      <w:divBdr>
        <w:top w:val="none" w:sz="0" w:space="0" w:color="auto"/>
        <w:left w:val="none" w:sz="0" w:space="0" w:color="auto"/>
        <w:bottom w:val="none" w:sz="0" w:space="0" w:color="auto"/>
        <w:right w:val="none" w:sz="0" w:space="0" w:color="auto"/>
      </w:divBdr>
    </w:div>
    <w:div w:id="1723946538">
      <w:bodyDiv w:val="1"/>
      <w:marLeft w:val="0"/>
      <w:marRight w:val="0"/>
      <w:marTop w:val="0"/>
      <w:marBottom w:val="0"/>
      <w:divBdr>
        <w:top w:val="none" w:sz="0" w:space="0" w:color="auto"/>
        <w:left w:val="none" w:sz="0" w:space="0" w:color="auto"/>
        <w:bottom w:val="none" w:sz="0" w:space="0" w:color="auto"/>
        <w:right w:val="none" w:sz="0" w:space="0" w:color="auto"/>
      </w:divBdr>
    </w:div>
    <w:div w:id="1746417938">
      <w:bodyDiv w:val="1"/>
      <w:marLeft w:val="0"/>
      <w:marRight w:val="0"/>
      <w:marTop w:val="0"/>
      <w:marBottom w:val="0"/>
      <w:divBdr>
        <w:top w:val="none" w:sz="0" w:space="0" w:color="auto"/>
        <w:left w:val="none" w:sz="0" w:space="0" w:color="auto"/>
        <w:bottom w:val="none" w:sz="0" w:space="0" w:color="auto"/>
        <w:right w:val="none" w:sz="0" w:space="0" w:color="auto"/>
      </w:divBdr>
    </w:div>
    <w:div w:id="1749184024">
      <w:bodyDiv w:val="1"/>
      <w:marLeft w:val="0"/>
      <w:marRight w:val="0"/>
      <w:marTop w:val="0"/>
      <w:marBottom w:val="0"/>
      <w:divBdr>
        <w:top w:val="none" w:sz="0" w:space="0" w:color="auto"/>
        <w:left w:val="none" w:sz="0" w:space="0" w:color="auto"/>
        <w:bottom w:val="none" w:sz="0" w:space="0" w:color="auto"/>
        <w:right w:val="none" w:sz="0" w:space="0" w:color="auto"/>
      </w:divBdr>
    </w:div>
    <w:div w:id="1762680366">
      <w:bodyDiv w:val="1"/>
      <w:marLeft w:val="0"/>
      <w:marRight w:val="0"/>
      <w:marTop w:val="0"/>
      <w:marBottom w:val="0"/>
      <w:divBdr>
        <w:top w:val="none" w:sz="0" w:space="0" w:color="auto"/>
        <w:left w:val="none" w:sz="0" w:space="0" w:color="auto"/>
        <w:bottom w:val="none" w:sz="0" w:space="0" w:color="auto"/>
        <w:right w:val="none" w:sz="0" w:space="0" w:color="auto"/>
      </w:divBdr>
    </w:div>
    <w:div w:id="1795126482">
      <w:bodyDiv w:val="1"/>
      <w:marLeft w:val="0"/>
      <w:marRight w:val="0"/>
      <w:marTop w:val="0"/>
      <w:marBottom w:val="0"/>
      <w:divBdr>
        <w:top w:val="none" w:sz="0" w:space="0" w:color="auto"/>
        <w:left w:val="none" w:sz="0" w:space="0" w:color="auto"/>
        <w:bottom w:val="none" w:sz="0" w:space="0" w:color="auto"/>
        <w:right w:val="none" w:sz="0" w:space="0" w:color="auto"/>
      </w:divBdr>
    </w:div>
    <w:div w:id="1821262002">
      <w:bodyDiv w:val="1"/>
      <w:marLeft w:val="0"/>
      <w:marRight w:val="0"/>
      <w:marTop w:val="0"/>
      <w:marBottom w:val="0"/>
      <w:divBdr>
        <w:top w:val="none" w:sz="0" w:space="0" w:color="auto"/>
        <w:left w:val="none" w:sz="0" w:space="0" w:color="auto"/>
        <w:bottom w:val="none" w:sz="0" w:space="0" w:color="auto"/>
        <w:right w:val="none" w:sz="0" w:space="0" w:color="auto"/>
      </w:divBdr>
    </w:div>
    <w:div w:id="1858687818">
      <w:bodyDiv w:val="1"/>
      <w:marLeft w:val="0"/>
      <w:marRight w:val="0"/>
      <w:marTop w:val="0"/>
      <w:marBottom w:val="0"/>
      <w:divBdr>
        <w:top w:val="none" w:sz="0" w:space="0" w:color="auto"/>
        <w:left w:val="none" w:sz="0" w:space="0" w:color="auto"/>
        <w:bottom w:val="none" w:sz="0" w:space="0" w:color="auto"/>
        <w:right w:val="none" w:sz="0" w:space="0" w:color="auto"/>
      </w:divBdr>
    </w:div>
    <w:div w:id="1918779969">
      <w:bodyDiv w:val="1"/>
      <w:marLeft w:val="0"/>
      <w:marRight w:val="0"/>
      <w:marTop w:val="0"/>
      <w:marBottom w:val="0"/>
      <w:divBdr>
        <w:top w:val="none" w:sz="0" w:space="0" w:color="auto"/>
        <w:left w:val="none" w:sz="0" w:space="0" w:color="auto"/>
        <w:bottom w:val="none" w:sz="0" w:space="0" w:color="auto"/>
        <w:right w:val="none" w:sz="0" w:space="0" w:color="auto"/>
      </w:divBdr>
    </w:div>
    <w:div w:id="1963000835">
      <w:bodyDiv w:val="1"/>
      <w:marLeft w:val="0"/>
      <w:marRight w:val="0"/>
      <w:marTop w:val="0"/>
      <w:marBottom w:val="0"/>
      <w:divBdr>
        <w:top w:val="none" w:sz="0" w:space="0" w:color="auto"/>
        <w:left w:val="none" w:sz="0" w:space="0" w:color="auto"/>
        <w:bottom w:val="none" w:sz="0" w:space="0" w:color="auto"/>
        <w:right w:val="none" w:sz="0" w:space="0" w:color="auto"/>
      </w:divBdr>
    </w:div>
    <w:div w:id="19640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dossier%20participant%20cadrage%20de%20decembre%202023\Graphes%20d&#233;cembre%20202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5414878695718E-2"/>
          <c:y val="6.072890116865752E-2"/>
          <c:w val="0.80490390090127628"/>
          <c:h val="0.76619360079990007"/>
        </c:manualLayout>
      </c:layout>
      <c:barChart>
        <c:barDir val="col"/>
        <c:grouping val="stacked"/>
        <c:varyColors val="0"/>
        <c:ser>
          <c:idx val="0"/>
          <c:order val="0"/>
          <c:tx>
            <c:strRef>
              <c:f>PerspectiveGraph!$B$28</c:f>
              <c:strCache>
                <c:ptCount val="1"/>
                <c:pt idx="0">
                  <c:v>Secteur primaire</c:v>
                </c:pt>
              </c:strCache>
            </c:strRef>
          </c:tx>
          <c:spPr>
            <a:pattFill prst="wdUpDiag">
              <a:fgClr>
                <a:srgbClr val="00B050"/>
              </a:fgClr>
              <a:bgClr>
                <a:schemeClr val="bg1"/>
              </a:bgClr>
            </a:pattFill>
            <a:ln w="12700">
              <a:solidFill>
                <a:schemeClr val="tx1"/>
              </a:solidFill>
            </a:ln>
          </c:spPr>
          <c:invertIfNegative val="0"/>
          <c:cat>
            <c:strRef>
              <c:f>PerspectiveGraph!$H$27:$N$27</c:f>
              <c:strCache>
                <c:ptCount val="7"/>
                <c:pt idx="0">
                  <c:v>2017</c:v>
                </c:pt>
                <c:pt idx="1">
                  <c:v>2018</c:v>
                </c:pt>
                <c:pt idx="2">
                  <c:v>2019</c:v>
                </c:pt>
                <c:pt idx="3">
                  <c:v>2020</c:v>
                </c:pt>
                <c:pt idx="4">
                  <c:v>2021</c:v>
                </c:pt>
                <c:pt idx="5">
                  <c:v>2022</c:v>
                </c:pt>
                <c:pt idx="6">
                  <c:v>Estim. 2023</c:v>
                </c:pt>
              </c:strCache>
            </c:strRef>
          </c:cat>
          <c:val>
            <c:numRef>
              <c:f>PerspectiveGraph!$H$28:$N$28</c:f>
              <c:numCache>
                <c:formatCode>0.0%</c:formatCode>
                <c:ptCount val="7"/>
                <c:pt idx="0">
                  <c:v>0.20404843141668358</c:v>
                </c:pt>
                <c:pt idx="1">
                  <c:v>0.20963047646444535</c:v>
                </c:pt>
                <c:pt idx="2">
                  <c:v>0.19725584083039036</c:v>
                </c:pt>
                <c:pt idx="3">
                  <c:v>0.18548077259660262</c:v>
                </c:pt>
                <c:pt idx="4">
                  <c:v>0.16611006198150527</c:v>
                </c:pt>
                <c:pt idx="5">
                  <c:v>0.20341639272466758</c:v>
                </c:pt>
                <c:pt idx="6">
                  <c:v>0.23099722621852531</c:v>
                </c:pt>
              </c:numCache>
            </c:numRef>
          </c:val>
          <c:extLst>
            <c:ext xmlns:c16="http://schemas.microsoft.com/office/drawing/2014/chart" uri="{C3380CC4-5D6E-409C-BE32-E72D297353CC}">
              <c16:uniqueId val="{00000000-C35B-4003-8146-CA2E2566E004}"/>
            </c:ext>
          </c:extLst>
        </c:ser>
        <c:ser>
          <c:idx val="1"/>
          <c:order val="1"/>
          <c:tx>
            <c:strRef>
              <c:f>PerspectiveGraph!$B$29</c:f>
              <c:strCache>
                <c:ptCount val="1"/>
                <c:pt idx="0">
                  <c:v>Secteur secondaire</c:v>
                </c:pt>
              </c:strCache>
            </c:strRef>
          </c:tx>
          <c:spPr>
            <a:pattFill prst="lgConfetti">
              <a:fgClr>
                <a:schemeClr val="accent2"/>
              </a:fgClr>
              <a:bgClr>
                <a:schemeClr val="bg1"/>
              </a:bgClr>
            </a:pattFill>
            <a:ln w="12700">
              <a:solidFill>
                <a:schemeClr val="tx1"/>
              </a:solidFill>
            </a:ln>
          </c:spPr>
          <c:invertIfNegative val="0"/>
          <c:cat>
            <c:strRef>
              <c:f>PerspectiveGraph!$H$27:$N$27</c:f>
              <c:strCache>
                <c:ptCount val="7"/>
                <c:pt idx="0">
                  <c:v>2017</c:v>
                </c:pt>
                <c:pt idx="1">
                  <c:v>2018</c:v>
                </c:pt>
                <c:pt idx="2">
                  <c:v>2019</c:v>
                </c:pt>
                <c:pt idx="3">
                  <c:v>2020</c:v>
                </c:pt>
                <c:pt idx="4">
                  <c:v>2021</c:v>
                </c:pt>
                <c:pt idx="5">
                  <c:v>2022</c:v>
                </c:pt>
                <c:pt idx="6">
                  <c:v>Estim. 2023</c:v>
                </c:pt>
              </c:strCache>
            </c:strRef>
          </c:cat>
          <c:val>
            <c:numRef>
              <c:f>PerspectiveGraph!$H$29:$N$29</c:f>
              <c:numCache>
                <c:formatCode>0.0%</c:formatCode>
                <c:ptCount val="7"/>
                <c:pt idx="0">
                  <c:v>0.24821361050877649</c:v>
                </c:pt>
                <c:pt idx="1">
                  <c:v>0.25828707880937196</c:v>
                </c:pt>
                <c:pt idx="2">
                  <c:v>0.25934382491686647</c:v>
                </c:pt>
                <c:pt idx="3">
                  <c:v>0.29355997123559091</c:v>
                </c:pt>
                <c:pt idx="4">
                  <c:v>0.31177515570157704</c:v>
                </c:pt>
                <c:pt idx="5">
                  <c:v>0.26376093560022051</c:v>
                </c:pt>
                <c:pt idx="6">
                  <c:v>0.25024592542236768</c:v>
                </c:pt>
              </c:numCache>
            </c:numRef>
          </c:val>
          <c:extLst>
            <c:ext xmlns:c16="http://schemas.microsoft.com/office/drawing/2014/chart" uri="{C3380CC4-5D6E-409C-BE32-E72D297353CC}">
              <c16:uniqueId val="{00000001-C35B-4003-8146-CA2E2566E004}"/>
            </c:ext>
          </c:extLst>
        </c:ser>
        <c:ser>
          <c:idx val="2"/>
          <c:order val="2"/>
          <c:tx>
            <c:strRef>
              <c:f>PerspectiveGraph!$B$30</c:f>
              <c:strCache>
                <c:ptCount val="1"/>
                <c:pt idx="0">
                  <c:v>Secteur tertiaire</c:v>
                </c:pt>
              </c:strCache>
            </c:strRef>
          </c:tx>
          <c:spPr>
            <a:pattFill prst="narHorz">
              <a:fgClr>
                <a:schemeClr val="accent1"/>
              </a:fgClr>
              <a:bgClr>
                <a:schemeClr val="bg1"/>
              </a:bgClr>
            </a:pattFill>
            <a:ln w="12700">
              <a:solidFill>
                <a:schemeClr val="tx1"/>
              </a:solidFill>
            </a:ln>
          </c:spPr>
          <c:invertIfNegative val="0"/>
          <c:cat>
            <c:strRef>
              <c:f>PerspectiveGraph!$H$27:$N$27</c:f>
              <c:strCache>
                <c:ptCount val="7"/>
                <c:pt idx="0">
                  <c:v>2017</c:v>
                </c:pt>
                <c:pt idx="1">
                  <c:v>2018</c:v>
                </c:pt>
                <c:pt idx="2">
                  <c:v>2019</c:v>
                </c:pt>
                <c:pt idx="3">
                  <c:v>2020</c:v>
                </c:pt>
                <c:pt idx="4">
                  <c:v>2021</c:v>
                </c:pt>
                <c:pt idx="5">
                  <c:v>2022</c:v>
                </c:pt>
                <c:pt idx="6">
                  <c:v>Estim. 2023</c:v>
                </c:pt>
              </c:strCache>
            </c:strRef>
          </c:cat>
          <c:val>
            <c:numRef>
              <c:f>PerspectiveGraph!$H$30:$N$30</c:f>
              <c:numCache>
                <c:formatCode>0.0%</c:formatCode>
                <c:ptCount val="7"/>
                <c:pt idx="0">
                  <c:v>0.54773795807453995</c:v>
                </c:pt>
                <c:pt idx="1">
                  <c:v>0.5320824447261826</c:v>
                </c:pt>
                <c:pt idx="2">
                  <c:v>0.54340033425274326</c:v>
                </c:pt>
                <c:pt idx="3">
                  <c:v>0.52095925616780636</c:v>
                </c:pt>
                <c:pt idx="4">
                  <c:v>0.52211478231160191</c:v>
                </c:pt>
                <c:pt idx="5">
                  <c:v>0.53282267168005037</c:v>
                </c:pt>
                <c:pt idx="6">
                  <c:v>0.51875684836446267</c:v>
                </c:pt>
              </c:numCache>
            </c:numRef>
          </c:val>
          <c:extLst>
            <c:ext xmlns:c16="http://schemas.microsoft.com/office/drawing/2014/chart" uri="{C3380CC4-5D6E-409C-BE32-E72D297353CC}">
              <c16:uniqueId val="{00000002-C35B-4003-8146-CA2E2566E004}"/>
            </c:ext>
          </c:extLst>
        </c:ser>
        <c:dLbls>
          <c:showLegendKey val="0"/>
          <c:showVal val="0"/>
          <c:showCatName val="0"/>
          <c:showSerName val="0"/>
          <c:showPercent val="0"/>
          <c:showBubbleSize val="0"/>
        </c:dLbls>
        <c:gapWidth val="100"/>
        <c:overlap val="100"/>
        <c:axId val="74924032"/>
        <c:axId val="74925568"/>
      </c:barChart>
      <c:lineChart>
        <c:grouping val="standard"/>
        <c:varyColors val="0"/>
        <c:ser>
          <c:idx val="3"/>
          <c:order val="3"/>
          <c:tx>
            <c:strRef>
              <c:f>PerspectiveGraph!$B$31</c:f>
              <c:strCache>
                <c:ptCount val="1"/>
                <c:pt idx="0">
                  <c:v>PIB réel</c:v>
                </c:pt>
              </c:strCache>
            </c:strRef>
          </c:tx>
          <c:spPr>
            <a:ln>
              <a:solidFill>
                <a:schemeClr val="tx1"/>
              </a:solidFill>
              <a:prstDash val="solid"/>
            </a:ln>
          </c:spPr>
          <c:marker>
            <c:symbol val="circle"/>
            <c:size val="6"/>
            <c:spPr>
              <a:solidFill>
                <a:schemeClr val="lt1"/>
              </a:solidFill>
              <a:ln w="15875">
                <a:solidFill>
                  <a:schemeClr val="tx1"/>
                </a:solidFill>
                <a:prstDash val="solid"/>
                <a:round/>
              </a:ln>
              <a:effectLst/>
            </c:spPr>
          </c:marker>
          <c:dPt>
            <c:idx val="3"/>
            <c:bubble3D val="0"/>
            <c:extLst>
              <c:ext xmlns:c16="http://schemas.microsoft.com/office/drawing/2014/chart" uri="{C3380CC4-5D6E-409C-BE32-E72D297353CC}">
                <c16:uniqueId val="{00000003-C35B-4003-8146-CA2E2566E004}"/>
              </c:ext>
            </c:extLst>
          </c:dPt>
          <c:dPt>
            <c:idx val="5"/>
            <c:marker>
              <c:spPr>
                <a:solidFill>
                  <a:schemeClr val="lt1"/>
                </a:solidFill>
                <a:ln w="15875">
                  <a:solidFill>
                    <a:schemeClr val="tx1"/>
                  </a:solidFill>
                  <a:prstDash val="dash"/>
                  <a:round/>
                </a:ln>
                <a:effectLst/>
              </c:spPr>
            </c:marker>
            <c:bubble3D val="0"/>
            <c:extLst>
              <c:ext xmlns:c16="http://schemas.microsoft.com/office/drawing/2014/chart" uri="{C3380CC4-5D6E-409C-BE32-E72D297353CC}">
                <c16:uniqueId val="{00000004-C35B-4003-8146-CA2E2566E004}"/>
              </c:ext>
            </c:extLst>
          </c:dPt>
          <c:dPt>
            <c:idx val="6"/>
            <c:bubble3D val="0"/>
            <c:spPr>
              <a:ln>
                <a:solidFill>
                  <a:schemeClr val="tx1"/>
                </a:solidFill>
                <a:prstDash val="sysDash"/>
              </a:ln>
            </c:spPr>
            <c:extLst>
              <c:ext xmlns:c16="http://schemas.microsoft.com/office/drawing/2014/chart" uri="{C3380CC4-5D6E-409C-BE32-E72D297353CC}">
                <c16:uniqueId val="{00000006-C35B-4003-8146-CA2E2566E004}"/>
              </c:ext>
            </c:extLst>
          </c:dPt>
          <c:dLbls>
            <c:dLbl>
              <c:idx val="0"/>
              <c:layout>
                <c:manualLayout>
                  <c:x val="1.069747539580655E-2"/>
                  <c:y val="-0.10733452593917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5B-4003-8146-CA2E2566E004}"/>
                </c:ext>
              </c:extLst>
            </c:dLbl>
            <c:dLbl>
              <c:idx val="1"/>
              <c:layout>
                <c:manualLayout>
                  <c:x val="2.1394950791613181E-2"/>
                  <c:y val="-8.6889854331714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5B-4003-8146-CA2E2566E004}"/>
                </c:ext>
              </c:extLst>
            </c:dLbl>
            <c:dLbl>
              <c:idx val="2"/>
              <c:layout>
                <c:manualLayout>
                  <c:x val="2.7420751118330932E-2"/>
                  <c:y val="4.95775506620848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5B-4003-8146-CA2E2566E004}"/>
                </c:ext>
              </c:extLst>
            </c:dLbl>
            <c:dLbl>
              <c:idx val="3"/>
              <c:layout>
                <c:manualLayout>
                  <c:x val="2.2268016821856747E-2"/>
                  <c:y val="1.3521747281589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5B-4003-8146-CA2E2566E004}"/>
                </c:ext>
              </c:extLst>
            </c:dLbl>
            <c:dLbl>
              <c:idx val="4"/>
              <c:layout>
                <c:manualLayout>
                  <c:x val="2.6281208935610957E-2"/>
                  <c:y val="0.102915951972555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5B-4003-8146-CA2E2566E004}"/>
                </c:ext>
              </c:extLst>
            </c:dLbl>
            <c:dLbl>
              <c:idx val="5"/>
              <c:layout>
                <c:manualLayout>
                  <c:x val="2.6230546598876681E-2"/>
                  <c:y val="2.8922368603745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5B-4003-8146-CA2E2566E004}"/>
                </c:ext>
              </c:extLst>
            </c:dLbl>
            <c:dLbl>
              <c:idx val="6"/>
              <c:layout>
                <c:manualLayout>
                  <c:x val="2.6186577449674651E-2"/>
                  <c:y val="-7.44047619047619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5B-4003-8146-CA2E2566E004}"/>
                </c:ext>
              </c:extLst>
            </c:dLbl>
            <c:spPr>
              <a:noFill/>
              <a:ln w="12700">
                <a:solidFill>
                  <a:sysClr val="windowText" lastClr="000000"/>
                </a:solid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a:solidFill>
                        <a:sysClr val="windowText" lastClr="000000"/>
                      </a:solidFill>
                      <a:prstDash val="solid"/>
                    </a:ln>
                  </c:spPr>
                </c15:leaderLines>
              </c:ext>
            </c:extLst>
          </c:dLbls>
          <c:cat>
            <c:strRef>
              <c:f>PerspectiveGraph!$H$27:$N$27</c:f>
              <c:strCache>
                <c:ptCount val="7"/>
                <c:pt idx="0">
                  <c:v>2017</c:v>
                </c:pt>
                <c:pt idx="1">
                  <c:v>2018</c:v>
                </c:pt>
                <c:pt idx="2">
                  <c:v>2019</c:v>
                </c:pt>
                <c:pt idx="3">
                  <c:v>2020</c:v>
                </c:pt>
                <c:pt idx="4">
                  <c:v>2021</c:v>
                </c:pt>
                <c:pt idx="5">
                  <c:v>2022</c:v>
                </c:pt>
                <c:pt idx="6">
                  <c:v>Estim. 2023</c:v>
                </c:pt>
              </c:strCache>
            </c:strRef>
          </c:cat>
          <c:val>
            <c:numRef>
              <c:f>PerspectiveGraph!$H$31:$N$31</c:f>
              <c:numCache>
                <c:formatCode>0.0%</c:formatCode>
                <c:ptCount val="7"/>
                <c:pt idx="0">
                  <c:v>6.2034894110193806E-2</c:v>
                </c:pt>
                <c:pt idx="1">
                  <c:v>6.6045690677388302E-2</c:v>
                </c:pt>
                <c:pt idx="2">
                  <c:v>5.4864554268196697E-2</c:v>
                </c:pt>
                <c:pt idx="3">
                  <c:v>1.9224706801700853E-2</c:v>
                </c:pt>
                <c:pt idx="4">
                  <c:v>6.886193469114521E-2</c:v>
                </c:pt>
                <c:pt idx="5">
                  <c:v>1.7587324318614206E-2</c:v>
                </c:pt>
                <c:pt idx="6">
                  <c:v>3.561650608473621E-2</c:v>
                </c:pt>
              </c:numCache>
            </c:numRef>
          </c:val>
          <c:smooth val="1"/>
          <c:extLst>
            <c:ext xmlns:c16="http://schemas.microsoft.com/office/drawing/2014/chart" uri="{C3380CC4-5D6E-409C-BE32-E72D297353CC}">
              <c16:uniqueId val="{0000000B-C35B-4003-8146-CA2E2566E004}"/>
            </c:ext>
          </c:extLst>
        </c:ser>
        <c:dLbls>
          <c:showLegendKey val="0"/>
          <c:showVal val="0"/>
          <c:showCatName val="0"/>
          <c:showSerName val="0"/>
          <c:showPercent val="0"/>
          <c:showBubbleSize val="0"/>
        </c:dLbls>
        <c:marker val="1"/>
        <c:smooth val="0"/>
        <c:axId val="74946048"/>
        <c:axId val="74927488"/>
      </c:lineChart>
      <c:catAx>
        <c:axId val="749240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fr-FR"/>
          </a:p>
        </c:txPr>
        <c:crossAx val="74925568"/>
        <c:crosses val="autoZero"/>
        <c:auto val="1"/>
        <c:lblAlgn val="ctr"/>
        <c:lblOffset val="100"/>
        <c:noMultiLvlLbl val="0"/>
      </c:catAx>
      <c:valAx>
        <c:axId val="74925568"/>
        <c:scaling>
          <c:orientation val="minMax"/>
          <c:max val="1"/>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fr-FR"/>
                  <a:t>Poids des secteurs</a:t>
                </a:r>
              </a:p>
            </c:rich>
          </c:tx>
          <c:layout>
            <c:manualLayout>
              <c:xMode val="edge"/>
              <c:yMode val="edge"/>
              <c:x val="6.3174394867308277E-3"/>
              <c:y val="0.212424004460848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fr-FR"/>
          </a:p>
        </c:txPr>
        <c:crossAx val="74924032"/>
        <c:crosses val="autoZero"/>
        <c:crossBetween val="between"/>
      </c:valAx>
      <c:valAx>
        <c:axId val="74927488"/>
        <c:scaling>
          <c:orientation val="minMax"/>
          <c:max val="8.0000000000000016E-2"/>
          <c:min val="0"/>
        </c:scaling>
        <c:delete val="0"/>
        <c:axPos val="r"/>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fr-FR"/>
                  <a:t>Croissance du PIB réel</a:t>
                </a:r>
              </a:p>
            </c:rich>
          </c:tx>
          <c:layout>
            <c:manualLayout>
              <c:xMode val="edge"/>
              <c:yMode val="edge"/>
              <c:x val="0.95666982599397299"/>
              <c:y val="0.152258111818355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fr-FR"/>
          </a:p>
        </c:txPr>
        <c:crossAx val="74946048"/>
        <c:crosses val="max"/>
        <c:crossBetween val="between"/>
      </c:valAx>
      <c:catAx>
        <c:axId val="74946048"/>
        <c:scaling>
          <c:orientation val="minMax"/>
        </c:scaling>
        <c:delete val="1"/>
        <c:axPos val="b"/>
        <c:numFmt formatCode="General" sourceLinked="1"/>
        <c:majorTickMark val="out"/>
        <c:minorTickMark val="none"/>
        <c:tickLblPos val="nextTo"/>
        <c:crossAx val="74927488"/>
        <c:crosses val="autoZero"/>
        <c:auto val="1"/>
        <c:lblAlgn val="ctr"/>
        <c:lblOffset val="100"/>
        <c:noMultiLvlLbl val="0"/>
      </c:catAx>
      <c:spPr>
        <a:pattFill prst="pct5">
          <a:fgClr>
            <a:schemeClr val="bg1"/>
          </a:fgClr>
          <a:bgClr>
            <a:schemeClr val="bg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lt1"/>
    </a:solidFill>
    <a:ln w="12700" cap="flat" cmpd="sng" algn="ctr">
      <a:solidFill>
        <a:schemeClr val="tx1"/>
      </a:solidFill>
      <a:round/>
    </a:ln>
    <a:effectLst/>
  </c:spPr>
  <c:txPr>
    <a:bodyPr/>
    <a:lstStyle/>
    <a:p>
      <a:pPr>
        <a:defRPr>
          <a:solidFill>
            <a:schemeClr val="tx1"/>
          </a:solidFill>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369F-CE6B-4D41-B920-ACB529C9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155</Pages>
  <Words>63205</Words>
  <Characters>347631</Characters>
  <Application>Microsoft Office Word</Application>
  <DocSecurity>0</DocSecurity>
  <Lines>2896</Lines>
  <Paragraphs>820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2024-04-22T19:42:00Z</cp:lastPrinted>
  <dcterms:created xsi:type="dcterms:W3CDTF">2024-07-08T12:17:00Z</dcterms:created>
  <dcterms:modified xsi:type="dcterms:W3CDTF">2024-07-08T12:19:00Z</dcterms:modified>
</cp:coreProperties>
</file>